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1CF57E" w14:textId="065B2FC8" w:rsidR="00FA40E8" w:rsidRDefault="00E74AE8" w:rsidP="00E74AE8">
      <w:pPr>
        <w:pStyle w:val="Pagedecouverture"/>
        <w:rPr>
          <w:noProof/>
        </w:rPr>
      </w:pPr>
      <w:bookmarkStart w:id="0" w:name="LW_BM_COVERPAGE"/>
      <w:r>
        <w:rPr>
          <w:noProof/>
        </w:rPr>
        <w:pict w14:anchorId="6C1CE0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47A406-6A2D-448F-A143-1169B79A23D6" style="width:455.25pt;height:387pt">
            <v:imagedata r:id="rId11" o:title=""/>
          </v:shape>
        </w:pict>
      </w:r>
    </w:p>
    <w:bookmarkEnd w:id="0"/>
    <w:p w14:paraId="3D97C1FE" w14:textId="77777777" w:rsidR="00FA40E8" w:rsidRDefault="00FA40E8">
      <w:pPr>
        <w:rPr>
          <w:noProof/>
        </w:rPr>
        <w:sectPr w:rsidR="00FA40E8" w:rsidSect="00E74AE8">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951DE50" w14:textId="487733C4" w:rsidR="00FA40E8" w:rsidRDefault="00E74AE8">
      <w:pPr>
        <w:pStyle w:val="P68B1DB1-Normal1"/>
        <w:tabs>
          <w:tab w:val="left" w:pos="2010"/>
        </w:tabs>
        <w:jc w:val="center"/>
        <w:rPr>
          <w:noProof/>
        </w:rPr>
      </w:pPr>
      <w:bookmarkStart w:id="1" w:name="_GoBack"/>
      <w:bookmarkEnd w:id="1"/>
      <w:r>
        <w:rPr>
          <w:noProof/>
        </w:rPr>
        <w:lastRenderedPageBreak/>
        <w:t>ANNEXE</w:t>
      </w:r>
    </w:p>
    <w:p w14:paraId="68856615" w14:textId="0398B957" w:rsidR="00FA40E8" w:rsidRDefault="00E74AE8">
      <w:pPr>
        <w:pStyle w:val="P68B1DB1-Heading12"/>
        <w:numPr>
          <w:ilvl w:val="0"/>
          <w:numId w:val="0"/>
        </w:numPr>
        <w:spacing w:after="200"/>
        <w:rPr>
          <w:noProof/>
        </w:rPr>
      </w:pPr>
      <w:r>
        <w:rPr>
          <w:noProof/>
        </w:rPr>
        <w:t>Section 1: Réformes et investissements dans le cadre du plan pour la reprise et la résilience</w:t>
      </w:r>
    </w:p>
    <w:p w14:paraId="60AA164F" w14:textId="77777777" w:rsidR="00FA40E8" w:rsidRDefault="00E74AE8">
      <w:pPr>
        <w:pStyle w:val="P68B1DB1-NumPar13"/>
        <w:spacing w:before="360" w:after="360"/>
        <w:ind w:left="851" w:hanging="851"/>
        <w:rPr>
          <w:noProof/>
        </w:rPr>
      </w:pPr>
      <w:r>
        <w:rPr>
          <w:noProof/>
        </w:rPr>
        <w:t xml:space="preserve">Description des réformes et des investissements </w:t>
      </w:r>
    </w:p>
    <w:p w14:paraId="7826B701" w14:textId="77777777" w:rsidR="00FA40E8" w:rsidRDefault="00E74AE8">
      <w:pPr>
        <w:pStyle w:val="ManualHeading1"/>
        <w:tabs>
          <w:tab w:val="clear" w:pos="850"/>
        </w:tabs>
        <w:spacing w:before="0" w:after="200"/>
        <w:ind w:left="0" w:firstLine="0"/>
        <w:rPr>
          <w:noProof/>
        </w:rPr>
      </w:pPr>
      <w:r>
        <w:rPr>
          <w:noProof/>
        </w:rPr>
        <w:t xml:space="preserve">A. COMPOSANTE 1: Un système de santé résilient et à l’épreuve du temps </w:t>
      </w:r>
    </w:p>
    <w:p w14:paraId="00478732" w14:textId="77777777" w:rsidR="00FA40E8" w:rsidRDefault="00E74AE8">
      <w:pPr>
        <w:pStyle w:val="P68B1DB1-Normal4"/>
        <w:jc w:val="both"/>
        <w:rPr>
          <w:rFonts w:cs="Times New Roman"/>
          <w:noProof/>
        </w:rPr>
      </w:pPr>
      <w:r>
        <w:rPr>
          <w:noProof/>
        </w:rPr>
        <w:t>Le volet du plan lituanien pour la reprise et la résilience contribue à relever les défis liés à la résilience, à la qualité, à l’accessibilité et à l’efficacité du système de soins de</w:t>
      </w:r>
      <w:r>
        <w:rPr>
          <w:noProof/>
        </w:rPr>
        <w:t xml:space="preserve"> santé. Ces difficultés ont été exacerbées en particulier par la crise provoquée par la pandémie de COVID-19.</w:t>
      </w:r>
    </w:p>
    <w:p w14:paraId="531A36F2" w14:textId="560DA78D" w:rsidR="00FA40E8" w:rsidRDefault="00E74AE8">
      <w:pPr>
        <w:pStyle w:val="P68B1DB1-Normal4"/>
        <w:jc w:val="both"/>
        <w:rPr>
          <w:rFonts w:cs="Times New Roman"/>
          <w:noProof/>
          <w:szCs w:val="24"/>
        </w:rPr>
      </w:pPr>
      <w:r>
        <w:rPr>
          <w:noProof/>
        </w:rPr>
        <w:t>Ce volet comprend un ensemble de réformes et d’investissements liés: (1) améliorer la qualité et l’accessibilité des services de santé et promouvo</w:t>
      </w:r>
      <w:r>
        <w:rPr>
          <w:noProof/>
        </w:rPr>
        <w:t>ir l’innovation, (2) améliorer les services de soins de longue durée et (3) renforcer la résilience du système de soins de santé face aux situations d’urgence. En ce qui concerne les réformes, elles se concentrent sur la poursuite du passage aux soins ambu</w:t>
      </w:r>
      <w:r>
        <w:rPr>
          <w:noProof/>
        </w:rPr>
        <w:t>latoires, la réorganisation du réseau hospitalier, la numérisation des soins de santé, l’amélioration des conditions de travail des professionnels de la santé, les pénuries et les compétences du personnel de santé, l’introduction de mesures visant à amélio</w:t>
      </w:r>
      <w:r>
        <w:rPr>
          <w:noProof/>
        </w:rPr>
        <w:t>rer la qualité des soins de santé, le renforcement des mesures de prévention et l’amélioration de l’accès aux soins de longue durée, la réforme des modes de financement des soins de santé afin de réduire la dépendance à l’égard des contributions liées à l’</w:t>
      </w:r>
      <w:r>
        <w:rPr>
          <w:noProof/>
        </w:rPr>
        <w:t>emploi. En ce qui concerne les investissements, le plan comprend des mesures ciblées visant à créer un centre de thérapies innovantes, à mettre en place une plateforme de compétences pour les professionnels de la santé, à numériser le système de santé, à é</w:t>
      </w:r>
      <w:r>
        <w:rPr>
          <w:noProof/>
        </w:rPr>
        <w:t>laborer un modèle intégré d’évaluation de la qualité des soins de santé, à mettre en place des centres de jour pour les soins de longue durée et des équipes mobiles. Afin d’accroître l’efficacité de la fourniture de services de santé dans les situations d’</w:t>
      </w:r>
      <w:r>
        <w:rPr>
          <w:noProof/>
        </w:rPr>
        <w:t>urgence sanitaire et de renforcer la résilience du système de santé, des investissements sont envisagés pour moderniser les infrastructures des établissements de soins de santé afin d’adapter le travail dans les situations d’urgence et de crise.</w:t>
      </w:r>
    </w:p>
    <w:p w14:paraId="2FBABB15" w14:textId="77777777" w:rsidR="00FA40E8" w:rsidRDefault="00E74AE8">
      <w:pPr>
        <w:pStyle w:val="P68B1DB1-Normal4"/>
        <w:jc w:val="both"/>
        <w:rPr>
          <w:rFonts w:cs="Times New Roman"/>
          <w:noProof/>
        </w:rPr>
      </w:pPr>
      <w:r>
        <w:rPr>
          <w:noProof/>
        </w:rPr>
        <w:t>Les mesure</w:t>
      </w:r>
      <w:r>
        <w:rPr>
          <w:noProof/>
        </w:rPr>
        <w:t>s incluses dans le volet devraient relever certains défis mis en évidence par la recommandation par pays visant à renforcer la résilience du système de santé et à améliorer l’accessibilité et la qualité des services de santé (recommandation par pays no 202</w:t>
      </w:r>
      <w:r>
        <w:rPr>
          <w:noProof/>
        </w:rPr>
        <w:t>0) ainsi qu’à accroître la qualité, le caractère abordable et l’efficacité du système de soins de santé (recommandation par pays no 2019).</w:t>
      </w:r>
    </w:p>
    <w:p w14:paraId="29A7DC56" w14:textId="77777777" w:rsidR="00FA40E8" w:rsidRDefault="00E74AE8">
      <w:pPr>
        <w:pStyle w:val="P68B1DB1-Normal4"/>
        <w:jc w:val="both"/>
        <w:rPr>
          <w:noProof/>
        </w:rPr>
      </w:pPr>
      <w:r>
        <w:rPr>
          <w:noProof/>
        </w:rPr>
        <w:t>Aucune mesure relevant de ce volet ne devrait causer de préjudice important aux objectifs environnementaux au sens de</w:t>
      </w:r>
      <w:r>
        <w:rPr>
          <w:noProof/>
        </w:rPr>
        <w:t xml:space="preserve"> l’article 17 du règlement (UE) 2020/852, compte tenu de la description des mesures et des mesures d’atténuation prévues dans le plan pour la reprise et la résilience conformément aux orientations techniques DNSH (2021/C58/01).</w:t>
      </w:r>
    </w:p>
    <w:p w14:paraId="48AB8913" w14:textId="77777777" w:rsidR="00FA40E8" w:rsidRDefault="00FA40E8">
      <w:pPr>
        <w:jc w:val="both"/>
        <w:rPr>
          <w:rFonts w:ascii="Times New Roman" w:hAnsi="Times New Roman" w:cs="Times New Roman"/>
          <w:noProof/>
          <w:sz w:val="24"/>
        </w:rPr>
      </w:pPr>
    </w:p>
    <w:p w14:paraId="27BCA290" w14:textId="73E26167" w:rsidR="00FA40E8" w:rsidRDefault="00E74AE8">
      <w:pPr>
        <w:pStyle w:val="P68B1DB1-Text15"/>
        <w:keepNext/>
        <w:keepLines/>
        <w:spacing w:before="0" w:after="200" w:line="276" w:lineRule="auto"/>
        <w:ind w:left="0"/>
        <w:outlineLvl w:val="1"/>
        <w:rPr>
          <w:noProof/>
        </w:rPr>
      </w:pPr>
      <w:r>
        <w:rPr>
          <w:noProof/>
        </w:rPr>
        <w:t xml:space="preserve">A.1. Description des </w:t>
      </w:r>
      <w:r>
        <w:rPr>
          <w:noProof/>
        </w:rPr>
        <w:t>réformes et des investissements en vue d’un soutien financier non remboursable</w:t>
      </w:r>
    </w:p>
    <w:p w14:paraId="0AB5478E" w14:textId="77777777" w:rsidR="00FA40E8" w:rsidRDefault="00E74AE8">
      <w:pPr>
        <w:pStyle w:val="P68B1DB1-Normal6"/>
        <w:jc w:val="both"/>
        <w:rPr>
          <w:rFonts w:eastAsia="Times New Roman" w:cs="Times New Roman"/>
          <w:noProof/>
        </w:rPr>
      </w:pPr>
      <w:r>
        <w:rPr>
          <w:noProof/>
        </w:rPr>
        <w:t>A.1.1. Réforme 1: «Améliorer la qualité et l’accessibilité des services de santé et promouvoir l’innovation»</w:t>
      </w:r>
    </w:p>
    <w:p w14:paraId="3A54AF5F" w14:textId="51B0BA04" w:rsidR="00FA40E8" w:rsidRDefault="00E74AE8">
      <w:pPr>
        <w:pStyle w:val="P68B1DB1-Normal4"/>
        <w:jc w:val="both"/>
        <w:rPr>
          <w:rFonts w:cs="Times New Roman"/>
          <w:noProof/>
          <w:szCs w:val="24"/>
        </w:rPr>
      </w:pPr>
      <w:r>
        <w:rPr>
          <w:noProof/>
        </w:rPr>
        <w:t>L’objectif de la réforme est d’améliorer la qualité et l’accessibili</w:t>
      </w:r>
      <w:r>
        <w:rPr>
          <w:noProof/>
        </w:rPr>
        <w:t>té des soins de santé, en mettant l’accent sur les soins primaires, les soins ambulatoires spécialisés, la numérisation du secteur de la santé et l’innovation. Cette réforme comprend 11 sous-mesures: (1) cadre législatif régissant l’organisation, la gestio</w:t>
      </w:r>
      <w:r>
        <w:rPr>
          <w:noProof/>
        </w:rPr>
        <w:t>n et la fourniture de services d’ambulances (sous-mesure 1); (2) développement d’un système de santé numérique facilitant l’utilisation secondaire des données de santé (sous-mesure 2); (3) plan d’action pour le développement de la médecine familiale 2016-2</w:t>
      </w:r>
      <w:r>
        <w:rPr>
          <w:noProof/>
        </w:rPr>
        <w:t>025 (sous-mesure 3); (4) mise en place d’un modèle de prestation de services de santé publique de base (sous-mesure 4); (5) amélioration des conditions de travail et des qualifications professionnelles des professionnels de la santé (sous-mesure 5); (6) mi</w:t>
      </w:r>
      <w:r>
        <w:rPr>
          <w:noProof/>
        </w:rPr>
        <w:t>se en place d’un réseau d’établissements de soins de santé individuels sur le modèle de la coopération régionale (sous-mesure 6); (7) création d’un centre de thérapies innovantes (sous-mesure 7); (8) collecte de données génomiques de référence (sous-mesure</w:t>
      </w:r>
      <w:r>
        <w:rPr>
          <w:noProof/>
        </w:rPr>
        <w:t xml:space="preserve"> 8); (9) création d’une plateforme de compétences pour les professionnels de la santé (sous-mesure 9); (10) élaboration d’un tableau de bord des indicateurs de qualité des services de soins de santé (sous-mesure 10); (11) numérisation du secteur des soins </w:t>
      </w:r>
      <w:r>
        <w:rPr>
          <w:noProof/>
        </w:rPr>
        <w:t xml:space="preserve">de santé (sous-mesure 11). </w:t>
      </w:r>
    </w:p>
    <w:p w14:paraId="5DD89ABD" w14:textId="77777777" w:rsidR="00FA40E8" w:rsidRDefault="00E74AE8">
      <w:pPr>
        <w:pStyle w:val="P68B1DB1-Normal4"/>
        <w:jc w:val="both"/>
        <w:rPr>
          <w:rFonts w:cs="Times New Roman"/>
          <w:noProof/>
          <w:szCs w:val="24"/>
        </w:rPr>
      </w:pPr>
      <w:r>
        <w:rPr>
          <w:noProof/>
          <w:u w:val="single"/>
        </w:rPr>
        <w:t>A.1.1.1. Sous-mesure 1: Cadre législatif régissant l’organisation, la gestion et la fourniture de services d’ambulances</w:t>
      </w:r>
      <w:r>
        <w:rPr>
          <w:noProof/>
        </w:rPr>
        <w:t xml:space="preserve"> </w:t>
      </w:r>
    </w:p>
    <w:p w14:paraId="59B52C96" w14:textId="4F7B9750" w:rsidR="00FA40E8" w:rsidRDefault="00E74AE8">
      <w:pPr>
        <w:pStyle w:val="P68B1DB1-Normal4"/>
        <w:jc w:val="both"/>
        <w:rPr>
          <w:rFonts w:cs="Times New Roman"/>
          <w:noProof/>
          <w:szCs w:val="24"/>
        </w:rPr>
      </w:pPr>
      <w:r>
        <w:rPr>
          <w:noProof/>
        </w:rPr>
        <w:t>L’objectif de cette sous-mesure est d’adopter des modifications de la loi sur les établissements de soins d</w:t>
      </w:r>
      <w:r>
        <w:rPr>
          <w:noProof/>
        </w:rPr>
        <w:t>e santé et de la loi sur le système de santé de la République de Lituanie et de la législation connexe établissant un modèle centralisé pour l’organisation des soins d’urgence en intégrant les centres d’expédition des ambulances dans un système unique du c</w:t>
      </w:r>
      <w:r>
        <w:rPr>
          <w:noProof/>
        </w:rPr>
        <w:t xml:space="preserve">entre de réaction d’urgence. </w:t>
      </w:r>
    </w:p>
    <w:p w14:paraId="167C4DDD" w14:textId="77777777" w:rsidR="00FA40E8" w:rsidRDefault="00E74AE8">
      <w:pPr>
        <w:pStyle w:val="P68B1DB1-Normal4"/>
        <w:jc w:val="both"/>
        <w:rPr>
          <w:rFonts w:cs="Times New Roman"/>
          <w:noProof/>
          <w:szCs w:val="24"/>
        </w:rPr>
      </w:pPr>
      <w:r>
        <w:rPr>
          <w:noProof/>
        </w:rPr>
        <w:t>La sous-mesure est achevée au plus tard le 31 décembre 2022.</w:t>
      </w:r>
    </w:p>
    <w:p w14:paraId="39C3C2D2" w14:textId="77777777" w:rsidR="00FA40E8" w:rsidRDefault="00E74AE8">
      <w:pPr>
        <w:pStyle w:val="P68B1DB1-Normal6"/>
        <w:jc w:val="both"/>
        <w:rPr>
          <w:rFonts w:cs="Times New Roman"/>
          <w:noProof/>
          <w:szCs w:val="24"/>
        </w:rPr>
      </w:pPr>
      <w:r>
        <w:rPr>
          <w:noProof/>
        </w:rPr>
        <w:t>A.1.1.2. Sous-mesure 2: Développement d’un système de santé numérique facilitant l’utilisation secondaire des données de santé</w:t>
      </w:r>
    </w:p>
    <w:p w14:paraId="33D0BB60" w14:textId="000EDBEE" w:rsidR="00FA40E8" w:rsidRDefault="00E74AE8">
      <w:pPr>
        <w:pStyle w:val="P68B1DB1-Normal4"/>
        <w:jc w:val="both"/>
        <w:rPr>
          <w:noProof/>
          <w:szCs w:val="24"/>
        </w:rPr>
      </w:pPr>
      <w:r>
        <w:rPr>
          <w:noProof/>
        </w:rPr>
        <w:t>L’objectif de cette sous-mesure est d’</w:t>
      </w:r>
      <w:r>
        <w:rPr>
          <w:noProof/>
        </w:rPr>
        <w:t>adopter une législation sur l’utilisation secondaire des données de santé. Dans ce contexte, une cartographie des ressources d’information des systèmes de soins de santé est préparée et une analyse de la maturité des systèmes d’information est effectuée, é</w:t>
      </w:r>
      <w:r>
        <w:rPr>
          <w:noProof/>
        </w:rPr>
        <w:t xml:space="preserve">valuant leur intégrité avec d’autres systèmes d’information. Sur cette base, des décisions sont prises pour optimiser les ressources contribuant au système informatique de soins de santé coordonné, de haute qualité et interopérable. </w:t>
      </w:r>
    </w:p>
    <w:p w14:paraId="2A95DE92" w14:textId="4513CA52" w:rsidR="00FA40E8" w:rsidRDefault="00E74AE8">
      <w:pPr>
        <w:pStyle w:val="P68B1DB1-Normal4"/>
        <w:jc w:val="both"/>
        <w:rPr>
          <w:noProof/>
          <w:szCs w:val="24"/>
        </w:rPr>
      </w:pPr>
      <w:r>
        <w:rPr>
          <w:noProof/>
        </w:rPr>
        <w:t>La sous-mesure est ach</w:t>
      </w:r>
      <w:r>
        <w:rPr>
          <w:noProof/>
        </w:rPr>
        <w:t>evée au plus tard le 30 septembre 2022.</w:t>
      </w:r>
    </w:p>
    <w:p w14:paraId="528853EA" w14:textId="77777777" w:rsidR="00FA40E8" w:rsidRDefault="00E74AE8">
      <w:pPr>
        <w:pStyle w:val="P68B1DB1-Normal4"/>
        <w:jc w:val="both"/>
        <w:rPr>
          <w:rFonts w:cs="Times New Roman"/>
          <w:noProof/>
          <w:szCs w:val="24"/>
        </w:rPr>
      </w:pPr>
      <w:r>
        <w:rPr>
          <w:noProof/>
          <w:u w:val="single"/>
        </w:rPr>
        <w:t>A.1.1.3. Sous-mesure 3: Plan d’action pour le développement de la médecine familiale 2016-2025</w:t>
      </w:r>
      <w:r>
        <w:rPr>
          <w:noProof/>
        </w:rPr>
        <w:t xml:space="preserve"> </w:t>
      </w:r>
    </w:p>
    <w:p w14:paraId="53081FC8" w14:textId="77777777" w:rsidR="00FA40E8" w:rsidRDefault="00E74AE8">
      <w:pPr>
        <w:pStyle w:val="P68B1DB1-Normal4"/>
        <w:jc w:val="both"/>
        <w:rPr>
          <w:rFonts w:cs="Times New Roman"/>
          <w:noProof/>
          <w:szCs w:val="24"/>
        </w:rPr>
      </w:pPr>
      <w:r>
        <w:rPr>
          <w:noProof/>
        </w:rPr>
        <w:t>L’objectif de cette sous-mesure est d’adopter un plan d’action actualisé sur le développement de la médecine familiale p</w:t>
      </w:r>
      <w:r>
        <w:rPr>
          <w:noProof/>
        </w:rPr>
        <w:t>our la période 2016-2025. Le plan d’action qui doit être adopté par le ministère de la santé doit permettre aux médecins généralistes de se concentrer plus efficacement sur les patients et les patients pour accéder à un éventail plus large de soins de sant</w:t>
      </w:r>
      <w:r>
        <w:rPr>
          <w:noProof/>
        </w:rPr>
        <w:t>é. Les partenaires sociaux sont consultés.</w:t>
      </w:r>
    </w:p>
    <w:p w14:paraId="79B82B72" w14:textId="77777777" w:rsidR="00FA40E8" w:rsidRDefault="00E74AE8">
      <w:pPr>
        <w:pStyle w:val="P68B1DB1-Normal4"/>
        <w:jc w:val="both"/>
        <w:rPr>
          <w:rFonts w:cs="Times New Roman"/>
          <w:noProof/>
          <w:szCs w:val="24"/>
        </w:rPr>
      </w:pPr>
      <w:r>
        <w:rPr>
          <w:noProof/>
        </w:rPr>
        <w:t>La sous-mesure est achevée au plus tard le 31 décembre 2022.</w:t>
      </w:r>
    </w:p>
    <w:p w14:paraId="2967B4EB" w14:textId="7495144A" w:rsidR="00FA40E8" w:rsidRDefault="00E74AE8">
      <w:pPr>
        <w:pStyle w:val="P68B1DB1-Normal6"/>
        <w:jc w:val="both"/>
        <w:rPr>
          <w:rFonts w:cs="Times New Roman"/>
          <w:noProof/>
          <w:szCs w:val="24"/>
        </w:rPr>
      </w:pPr>
      <w:r>
        <w:rPr>
          <w:noProof/>
        </w:rPr>
        <w:t xml:space="preserve">A.1.1.4. Sous-mesure 4: Mise en place d’un modèle de prestation de services de santé publique de base </w:t>
      </w:r>
    </w:p>
    <w:p w14:paraId="3203515F" w14:textId="48E01036" w:rsidR="00FA40E8" w:rsidRDefault="00E74AE8">
      <w:pPr>
        <w:pStyle w:val="P68B1DB1-Normal4"/>
        <w:jc w:val="both"/>
        <w:rPr>
          <w:rFonts w:eastAsia="Calibri" w:cs="Arial"/>
          <w:noProof/>
          <w:szCs w:val="24"/>
        </w:rPr>
      </w:pPr>
      <w:r>
        <w:rPr>
          <w:noProof/>
        </w:rPr>
        <w:t xml:space="preserve">L’objectif de cette sous-mesure est d’établir un </w:t>
      </w:r>
      <w:r>
        <w:rPr>
          <w:noProof/>
        </w:rPr>
        <w:t>modèle de prestation de services de santé publique de base visant à assurer l’égalité d’accès aux services de santé publique municipaux pour les groupes cibles de la société, y compris pour les personnes vulnérables.</w:t>
      </w:r>
    </w:p>
    <w:p w14:paraId="6D729256" w14:textId="2A4133C3" w:rsidR="00FA40E8" w:rsidRDefault="00E74AE8">
      <w:pPr>
        <w:pStyle w:val="P68B1DB1-Normal4"/>
        <w:jc w:val="both"/>
        <w:rPr>
          <w:rFonts w:eastAsia="Calibri" w:cs="Arial"/>
          <w:noProof/>
          <w:szCs w:val="24"/>
        </w:rPr>
      </w:pPr>
      <w:r>
        <w:rPr>
          <w:noProof/>
        </w:rPr>
        <w:t>La législation relative à la fourniture</w:t>
      </w:r>
      <w:r>
        <w:rPr>
          <w:noProof/>
        </w:rPr>
        <w:t xml:space="preserve"> et au suivi des services de santé publique de base par les municipalités entrera en vigueur. Un plan définissant les services de santé publique de base à fournir par les municipalités est approuvé par la commission pour le développement des soins de santé</w:t>
      </w:r>
      <w:r>
        <w:rPr>
          <w:noProof/>
        </w:rPr>
        <w:t xml:space="preserve"> publique. Ce plan comprend des indicateurs permettant de suivre la prestation des services et d’identifier les principaux groupes cibles. </w:t>
      </w:r>
    </w:p>
    <w:p w14:paraId="565683B4" w14:textId="2B217473" w:rsidR="00FA40E8" w:rsidRDefault="00E74AE8">
      <w:pPr>
        <w:pStyle w:val="P68B1DB1-Normal7"/>
        <w:jc w:val="both"/>
        <w:rPr>
          <w:noProof/>
          <w:szCs w:val="24"/>
        </w:rPr>
      </w:pPr>
      <w:r>
        <w:rPr>
          <w:noProof/>
        </w:rPr>
        <w:t xml:space="preserve">Le plan approuvé pour le modèle de prestation des services de soins de santé publics de base est publié sur le site </w:t>
      </w:r>
      <w:r>
        <w:rPr>
          <w:noProof/>
        </w:rPr>
        <w:t>web du ministère de la santé.</w:t>
      </w:r>
    </w:p>
    <w:p w14:paraId="79988A5C" w14:textId="77777777" w:rsidR="00FA40E8" w:rsidRDefault="00E74AE8">
      <w:pPr>
        <w:pStyle w:val="P68B1DB1-Normal4"/>
        <w:jc w:val="both"/>
        <w:rPr>
          <w:rFonts w:cs="Times New Roman"/>
          <w:noProof/>
          <w:szCs w:val="24"/>
        </w:rPr>
      </w:pPr>
      <w:r>
        <w:rPr>
          <w:noProof/>
        </w:rPr>
        <w:t>La sous-mesure est achevée au plus tard le 31 mars 2023.</w:t>
      </w:r>
    </w:p>
    <w:p w14:paraId="6C00DD63" w14:textId="77777777" w:rsidR="00FA40E8" w:rsidRDefault="00E74AE8">
      <w:pPr>
        <w:pStyle w:val="P68B1DB1-Normal4"/>
        <w:jc w:val="both"/>
        <w:rPr>
          <w:rFonts w:cs="Times New Roman"/>
          <w:noProof/>
          <w:szCs w:val="24"/>
        </w:rPr>
      </w:pPr>
      <w:r>
        <w:rPr>
          <w:noProof/>
          <w:u w:val="single"/>
        </w:rPr>
        <w:t>A.1.1.5. Sous-mesure 5: Amélioration des conditions de travail et des qualifications professionnelles des professionnels de la santé</w:t>
      </w:r>
      <w:r>
        <w:rPr>
          <w:noProof/>
        </w:rPr>
        <w:t xml:space="preserve"> </w:t>
      </w:r>
    </w:p>
    <w:p w14:paraId="783A0371" w14:textId="29C9CA05" w:rsidR="00FA40E8" w:rsidRDefault="00E74AE8">
      <w:pPr>
        <w:pStyle w:val="P68B1DB1-Normal4"/>
        <w:jc w:val="both"/>
        <w:rPr>
          <w:rFonts w:cs="Times New Roman"/>
          <w:noProof/>
          <w:szCs w:val="24"/>
        </w:rPr>
      </w:pPr>
      <w:r>
        <w:rPr>
          <w:noProof/>
        </w:rPr>
        <w:t>L’objectif de cette sous-mesure est</w:t>
      </w:r>
      <w:r>
        <w:rPr>
          <w:noProof/>
        </w:rPr>
        <w:t xml:space="preserve"> d’adopter une législation sur l’amélioration des conditions de travail et des qualifications professionnelles des professionnels de la santé. Les décisions relatives à la capacité financière de l’État à respecter les dispositions du projet d’accord sont é</w:t>
      </w:r>
      <w:r>
        <w:rPr>
          <w:noProof/>
        </w:rPr>
        <w:t>valuées et adoptées. En outre, un plan d’action visant à améliorer l’état psycho-émotionnel des médecins est élaboré et approuvé par arrêté du ministre de la santé. Un groupe de travail est créé pour mettre au point un mécanisme de formation continue des p</w:t>
      </w:r>
      <w:r>
        <w:rPr>
          <w:noProof/>
        </w:rPr>
        <w:t xml:space="preserve">rofessionnels de la santé. </w:t>
      </w:r>
    </w:p>
    <w:p w14:paraId="64A2F637" w14:textId="77777777" w:rsidR="00FA40E8" w:rsidRDefault="00E74AE8">
      <w:pPr>
        <w:pStyle w:val="P68B1DB1-Normal4"/>
        <w:jc w:val="both"/>
        <w:rPr>
          <w:rFonts w:cs="Times New Roman"/>
          <w:noProof/>
          <w:szCs w:val="24"/>
        </w:rPr>
      </w:pPr>
      <w:r>
        <w:rPr>
          <w:noProof/>
        </w:rPr>
        <w:t>La sous-mesure est achevée au plus tard le 30 juin 2023.</w:t>
      </w:r>
    </w:p>
    <w:p w14:paraId="5ACC9909" w14:textId="77777777" w:rsidR="00FA40E8" w:rsidRDefault="00E74AE8">
      <w:pPr>
        <w:pStyle w:val="P68B1DB1-Normal4"/>
        <w:jc w:val="both"/>
        <w:rPr>
          <w:rFonts w:cs="Times New Roman"/>
          <w:noProof/>
          <w:szCs w:val="24"/>
        </w:rPr>
      </w:pPr>
      <w:r>
        <w:rPr>
          <w:noProof/>
          <w:u w:val="single"/>
        </w:rPr>
        <w:t>A.1.1.6. Sous-mesure 6: Mise en place d’un réseau d’établissements de soins de santé individuels sur le modèle de la coopération régionale</w:t>
      </w:r>
      <w:r>
        <w:rPr>
          <w:noProof/>
        </w:rPr>
        <w:t xml:space="preserve"> </w:t>
      </w:r>
    </w:p>
    <w:p w14:paraId="7617CE2D" w14:textId="49422BD0" w:rsidR="00FA40E8" w:rsidRDefault="00E74AE8">
      <w:pPr>
        <w:pStyle w:val="P68B1DB1-Normal4"/>
        <w:jc w:val="both"/>
        <w:rPr>
          <w:rFonts w:cs="Times New Roman"/>
          <w:noProof/>
          <w:szCs w:val="24"/>
        </w:rPr>
      </w:pPr>
      <w:r>
        <w:rPr>
          <w:noProof/>
        </w:rPr>
        <w:t>L’objectif de cette sous-mesure</w:t>
      </w:r>
      <w:r>
        <w:rPr>
          <w:noProof/>
        </w:rPr>
        <w:t xml:space="preserve"> est d’adopter une législation relative à la mise en place et à la réglementation d’un réseau d’établissements de soins de santé individuels fondé sur le modèle des centres d’excellence et de la coopération régionale. Les principes et critères pour la cons</w:t>
      </w:r>
      <w:r>
        <w:rPr>
          <w:noProof/>
        </w:rPr>
        <w:t xml:space="preserve">titution d’un réseau d’établissements de soins de santé individuels sont élaborés et un mécanisme de coopération entre les établissements de soins de santé individuels et les centres d’excellence est établi. Une décision du gouvernement sur les actions de </w:t>
      </w:r>
      <w:r>
        <w:rPr>
          <w:noProof/>
        </w:rPr>
        <w:t xml:space="preserve">réglementation, d’investissement et de communication nécessaires pour constituer un réseau durable d’établissements de soins de santé est adoptée. </w:t>
      </w:r>
    </w:p>
    <w:p w14:paraId="22974D19" w14:textId="77777777" w:rsidR="00FA40E8" w:rsidRDefault="00E74AE8">
      <w:pPr>
        <w:pStyle w:val="P68B1DB1-Normal4"/>
        <w:jc w:val="both"/>
        <w:rPr>
          <w:noProof/>
          <w:szCs w:val="24"/>
        </w:rPr>
      </w:pPr>
      <w:r>
        <w:rPr>
          <w:noProof/>
        </w:rPr>
        <w:t xml:space="preserve">La sous-mesure est achevée au plus tard le 30 septembre 2023. </w:t>
      </w:r>
    </w:p>
    <w:p w14:paraId="5A68D813" w14:textId="37B129A4" w:rsidR="00FA40E8" w:rsidRDefault="00E74AE8">
      <w:pPr>
        <w:pStyle w:val="P68B1DB1-Normal4"/>
        <w:jc w:val="both"/>
        <w:rPr>
          <w:rFonts w:cs="Times New Roman"/>
          <w:noProof/>
        </w:rPr>
      </w:pPr>
      <w:r>
        <w:rPr>
          <w:noProof/>
          <w:u w:val="single"/>
        </w:rPr>
        <w:t xml:space="preserve">A.1.1.7. Sous-mesure 7: Création d’un centre </w:t>
      </w:r>
      <w:r>
        <w:rPr>
          <w:noProof/>
          <w:u w:val="single"/>
        </w:rPr>
        <w:t>de thérapies innovantes</w:t>
      </w:r>
      <w:r>
        <w:rPr>
          <w:noProof/>
        </w:rPr>
        <w:t xml:space="preserve"> </w:t>
      </w:r>
    </w:p>
    <w:p w14:paraId="53EC8056" w14:textId="56DAC534" w:rsidR="00FA40E8" w:rsidRDefault="00E74AE8">
      <w:pPr>
        <w:pStyle w:val="P68B1DB1-Normal4"/>
        <w:jc w:val="both"/>
        <w:rPr>
          <w:rFonts w:cs="Times New Roman"/>
          <w:noProof/>
          <w:szCs w:val="24"/>
        </w:rPr>
      </w:pPr>
      <w:r>
        <w:rPr>
          <w:noProof/>
        </w:rPr>
        <w:t xml:space="preserve">L’objectif de cette sous-mesure est de créer un centre pour les thérapies innovantes afin de garantir la disponibilité de ces dernières. Cette sous-mesure consiste en une extension de l’infrastructure de l’hôpital universitaire de </w:t>
      </w:r>
      <w:r>
        <w:rPr>
          <w:noProof/>
        </w:rPr>
        <w:t xml:space="preserve">Vilnius. </w:t>
      </w:r>
    </w:p>
    <w:p w14:paraId="3304428E" w14:textId="349A2504" w:rsidR="00FA40E8" w:rsidRDefault="00E74AE8">
      <w:pPr>
        <w:pStyle w:val="P68B1DB1-Normal6"/>
        <w:jc w:val="both"/>
        <w:rPr>
          <w:noProof/>
          <w:szCs w:val="24"/>
        </w:rPr>
      </w:pPr>
      <w:r>
        <w:rPr>
          <w:noProof/>
        </w:rPr>
        <w:t>A.1.1.8. Sous-mesure 8: Collecte de données génomiques de référence</w:t>
      </w:r>
    </w:p>
    <w:p w14:paraId="7A5B082D" w14:textId="21CC30B6" w:rsidR="00FA40E8" w:rsidRDefault="00E74AE8">
      <w:pPr>
        <w:pStyle w:val="P68B1DB1-Normal4"/>
        <w:jc w:val="both"/>
        <w:rPr>
          <w:noProof/>
        </w:rPr>
      </w:pPr>
      <w:r>
        <w:rPr>
          <w:noProof/>
        </w:rPr>
        <w:t>L’objectif de cette sous-mesure est de contribuer à la recherche génétique en Lituanie. Cette sous-mesure consiste à collect</w:t>
      </w:r>
      <w:r>
        <w:rPr>
          <w:noProof/>
        </w:rPr>
        <w:t xml:space="preserve">er des données de référence sur le génome des citoyens lituaniens. </w:t>
      </w:r>
    </w:p>
    <w:p w14:paraId="287DB03F" w14:textId="2D92C24C" w:rsidR="00FA40E8" w:rsidRDefault="00E74AE8">
      <w:pPr>
        <w:pStyle w:val="P68B1DB1-Normal4"/>
        <w:jc w:val="both"/>
        <w:rPr>
          <w:rFonts w:cs="Times New Roman"/>
          <w:noProof/>
          <w:szCs w:val="24"/>
        </w:rPr>
      </w:pPr>
      <w:r>
        <w:rPr>
          <w:noProof/>
          <w:u w:val="single"/>
        </w:rPr>
        <w:t>A.1.1.9. Sous-mesure 9: Mise en place d’une plateforme de compétences pour les professionnels de la santé</w:t>
      </w:r>
      <w:r>
        <w:rPr>
          <w:noProof/>
        </w:rPr>
        <w:t xml:space="preserve"> </w:t>
      </w:r>
    </w:p>
    <w:p w14:paraId="78DF3806" w14:textId="77777777" w:rsidR="00FA40E8" w:rsidRDefault="00E74AE8">
      <w:pPr>
        <w:pStyle w:val="P68B1DB1-Normal4"/>
        <w:jc w:val="both"/>
        <w:rPr>
          <w:rFonts w:cs="Times New Roman"/>
          <w:noProof/>
          <w:szCs w:val="24"/>
        </w:rPr>
      </w:pPr>
      <w:r>
        <w:rPr>
          <w:noProof/>
        </w:rPr>
        <w:t>L’objectif de cette sous-mesure est de mettre en place une plateforme de compéten</w:t>
      </w:r>
      <w:r>
        <w:rPr>
          <w:noProof/>
        </w:rPr>
        <w:t>ces pour les professionnels de la santé, qui sera utilisée pour identifier, surveiller et gérer le développement des compétences des professionnels de la santé. Elle tient un registre des licences des professionnels de la santé conformément au cadre réglem</w:t>
      </w:r>
      <w:r>
        <w:rPr>
          <w:noProof/>
        </w:rPr>
        <w:t xml:space="preserve">entaire applicable et en lien avec le registre des licences des pratiques professionnelles dans le domaine des soins de santé et des produits pharmaceutiques. </w:t>
      </w:r>
    </w:p>
    <w:p w14:paraId="267547E6" w14:textId="557EB153" w:rsidR="00FA40E8" w:rsidRDefault="00E74AE8">
      <w:pPr>
        <w:pStyle w:val="P68B1DB1-Normal4"/>
        <w:jc w:val="both"/>
        <w:rPr>
          <w:strike/>
          <w:noProof/>
          <w:szCs w:val="24"/>
        </w:rPr>
      </w:pPr>
      <w:r>
        <w:rPr>
          <w:noProof/>
        </w:rPr>
        <w:t>La sous-mesure est achevée au plus tard le 31 mars 2026.</w:t>
      </w:r>
    </w:p>
    <w:p w14:paraId="7C5416FF" w14:textId="31758145" w:rsidR="00FA40E8" w:rsidRDefault="00E74AE8">
      <w:pPr>
        <w:pStyle w:val="P68B1DB1-Normal4"/>
        <w:jc w:val="both"/>
        <w:rPr>
          <w:rFonts w:cs="Times New Roman"/>
          <w:noProof/>
          <w:szCs w:val="24"/>
        </w:rPr>
      </w:pPr>
      <w:r>
        <w:rPr>
          <w:noProof/>
          <w:u w:val="single"/>
        </w:rPr>
        <w:t>A.1.1.10. Sous-mesure 10: Tableau de bo</w:t>
      </w:r>
      <w:r>
        <w:rPr>
          <w:noProof/>
          <w:u w:val="single"/>
        </w:rPr>
        <w:t>rd de l’indicateur de qualité des services de santé</w:t>
      </w:r>
      <w:r>
        <w:rPr>
          <w:noProof/>
        </w:rPr>
        <w:t xml:space="preserve"> </w:t>
      </w:r>
    </w:p>
    <w:p w14:paraId="2316EBE0" w14:textId="03ED1507" w:rsidR="00FA40E8" w:rsidRDefault="00E74AE8">
      <w:pPr>
        <w:pStyle w:val="P68B1DB1-Normal8"/>
        <w:jc w:val="both"/>
        <w:rPr>
          <w:rFonts w:ascii="Times New Roman" w:eastAsia="Times New Roman" w:hAnsi="Times New Roman" w:cs="Times New Roman"/>
          <w:noProof/>
          <w:szCs w:val="24"/>
        </w:rPr>
      </w:pPr>
      <w:r>
        <w:rPr>
          <w:rFonts w:ascii="Times New Roman" w:hAnsi="Times New Roman"/>
          <w:noProof/>
        </w:rPr>
        <w:t>L’objectif de cette sous-mesure est de permettre le suivi de la qualité des services de santé au moyen d’un panneau d’affichage du système de santé. Cette sous-mesure consiste à rendre accessible au publ</w:t>
      </w:r>
      <w:r>
        <w:rPr>
          <w:rFonts w:ascii="Times New Roman" w:hAnsi="Times New Roman"/>
          <w:noProof/>
        </w:rPr>
        <w:t xml:space="preserve">ic le tableau </w:t>
      </w:r>
      <w:r>
        <w:rPr>
          <w:rFonts w:ascii="Times New Roman" w:eastAsia="Segoe UI" w:hAnsi="Times New Roman" w:cs="Times New Roman"/>
          <w:noProof/>
          <w:color w:val="333333"/>
        </w:rPr>
        <w:t>de bord de l’indicateur de qualité des services de soins</w:t>
      </w:r>
      <w:r>
        <w:rPr>
          <w:rFonts w:ascii="Times New Roman" w:hAnsi="Times New Roman"/>
          <w:noProof/>
        </w:rPr>
        <w:t xml:space="preserve"> de santé. </w:t>
      </w:r>
    </w:p>
    <w:p w14:paraId="2FCEE2B7" w14:textId="5F5E13D6" w:rsidR="00FA40E8" w:rsidRDefault="00E74AE8">
      <w:pPr>
        <w:pStyle w:val="P68B1DB1-Normal4"/>
        <w:jc w:val="both"/>
        <w:rPr>
          <w:rFonts w:cs="Times New Roman"/>
          <w:noProof/>
        </w:rPr>
      </w:pPr>
      <w:r>
        <w:rPr>
          <w:noProof/>
          <w:u w:val="single"/>
        </w:rPr>
        <w:t>A.1.1.11. Sous-mesure 11: Numérisation du secteur des soins de santé</w:t>
      </w:r>
      <w:r>
        <w:rPr>
          <w:noProof/>
        </w:rPr>
        <w:t xml:space="preserve"> </w:t>
      </w:r>
    </w:p>
    <w:p w14:paraId="72782E8E" w14:textId="59D85615" w:rsidR="00FA40E8" w:rsidRDefault="00E74AE8">
      <w:pPr>
        <w:pStyle w:val="P68B1DB1-Normal4"/>
        <w:jc w:val="both"/>
        <w:rPr>
          <w:rFonts w:eastAsia="Times New Roman" w:cs="Times New Roman"/>
          <w:noProof/>
          <w:szCs w:val="24"/>
        </w:rPr>
      </w:pPr>
      <w:r>
        <w:rPr>
          <w:noProof/>
        </w:rPr>
        <w:t>L’objectif de cette sous-mesure est d’accroître la numérisation du secteur des soins de santé. Cette mes</w:t>
      </w:r>
      <w:r>
        <w:rPr>
          <w:noProof/>
        </w:rPr>
        <w:t xml:space="preserve">ure consiste à adopter un plan d’action sur la santé numérique et à mettre en œuvre des projets liés à la numérisation du secteur des soins de santé. </w:t>
      </w:r>
    </w:p>
    <w:p w14:paraId="530081BA" w14:textId="07F306CE" w:rsidR="00FA40E8" w:rsidRDefault="00E74AE8">
      <w:pPr>
        <w:pStyle w:val="P68B1DB1-Normal6"/>
        <w:jc w:val="both"/>
        <w:rPr>
          <w:rFonts w:cs="Times New Roman"/>
          <w:noProof/>
        </w:rPr>
      </w:pPr>
      <w:r>
        <w:rPr>
          <w:noProof/>
        </w:rPr>
        <w:t>A.1.2. Réforme 2 «Fourniture de services de soins de longue durée»</w:t>
      </w:r>
    </w:p>
    <w:p w14:paraId="4D0BB6CF" w14:textId="406A6E3E" w:rsidR="00FA40E8" w:rsidRDefault="00E74AE8">
      <w:pPr>
        <w:pStyle w:val="P68B1DB1-Normal4"/>
        <w:jc w:val="both"/>
        <w:rPr>
          <w:rFonts w:cs="Times New Roman"/>
          <w:noProof/>
          <w:szCs w:val="24"/>
        </w:rPr>
      </w:pPr>
      <w:r>
        <w:rPr>
          <w:noProof/>
        </w:rPr>
        <w:t>L’objectif de la réforme est d’accroît</w:t>
      </w:r>
      <w:r>
        <w:rPr>
          <w:noProof/>
        </w:rPr>
        <w:t>re l’accessibilité des services de soins de longue durée. Cette réforme comprend 2 sous-mesures: (1) adoption du modèle de soins de longue durée (sous-mesure 1); (2) augmentation des ressources humaines et des capacités des infrastructures pour la fournitu</w:t>
      </w:r>
      <w:r>
        <w:rPr>
          <w:noProof/>
        </w:rPr>
        <w:t>re de services de soins de longue durée (sous-mesure 2).</w:t>
      </w:r>
    </w:p>
    <w:p w14:paraId="5571019C" w14:textId="57483492" w:rsidR="00FA40E8" w:rsidRDefault="00E74AE8">
      <w:pPr>
        <w:pStyle w:val="P68B1DB1-Normal4"/>
        <w:jc w:val="both"/>
        <w:rPr>
          <w:rFonts w:cs="Times New Roman"/>
          <w:noProof/>
          <w:szCs w:val="24"/>
        </w:rPr>
      </w:pPr>
      <w:r>
        <w:rPr>
          <w:noProof/>
          <w:u w:val="single"/>
        </w:rPr>
        <w:t>A.1.2.1. Sous-mesure 1: Adoption du modèle de soins de longue durée</w:t>
      </w:r>
      <w:r>
        <w:rPr>
          <w:noProof/>
        </w:rPr>
        <w:t xml:space="preserve"> </w:t>
      </w:r>
    </w:p>
    <w:p w14:paraId="6B57926A" w14:textId="13964E18" w:rsidR="00FA40E8" w:rsidRDefault="00E74AE8">
      <w:pPr>
        <w:pStyle w:val="P68B1DB1-Normal4"/>
        <w:jc w:val="both"/>
        <w:rPr>
          <w:rFonts w:cs="Times New Roman"/>
          <w:noProof/>
          <w:szCs w:val="24"/>
        </w:rPr>
      </w:pPr>
      <w:r>
        <w:rPr>
          <w:noProof/>
        </w:rPr>
        <w:t xml:space="preserve">L’objectif de cette sous-mesure est d’adopter une législation régissant la mise en œuvre progressive du modèle de soins de longue </w:t>
      </w:r>
      <w:r>
        <w:rPr>
          <w:noProof/>
        </w:rPr>
        <w:t>durée. Le modèle de prestation et de financement des soins de santé sociaux et personnels simplifie le parcours des patients pour obtenir des soins de longue durée, préparant ainsi l’introduction d’un modèle de soins de longue durée fondé sur le principe d</w:t>
      </w:r>
      <w:r>
        <w:rPr>
          <w:noProof/>
        </w:rPr>
        <w:t xml:space="preserve">u guichet unique. Une analyse approfondie est effectuée afin de déterminer le modèle de prestation de services de soins de longue durée. </w:t>
      </w:r>
    </w:p>
    <w:p w14:paraId="1998D70F" w14:textId="77777777" w:rsidR="00FA40E8" w:rsidRDefault="00E74AE8">
      <w:pPr>
        <w:pStyle w:val="P68B1DB1-Normal4"/>
        <w:jc w:val="both"/>
        <w:rPr>
          <w:rFonts w:cs="Times New Roman"/>
          <w:noProof/>
          <w:szCs w:val="24"/>
        </w:rPr>
      </w:pPr>
      <w:r>
        <w:rPr>
          <w:noProof/>
        </w:rPr>
        <w:t>La sous-mesure est achevée au plus tard le 31 mars 2024.</w:t>
      </w:r>
    </w:p>
    <w:p w14:paraId="177F1951" w14:textId="0E70C105" w:rsidR="00FA40E8" w:rsidRDefault="00E74AE8">
      <w:pPr>
        <w:pStyle w:val="P68B1DB1-Normal6"/>
        <w:jc w:val="both"/>
        <w:rPr>
          <w:rFonts w:cs="Times New Roman"/>
          <w:noProof/>
          <w:szCs w:val="24"/>
        </w:rPr>
      </w:pPr>
      <w:r>
        <w:rPr>
          <w:noProof/>
        </w:rPr>
        <w:t xml:space="preserve">A.1.2.2. Sous-mesure 2: Ressources humaines et capacités des </w:t>
      </w:r>
      <w:r>
        <w:rPr>
          <w:noProof/>
        </w:rPr>
        <w:t xml:space="preserve">infrastructures pour la fourniture de services de soins de longue durée </w:t>
      </w:r>
    </w:p>
    <w:p w14:paraId="0ED2338B" w14:textId="4E140B74" w:rsidR="00FA40E8" w:rsidRDefault="00E74AE8">
      <w:pPr>
        <w:pStyle w:val="P68B1DB1-Normal4"/>
        <w:jc w:val="both"/>
        <w:rPr>
          <w:rFonts w:cs="Times New Roman"/>
          <w:noProof/>
          <w:szCs w:val="24"/>
        </w:rPr>
      </w:pPr>
      <w:r>
        <w:rPr>
          <w:noProof/>
        </w:rPr>
        <w:t>L’objectif de cette sous-mesure est d’accroître les ressources humaines et les capacités des infrastructures pour la fourniture de services de soins de longue durée. Cette mesure cons</w:t>
      </w:r>
      <w:r>
        <w:rPr>
          <w:noProof/>
        </w:rPr>
        <w:t xml:space="preserve">iste à rénover les centres de soins de longue durée, à fournir des équipements et/ou des véhicules aux équipes mobiles pour les services ambulatoires de longue durée et à former les professionnels des soins de longue durée. </w:t>
      </w:r>
    </w:p>
    <w:p w14:paraId="1A30480E" w14:textId="64CEE4E2" w:rsidR="00FA40E8" w:rsidRDefault="00E74AE8">
      <w:pPr>
        <w:pStyle w:val="P68B1DB1-Normal6"/>
        <w:jc w:val="both"/>
        <w:rPr>
          <w:rFonts w:cs="Times New Roman"/>
          <w:noProof/>
          <w:szCs w:val="24"/>
        </w:rPr>
      </w:pPr>
      <w:r>
        <w:rPr>
          <w:noProof/>
        </w:rPr>
        <w:t>A.1.3. Réforme 3 «Résilience du</w:t>
      </w:r>
      <w:r>
        <w:rPr>
          <w:noProof/>
        </w:rPr>
        <w:t xml:space="preserve"> système de santé face aux situations d’urgence»</w:t>
      </w:r>
    </w:p>
    <w:p w14:paraId="4948FF47" w14:textId="42720BA5" w:rsidR="00FA40E8" w:rsidRDefault="00E74AE8">
      <w:pPr>
        <w:pStyle w:val="P68B1DB1-Normal4"/>
        <w:jc w:val="both"/>
        <w:rPr>
          <w:rFonts w:cs="Times New Roman"/>
          <w:noProof/>
          <w:szCs w:val="24"/>
        </w:rPr>
      </w:pPr>
      <w:r>
        <w:rPr>
          <w:noProof/>
        </w:rPr>
        <w:t>L’objectif de la réforme est de soutenir la fourniture de services de santé dans les situations d’urgence.</w:t>
      </w:r>
    </w:p>
    <w:p w14:paraId="1076177E" w14:textId="394C62AB" w:rsidR="00FA40E8" w:rsidRDefault="00E74AE8">
      <w:pPr>
        <w:pStyle w:val="P68B1DB1-Normal4"/>
        <w:jc w:val="both"/>
        <w:rPr>
          <w:rFonts w:cs="Times New Roman"/>
          <w:noProof/>
          <w:szCs w:val="24"/>
        </w:rPr>
      </w:pPr>
      <w:r>
        <w:rPr>
          <w:noProof/>
        </w:rPr>
        <w:t>Cette réforme comprend 3 sous-mesures: (1) plan d’action visant à améliorer la coopération entre les</w:t>
      </w:r>
      <w:r>
        <w:rPr>
          <w:noProof/>
        </w:rPr>
        <w:t xml:space="preserve"> établissements de soins de santé et à moderniser les infrastructures dans les situations d’urgence. (sous-mesure 1); (2) modernisation des centres de foyers de maladies infectieuses (sous-mesure 2); (3) modernisation des services d’urgence et des unités d</w:t>
      </w:r>
      <w:r>
        <w:rPr>
          <w:noProof/>
        </w:rPr>
        <w:t>e réanimation dans les hôpitaux régionaux (sous-mesure 3).</w:t>
      </w:r>
    </w:p>
    <w:p w14:paraId="1D70084E" w14:textId="77777777" w:rsidR="00FA40E8" w:rsidRDefault="00E74AE8">
      <w:pPr>
        <w:pStyle w:val="P68B1DB1-Normal6"/>
        <w:jc w:val="both"/>
        <w:rPr>
          <w:rFonts w:cs="Times New Roman"/>
          <w:noProof/>
          <w:szCs w:val="24"/>
        </w:rPr>
      </w:pPr>
      <w:r>
        <w:rPr>
          <w:noProof/>
        </w:rPr>
        <w:t>A.1.3.1. Sous-mesure 1: Plan d’action visant à améliorer la coopération entre les établissements de soins de santé et à moderniser les infrastructures dans les situations d’urgence</w:t>
      </w:r>
    </w:p>
    <w:p w14:paraId="6DFB4F68" w14:textId="0815A420" w:rsidR="00FA40E8" w:rsidRDefault="00E74AE8">
      <w:pPr>
        <w:pStyle w:val="P68B1DB1-Normal4"/>
        <w:jc w:val="both"/>
        <w:rPr>
          <w:rFonts w:cs="Times New Roman"/>
          <w:noProof/>
          <w:szCs w:val="24"/>
        </w:rPr>
      </w:pPr>
      <w:r>
        <w:rPr>
          <w:noProof/>
        </w:rPr>
        <w:t>L’objectif de ce</w:t>
      </w:r>
      <w:r>
        <w:rPr>
          <w:noProof/>
        </w:rPr>
        <w:t>tte sous-mesure est d’adopter un plan d’action visant à améliorer la coopération entre les établissements de soins de santé et à moderniser les infrastructures pour les situations d’urgence. Il comprend des exigences imposant aux établissements de soins de</w:t>
      </w:r>
      <w:r>
        <w:rPr>
          <w:noProof/>
        </w:rPr>
        <w:t xml:space="preserve"> santé de garantir leur préparation et l’efficacité de la réaction du système aux situations d’urgence. Les conditions préalables sont créées pour une coopération plus efficace des ressources humaines disponibles. Il est procédé à une évaluation de la prép</w:t>
      </w:r>
      <w:r>
        <w:rPr>
          <w:noProof/>
        </w:rPr>
        <w:t xml:space="preserve">aration aux situations d’urgence des établissements de soins de santé. </w:t>
      </w:r>
    </w:p>
    <w:p w14:paraId="5D223606" w14:textId="77777777" w:rsidR="00FA40E8" w:rsidRDefault="00E74AE8">
      <w:pPr>
        <w:pStyle w:val="P68B1DB1-Normal4"/>
        <w:jc w:val="both"/>
        <w:rPr>
          <w:rFonts w:cs="Times New Roman"/>
          <w:noProof/>
          <w:szCs w:val="24"/>
        </w:rPr>
      </w:pPr>
      <w:r>
        <w:rPr>
          <w:noProof/>
        </w:rPr>
        <w:t>La sous-mesure est achevée au plus tard le 31 mars 2023.</w:t>
      </w:r>
    </w:p>
    <w:p w14:paraId="047F7E18" w14:textId="6D270501" w:rsidR="00FA40E8" w:rsidRDefault="00E74AE8">
      <w:pPr>
        <w:pStyle w:val="P68B1DB1-Normal6"/>
        <w:jc w:val="both"/>
        <w:rPr>
          <w:noProof/>
          <w:szCs w:val="24"/>
        </w:rPr>
      </w:pPr>
      <w:r>
        <w:rPr>
          <w:noProof/>
        </w:rPr>
        <w:t>A.1.3.2. Sous-mesure 2: Modernisation des pôles de maladies infectieuses</w:t>
      </w:r>
    </w:p>
    <w:p w14:paraId="02B31902" w14:textId="1C24ED29" w:rsidR="00FA40E8" w:rsidRDefault="00E74AE8">
      <w:pPr>
        <w:pStyle w:val="P68B1DB1-Normal4"/>
        <w:jc w:val="both"/>
        <w:rPr>
          <w:noProof/>
          <w:szCs w:val="24"/>
        </w:rPr>
      </w:pPr>
      <w:r>
        <w:rPr>
          <w:noProof/>
        </w:rPr>
        <w:t xml:space="preserve">L’objectif de cette sous-mesure est de moderniser les </w:t>
      </w:r>
      <w:r>
        <w:rPr>
          <w:noProof/>
        </w:rPr>
        <w:t xml:space="preserve">centres de foyers de maladies infectieuses dans toute la Lituanie. Cette sous-mesure consiste en la modernisation et la fourniture d’équipements pour les centres de foyers de maladies infectieuses. </w:t>
      </w:r>
    </w:p>
    <w:p w14:paraId="2BD3107C" w14:textId="4D3D7873" w:rsidR="00FA40E8" w:rsidRDefault="00E74AE8">
      <w:pPr>
        <w:pStyle w:val="P68B1DB1-Normal6"/>
        <w:jc w:val="both"/>
        <w:rPr>
          <w:rFonts w:cs="Times New Roman"/>
          <w:noProof/>
          <w:szCs w:val="24"/>
        </w:rPr>
      </w:pPr>
      <w:r>
        <w:rPr>
          <w:noProof/>
        </w:rPr>
        <w:t>A.1.3.3. Sous-mesure 3: Modernisation des services d’urge</w:t>
      </w:r>
      <w:r>
        <w:rPr>
          <w:noProof/>
        </w:rPr>
        <w:t>nce et des unités de réanimation dans les hôpitaux régionaux</w:t>
      </w:r>
    </w:p>
    <w:p w14:paraId="128C8657" w14:textId="0DA84629" w:rsidR="00FA40E8" w:rsidRDefault="00E74AE8">
      <w:pPr>
        <w:pStyle w:val="Text1"/>
        <w:ind w:left="0"/>
        <w:rPr>
          <w:noProof/>
        </w:rPr>
        <w:sectPr w:rsidR="00FA40E8" w:rsidSect="00742468">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titlePg/>
          <w:docGrid w:linePitch="360"/>
        </w:sectPr>
      </w:pPr>
      <w:r>
        <w:rPr>
          <w:noProof/>
        </w:rPr>
        <w:t>L’objectif de cette sous-mesure est de moderniser les</w:t>
      </w:r>
      <w:r>
        <w:rPr>
          <w:noProof/>
        </w:rPr>
        <w:t xml:space="preserve"> unités médicales d’urgence, de réanimation et de soins intensifs dans les hôpitaux de toute la Lituanie. Cette mesure consiste en la modernisation de ces unités médicales et la mise à disposition d’équipements.</w:t>
      </w:r>
    </w:p>
    <w:p w14:paraId="42CF32EB" w14:textId="4EBF9A30" w:rsidR="00FA40E8" w:rsidRDefault="00E74AE8">
      <w:pPr>
        <w:pStyle w:val="P68B1DB1-Text15"/>
        <w:keepNext/>
        <w:keepLines/>
        <w:spacing w:before="0" w:after="200" w:line="276" w:lineRule="auto"/>
        <w:ind w:left="0"/>
        <w:outlineLvl w:val="1"/>
        <w:rPr>
          <w:noProof/>
        </w:rPr>
      </w:pPr>
      <w:r>
        <w:rPr>
          <w:noProof/>
        </w:rPr>
        <w:t>A.2. Jalons, cibles, indicateurs et calendri</w:t>
      </w:r>
      <w:r>
        <w:rPr>
          <w:noProof/>
        </w:rPr>
        <w:t>er de suivi et de mise en œuvre du soutien financier non remboursable</w:t>
      </w:r>
    </w:p>
    <w:tbl>
      <w:tblPr>
        <w:tblW w:w="15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86"/>
        <w:gridCol w:w="1708"/>
        <w:gridCol w:w="1128"/>
        <w:gridCol w:w="1703"/>
        <w:gridCol w:w="1571"/>
        <w:gridCol w:w="1253"/>
        <w:gridCol w:w="927"/>
        <w:gridCol w:w="668"/>
        <w:gridCol w:w="927"/>
        <w:gridCol w:w="840"/>
        <w:gridCol w:w="3863"/>
      </w:tblGrid>
      <w:tr w:rsidR="00FA40E8" w14:paraId="6A5F7DBB" w14:textId="77777777">
        <w:trPr>
          <w:trHeight w:val="300"/>
          <w:tblHeader/>
          <w:jc w:val="center"/>
        </w:trPr>
        <w:tc>
          <w:tcPr>
            <w:tcW w:w="58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17556E1" w14:textId="2F1C717C" w:rsidR="00FA40E8" w:rsidRDefault="00E74AE8">
            <w:pPr>
              <w:pStyle w:val="P68B1DB1-Normal9"/>
              <w:spacing w:before="60" w:after="60"/>
              <w:jc w:val="center"/>
              <w:rPr>
                <w:rFonts w:cs="Times New Roman"/>
                <w:noProof/>
              </w:rPr>
            </w:pPr>
            <w:r>
              <w:rPr>
                <w:noProof/>
              </w:rPr>
              <w:t>Non.</w:t>
            </w:r>
          </w:p>
        </w:tc>
        <w:tc>
          <w:tcPr>
            <w:tcW w:w="170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92A4CB" w14:textId="77777777" w:rsidR="00FA40E8" w:rsidRDefault="00E74AE8">
            <w:pPr>
              <w:pStyle w:val="P68B1DB1-Normal9"/>
              <w:spacing w:before="60" w:after="60"/>
              <w:jc w:val="center"/>
              <w:rPr>
                <w:rFonts w:cs="Times New Roman"/>
                <w:noProof/>
              </w:rPr>
            </w:pPr>
            <w:r>
              <w:rPr>
                <w:noProof/>
              </w:rPr>
              <w:t>Mesure connexe (réforme ou investissement)</w:t>
            </w:r>
          </w:p>
        </w:tc>
        <w:tc>
          <w:tcPr>
            <w:tcW w:w="112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C8DC48" w14:textId="77777777" w:rsidR="00FA40E8" w:rsidRDefault="00E74AE8">
            <w:pPr>
              <w:pStyle w:val="P68B1DB1-Normal9"/>
              <w:spacing w:before="60" w:after="60"/>
              <w:jc w:val="center"/>
              <w:rPr>
                <w:rFonts w:cs="Times New Roman"/>
                <w:noProof/>
              </w:rPr>
            </w:pPr>
            <w:r>
              <w:rPr>
                <w:noProof/>
              </w:rPr>
              <w:t>Étape/cible</w:t>
            </w:r>
          </w:p>
        </w:tc>
        <w:tc>
          <w:tcPr>
            <w:tcW w:w="170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B79C81" w14:textId="77777777" w:rsidR="00FA40E8" w:rsidRDefault="00E74AE8">
            <w:pPr>
              <w:pStyle w:val="P68B1DB1-Normal9"/>
              <w:spacing w:before="60" w:after="60"/>
              <w:jc w:val="center"/>
              <w:rPr>
                <w:rFonts w:cs="Times New Roman"/>
                <w:noProof/>
              </w:rPr>
            </w:pPr>
            <w:r>
              <w:rPr>
                <w:noProof/>
              </w:rPr>
              <w:t>Titre</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7FC05B7" w14:textId="68D44978"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étapes)</w:t>
            </w:r>
          </w:p>
        </w:tc>
        <w:tc>
          <w:tcPr>
            <w:tcW w:w="2848"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A73F2E7" w14:textId="77777777"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76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3A754F" w14:textId="323B9B7C" w:rsidR="00FA40E8" w:rsidRDefault="00E74AE8">
            <w:pPr>
              <w:pStyle w:val="P68B1DB1-Normal9"/>
              <w:spacing w:before="60" w:after="60"/>
              <w:jc w:val="center"/>
              <w:rPr>
                <w:rFonts w:cs="Times New Roman"/>
                <w:noProof/>
              </w:rPr>
            </w:pPr>
            <w:r>
              <w:rPr>
                <w:noProof/>
              </w:rPr>
              <w:t>Calendrier indicatif d’achèvem</w:t>
            </w:r>
            <w:r>
              <w:rPr>
                <w:noProof/>
              </w:rPr>
              <w:t>ent</w:t>
            </w:r>
          </w:p>
        </w:tc>
        <w:tc>
          <w:tcPr>
            <w:tcW w:w="386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6B35F65" w14:textId="77777777" w:rsidR="00FA40E8" w:rsidRDefault="00E74AE8">
            <w:pPr>
              <w:pStyle w:val="P68B1DB1-Normal9"/>
              <w:spacing w:before="60" w:after="60"/>
              <w:jc w:val="center"/>
              <w:rPr>
                <w:rFonts w:cs="Times New Roman"/>
                <w:noProof/>
              </w:rPr>
            </w:pPr>
            <w:r>
              <w:rPr>
                <w:noProof/>
              </w:rPr>
              <w:t>Description et définition claire de chaque jalon et cible</w:t>
            </w:r>
          </w:p>
        </w:tc>
      </w:tr>
      <w:tr w:rsidR="00FA40E8" w14:paraId="7355C6EC" w14:textId="77777777">
        <w:trPr>
          <w:trHeight w:val="300"/>
          <w:tblHeader/>
          <w:jc w:val="center"/>
        </w:trPr>
        <w:tc>
          <w:tcPr>
            <w:tcW w:w="586" w:type="dxa"/>
            <w:vMerge/>
            <w:tcBorders>
              <w:top w:val="single" w:sz="4" w:space="0" w:color="auto"/>
              <w:left w:val="single" w:sz="4" w:space="0" w:color="auto"/>
              <w:bottom w:val="single" w:sz="4" w:space="0" w:color="auto"/>
              <w:right w:val="single" w:sz="4" w:space="0" w:color="auto"/>
            </w:tcBorders>
          </w:tcPr>
          <w:p w14:paraId="6C67592E" w14:textId="77777777" w:rsidR="00FA40E8" w:rsidRDefault="00FA40E8">
            <w:pPr>
              <w:spacing w:before="60" w:after="60"/>
              <w:rPr>
                <w:rFonts w:ascii="Times New Roman" w:hAnsi="Times New Roman" w:cs="Times New Roman"/>
                <w:b/>
                <w:noProof/>
                <w:sz w:val="20"/>
              </w:rPr>
            </w:pPr>
          </w:p>
        </w:tc>
        <w:tc>
          <w:tcPr>
            <w:tcW w:w="1708" w:type="dxa"/>
            <w:vMerge/>
            <w:tcBorders>
              <w:top w:val="single" w:sz="4" w:space="0" w:color="auto"/>
              <w:left w:val="single" w:sz="4" w:space="0" w:color="auto"/>
              <w:bottom w:val="single" w:sz="4" w:space="0" w:color="auto"/>
              <w:right w:val="single" w:sz="4" w:space="0" w:color="auto"/>
            </w:tcBorders>
            <w:vAlign w:val="center"/>
          </w:tcPr>
          <w:p w14:paraId="53D52947" w14:textId="77777777" w:rsidR="00FA40E8" w:rsidRDefault="00FA40E8">
            <w:pPr>
              <w:spacing w:before="60" w:after="60"/>
              <w:rPr>
                <w:rFonts w:ascii="Times New Roman" w:hAnsi="Times New Roman" w:cs="Times New Roman"/>
                <w:b/>
                <w:noProof/>
                <w:sz w:val="20"/>
              </w:rPr>
            </w:pPr>
          </w:p>
        </w:tc>
        <w:tc>
          <w:tcPr>
            <w:tcW w:w="1128" w:type="dxa"/>
            <w:vMerge/>
            <w:tcBorders>
              <w:top w:val="single" w:sz="4" w:space="0" w:color="auto"/>
              <w:left w:val="single" w:sz="4" w:space="0" w:color="auto"/>
              <w:bottom w:val="single" w:sz="4" w:space="0" w:color="auto"/>
              <w:right w:val="single" w:sz="4" w:space="0" w:color="auto"/>
            </w:tcBorders>
            <w:vAlign w:val="center"/>
          </w:tcPr>
          <w:p w14:paraId="339D7477" w14:textId="77777777" w:rsidR="00FA40E8" w:rsidRDefault="00FA40E8">
            <w:pPr>
              <w:spacing w:before="60" w:after="60"/>
              <w:jc w:val="center"/>
              <w:rPr>
                <w:rFonts w:ascii="Times New Roman" w:hAnsi="Times New Roman" w:cs="Times New Roman"/>
                <w:b/>
                <w:noProof/>
                <w:sz w:val="20"/>
              </w:rPr>
            </w:pPr>
          </w:p>
        </w:tc>
        <w:tc>
          <w:tcPr>
            <w:tcW w:w="1703" w:type="dxa"/>
            <w:vMerge/>
            <w:tcBorders>
              <w:top w:val="single" w:sz="4" w:space="0" w:color="auto"/>
              <w:left w:val="single" w:sz="4" w:space="0" w:color="auto"/>
              <w:bottom w:val="single" w:sz="4" w:space="0" w:color="auto"/>
              <w:right w:val="single" w:sz="4" w:space="0" w:color="auto"/>
            </w:tcBorders>
            <w:vAlign w:val="center"/>
          </w:tcPr>
          <w:p w14:paraId="3A89D3BF" w14:textId="77777777" w:rsidR="00FA40E8" w:rsidRDefault="00FA40E8">
            <w:pPr>
              <w:spacing w:before="60" w:after="60"/>
              <w:rPr>
                <w:rFonts w:ascii="Times New Roman" w:hAnsi="Times New Roman" w:cs="Times New Roman"/>
                <w:b/>
                <w:noProof/>
                <w:sz w:val="20"/>
              </w:rPr>
            </w:pPr>
          </w:p>
        </w:tc>
        <w:tc>
          <w:tcPr>
            <w:tcW w:w="1571" w:type="dxa"/>
            <w:vMerge/>
            <w:tcBorders>
              <w:top w:val="single" w:sz="4" w:space="0" w:color="auto"/>
              <w:left w:val="single" w:sz="4" w:space="0" w:color="auto"/>
              <w:bottom w:val="single" w:sz="4" w:space="0" w:color="auto"/>
              <w:right w:val="single" w:sz="4" w:space="0" w:color="auto"/>
            </w:tcBorders>
            <w:vAlign w:val="center"/>
          </w:tcPr>
          <w:p w14:paraId="548D0A0C" w14:textId="77777777" w:rsidR="00FA40E8" w:rsidRDefault="00FA40E8">
            <w:pPr>
              <w:spacing w:before="60" w:after="60"/>
              <w:rPr>
                <w:rFonts w:ascii="Times New Roman" w:hAnsi="Times New Roman" w:cs="Times New Roman"/>
                <w:b/>
                <w:noProof/>
                <w:sz w:val="20"/>
              </w:rPr>
            </w:pPr>
          </w:p>
        </w:tc>
        <w:tc>
          <w:tcPr>
            <w:tcW w:w="125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C74906" w14:textId="77777777" w:rsidR="00FA40E8" w:rsidRDefault="00E74AE8">
            <w:pPr>
              <w:pStyle w:val="P68B1DB1-Normal9"/>
              <w:spacing w:before="60" w:after="60"/>
              <w:jc w:val="center"/>
              <w:rPr>
                <w:rFonts w:cs="Times New Roman"/>
                <w:noProof/>
              </w:rPr>
            </w:pPr>
            <w:r>
              <w:rPr>
                <w:noProof/>
              </w:rPr>
              <w:t>Unité</w:t>
            </w:r>
          </w:p>
        </w:tc>
        <w:tc>
          <w:tcPr>
            <w:tcW w:w="9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493CC8" w14:textId="77777777" w:rsidR="00FA40E8" w:rsidRDefault="00E74AE8">
            <w:pPr>
              <w:pStyle w:val="P68B1DB1-Normal9"/>
              <w:spacing w:before="60" w:after="60"/>
              <w:jc w:val="center"/>
              <w:rPr>
                <w:rFonts w:cs="Times New Roman"/>
                <w:noProof/>
              </w:rPr>
            </w:pPr>
            <w:r>
              <w:rPr>
                <w:noProof/>
              </w:rPr>
              <w:t>Niveau de référence</w:t>
            </w:r>
          </w:p>
        </w:tc>
        <w:tc>
          <w:tcPr>
            <w:tcW w:w="66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5AD70B7" w14:textId="77777777" w:rsidR="00FA40E8" w:rsidRDefault="00E74AE8">
            <w:pPr>
              <w:pStyle w:val="P68B1DB1-Normal9"/>
              <w:spacing w:before="60" w:after="60"/>
              <w:jc w:val="center"/>
              <w:rPr>
                <w:rFonts w:cs="Times New Roman"/>
                <w:noProof/>
              </w:rPr>
            </w:pPr>
            <w:r>
              <w:rPr>
                <w:noProof/>
              </w:rPr>
              <w:t>Objectif</w:t>
            </w:r>
          </w:p>
        </w:tc>
        <w:tc>
          <w:tcPr>
            <w:tcW w:w="9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C9EED3" w14:textId="77777777" w:rsidR="00FA40E8" w:rsidRDefault="00E74AE8">
            <w:pPr>
              <w:pStyle w:val="P68B1DB1-Normal9"/>
              <w:spacing w:before="60" w:after="60"/>
              <w:jc w:val="center"/>
              <w:rPr>
                <w:rFonts w:cs="Times New Roman"/>
                <w:noProof/>
              </w:rPr>
            </w:pPr>
            <w:r>
              <w:rPr>
                <w:noProof/>
              </w:rPr>
              <w:t>Trimestre</w:t>
            </w:r>
          </w:p>
        </w:tc>
        <w:tc>
          <w:tcPr>
            <w:tcW w:w="84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2DC0665" w14:textId="77777777" w:rsidR="00FA40E8" w:rsidRDefault="00E74AE8">
            <w:pPr>
              <w:pStyle w:val="P68B1DB1-Normal9"/>
              <w:spacing w:before="60" w:after="60"/>
              <w:jc w:val="center"/>
              <w:rPr>
                <w:rFonts w:cs="Times New Roman"/>
                <w:noProof/>
              </w:rPr>
            </w:pPr>
            <w:r>
              <w:rPr>
                <w:noProof/>
              </w:rPr>
              <w:t>Année</w:t>
            </w:r>
          </w:p>
        </w:tc>
        <w:tc>
          <w:tcPr>
            <w:tcW w:w="3863" w:type="dxa"/>
            <w:vMerge/>
            <w:tcBorders>
              <w:top w:val="single" w:sz="4" w:space="0" w:color="auto"/>
              <w:left w:val="single" w:sz="4" w:space="0" w:color="auto"/>
              <w:bottom w:val="single" w:sz="4" w:space="0" w:color="auto"/>
              <w:right w:val="single" w:sz="4" w:space="0" w:color="auto"/>
            </w:tcBorders>
            <w:vAlign w:val="center"/>
          </w:tcPr>
          <w:p w14:paraId="3DEE2031" w14:textId="77777777" w:rsidR="00FA40E8" w:rsidRDefault="00FA40E8">
            <w:pPr>
              <w:spacing w:before="60" w:after="60"/>
              <w:rPr>
                <w:rFonts w:ascii="Times New Roman" w:hAnsi="Times New Roman" w:cs="Times New Roman"/>
                <w:b/>
                <w:noProof/>
                <w:sz w:val="20"/>
              </w:rPr>
            </w:pPr>
          </w:p>
        </w:tc>
      </w:tr>
      <w:tr w:rsidR="00FA40E8" w14:paraId="14115516"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CBD44BE" w14:textId="77777777" w:rsidR="00FA40E8" w:rsidRDefault="00E74AE8">
            <w:pPr>
              <w:pStyle w:val="P68B1DB1-Normal12"/>
              <w:spacing w:before="60" w:after="60"/>
              <w:jc w:val="both"/>
              <w:rPr>
                <w:rFonts w:cs="Times New Roman"/>
                <w:noProof/>
              </w:rPr>
            </w:pPr>
            <w:r>
              <w:rPr>
                <w:noProof/>
              </w:rPr>
              <w:t>1</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53086AE" w14:textId="48C3BD0B" w:rsidR="00FA40E8" w:rsidRDefault="00E74AE8">
            <w:pPr>
              <w:pStyle w:val="P68B1DB1-Normal12"/>
              <w:spacing w:before="60" w:after="60"/>
              <w:rPr>
                <w:rFonts w:eastAsia="Times New Roman" w:cs="Times New Roman"/>
                <w:noProof/>
              </w:rPr>
            </w:pPr>
            <w:r>
              <w:rPr>
                <w:noProof/>
              </w:rPr>
              <w:t xml:space="preserve">A.1.1. Améliorer la qualité et l’accessibilité des services de santé et promouvoir l’innovation </w:t>
            </w:r>
          </w:p>
          <w:p w14:paraId="5D686A6A" w14:textId="09E9546B" w:rsidR="00FA40E8" w:rsidRDefault="00E74AE8">
            <w:pPr>
              <w:pStyle w:val="P68B1DB1-Normal12"/>
              <w:spacing w:before="60" w:after="60"/>
              <w:rPr>
                <w:rFonts w:cs="Times New Roman"/>
                <w:noProof/>
              </w:rPr>
            </w:pPr>
            <w:r>
              <w:rPr>
                <w:noProof/>
              </w:rPr>
              <w:t xml:space="preserve">A.1.1.1. Cadre législatif régissant </w:t>
            </w:r>
            <w:r>
              <w:rPr>
                <w:noProof/>
              </w:rPr>
              <w:t>l’organisation, la gestion et la fourniture de services d’ambulances</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9C7428C" w14:textId="77777777" w:rsidR="00FA40E8" w:rsidRDefault="00E74AE8">
            <w:pPr>
              <w:pStyle w:val="P68B1DB1-Normal12"/>
              <w:spacing w:before="60" w:after="60"/>
              <w:jc w:val="center"/>
              <w:rPr>
                <w:rFonts w:cs="Times New Roman"/>
                <w:noProof/>
              </w:rPr>
            </w:pPr>
            <w:r>
              <w:rPr>
                <w:noProof/>
              </w:rPr>
              <w:t>Étape</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1A5FA0" w14:textId="3747A5D4" w:rsidR="00FA40E8" w:rsidRDefault="00E74AE8">
            <w:pPr>
              <w:pStyle w:val="P68B1DB1-Normal12"/>
              <w:spacing w:before="60" w:after="60"/>
              <w:rPr>
                <w:rFonts w:eastAsia="Segoe UI" w:cs="Times New Roman"/>
                <w:noProof/>
              </w:rPr>
            </w:pPr>
            <w:r>
              <w:rPr>
                <w:noProof/>
              </w:rPr>
              <w:t>Entrée en vigueur de la loi modifiée sur les établissements de soins de santé et de la loi sur le système de santé de la République de Lituanie et de la législation connexe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C76AC3D" w14:textId="7A158582" w:rsidR="00FA40E8" w:rsidRDefault="00E74AE8">
            <w:pPr>
              <w:pStyle w:val="P68B1DB1-Normal12"/>
              <w:spacing w:before="60" w:after="60"/>
              <w:rPr>
                <w:rFonts w:eastAsia="Times New Roman" w:cs="Times New Roman"/>
                <w:noProof/>
              </w:rPr>
            </w:pPr>
            <w:r>
              <w:rPr>
                <w:noProof/>
              </w:rPr>
              <w:t>Entrée e</w:t>
            </w:r>
            <w:r>
              <w:rPr>
                <w:noProof/>
              </w:rPr>
              <w:t>n vigueur de la législation</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BA5775" w14:textId="35C329C1" w:rsidR="00FA40E8" w:rsidRDefault="00E74AE8">
            <w:pPr>
              <w:pStyle w:val="P68B1DB1-Normal12"/>
              <w:spacing w:before="60" w:after="60"/>
              <w:jc w:val="center"/>
              <w:rPr>
                <w:rFonts w:eastAsia="Segoe UI"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B9FF4A" w14:textId="03DCFC01" w:rsidR="00FA40E8" w:rsidRDefault="00E74AE8">
            <w:pPr>
              <w:pStyle w:val="P68B1DB1-Normal12"/>
              <w:spacing w:before="60" w:after="60"/>
              <w:jc w:val="center"/>
              <w:rPr>
                <w:rFonts w:cs="Times New Roman"/>
                <w:noProof/>
              </w:rPr>
            </w:pPr>
            <w:r>
              <w:rPr>
                <w:noProof/>
              </w:rPr>
              <w:t>SANS OBJET</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C83A746" w14:textId="4FBC6FF4" w:rsidR="00FA40E8" w:rsidRDefault="00E74AE8">
            <w:pPr>
              <w:pStyle w:val="P68B1DB1-Normal12"/>
              <w:spacing w:before="60" w:after="60"/>
              <w:jc w:val="center"/>
              <w:rPr>
                <w:rFonts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B53020" w14:textId="77777777" w:rsidR="00FA40E8" w:rsidRDefault="00E74AE8">
            <w:pPr>
              <w:pStyle w:val="P68B1DB1-Normal12"/>
              <w:spacing w:before="60" w:after="60"/>
              <w:jc w:val="center"/>
              <w:rPr>
                <w:rFonts w:cs="Times New Roman"/>
                <w:noProof/>
              </w:rPr>
            </w:pPr>
            <w:r>
              <w:rPr>
                <w:noProof/>
              </w:rPr>
              <w:t>T4</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F0413AA" w14:textId="77777777" w:rsidR="00FA40E8" w:rsidRDefault="00E74AE8">
            <w:pPr>
              <w:pStyle w:val="P68B1DB1-Normal12"/>
              <w:spacing w:before="60" w:after="60"/>
              <w:jc w:val="center"/>
              <w:rPr>
                <w:rFonts w:cs="Times New Roman"/>
                <w:noProof/>
              </w:rPr>
            </w:pPr>
            <w:r>
              <w:rPr>
                <w:noProof/>
              </w:rPr>
              <w:t>2022</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A734B01" w14:textId="7F27232B" w:rsidR="00FA40E8" w:rsidRDefault="00E74AE8">
            <w:pPr>
              <w:pStyle w:val="P68B1DB1-Normal12"/>
              <w:spacing w:before="60" w:after="60"/>
              <w:jc w:val="both"/>
              <w:rPr>
                <w:rFonts w:eastAsia="Times New Roman" w:cs="Times New Roman"/>
                <w:noProof/>
                <w:u w:val="single"/>
              </w:rPr>
            </w:pPr>
            <w:r>
              <w:rPr>
                <w:noProof/>
              </w:rPr>
              <w:t xml:space="preserve">L’organisation, la gestion et la fourniture de services ambulanciers sont régies par la loi sur les établissements de soins de santé et la loi sur le système de santé de la République de </w:t>
            </w:r>
            <w:r>
              <w:rPr>
                <w:noProof/>
              </w:rPr>
              <w:t>Lituanie. Les exigences relatives à la fourniture de services ambulanciers et les procédures de paiement régissant l’organisation, la gestion et la fourniture de services ambulanciers sont incluses dans les arrêtés du ministre de la santé.</w:t>
            </w:r>
          </w:p>
        </w:tc>
      </w:tr>
      <w:tr w:rsidR="00FA40E8" w14:paraId="0EDFFCBE"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F9D9CC" w14:textId="77777777" w:rsidR="00FA40E8" w:rsidRDefault="00E74AE8">
            <w:pPr>
              <w:pStyle w:val="P68B1DB1-Normal12"/>
              <w:spacing w:before="60" w:after="60"/>
              <w:jc w:val="both"/>
              <w:rPr>
                <w:rFonts w:cs="Times New Roman"/>
                <w:noProof/>
              </w:rPr>
            </w:pPr>
            <w:r>
              <w:rPr>
                <w:noProof/>
              </w:rPr>
              <w:t>2</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2558C7" w14:textId="5F81D967" w:rsidR="00FA40E8" w:rsidRDefault="00E74AE8">
            <w:pPr>
              <w:pStyle w:val="P68B1DB1-Normal12"/>
              <w:spacing w:before="60" w:after="60"/>
              <w:rPr>
                <w:rFonts w:eastAsia="Times New Roman" w:cs="Times New Roman"/>
                <w:noProof/>
              </w:rPr>
            </w:pPr>
            <w:r>
              <w:rPr>
                <w:noProof/>
              </w:rPr>
              <w:t xml:space="preserve">A.1.1. Améliorer la qualité et l’accessibilité des services de santé et promouvoir l’innovation </w:t>
            </w:r>
          </w:p>
          <w:p w14:paraId="51D7F1A1" w14:textId="0C589552" w:rsidR="00FA40E8" w:rsidRDefault="00E74AE8">
            <w:pPr>
              <w:pStyle w:val="P68B1DB1-Normal12"/>
              <w:spacing w:before="60" w:after="60"/>
              <w:rPr>
                <w:rFonts w:cs="Times New Roman"/>
                <w:noProof/>
              </w:rPr>
            </w:pPr>
            <w:r>
              <w:rPr>
                <w:noProof/>
              </w:rPr>
              <w:t>A.1.1.2. Développement d’un système de santé numérique facilitant l’utilisation secondaire des données de santé</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5D7D96" w14:textId="77777777" w:rsidR="00FA40E8" w:rsidRDefault="00E74AE8">
            <w:pPr>
              <w:pStyle w:val="P68B1DB1-Normal12"/>
              <w:spacing w:before="60" w:after="60"/>
              <w:jc w:val="center"/>
              <w:rPr>
                <w:rFonts w:cs="Times New Roman"/>
                <w:noProof/>
              </w:rPr>
            </w:pPr>
            <w:r>
              <w:rPr>
                <w:noProof/>
              </w:rPr>
              <w:t>Étape</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170C0A" w14:textId="244C6D03" w:rsidR="00FA40E8" w:rsidRDefault="00E74AE8">
            <w:pPr>
              <w:pStyle w:val="P68B1DB1-Normal12"/>
              <w:spacing w:before="60" w:after="60"/>
              <w:rPr>
                <w:rFonts w:eastAsia="Segoe UI" w:cs="Times New Roman"/>
                <w:noProof/>
              </w:rPr>
            </w:pPr>
            <w:r>
              <w:rPr>
                <w:noProof/>
              </w:rPr>
              <w:t>Entrée en vigueur de la législation régis</w:t>
            </w:r>
            <w:r>
              <w:rPr>
                <w:noProof/>
              </w:rPr>
              <w:t>sant l’utilisation secondaire des données de santé</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503B93" w14:textId="2C7DA14D" w:rsidR="00FA40E8" w:rsidRDefault="00E74AE8">
            <w:pPr>
              <w:pStyle w:val="P68B1DB1-Normal12"/>
              <w:spacing w:before="60" w:after="60"/>
              <w:rPr>
                <w:rFonts w:eastAsia="Segoe UI" w:cs="Times New Roman"/>
                <w:noProof/>
              </w:rPr>
            </w:pPr>
            <w:r>
              <w:rPr>
                <w:noProof/>
              </w:rPr>
              <w:t>Entrée en vigueur de la législation</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0A3AA9" w14:textId="500AF2B3" w:rsidR="00FA40E8" w:rsidRDefault="00E74AE8">
            <w:pPr>
              <w:pStyle w:val="P68B1DB1-Normal12"/>
              <w:spacing w:before="60" w:after="60"/>
              <w:jc w:val="center"/>
              <w:rPr>
                <w:rFonts w:eastAsia="Segoe UI"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795172" w14:textId="0B1FC952" w:rsidR="00FA40E8" w:rsidRDefault="00E74AE8">
            <w:pPr>
              <w:pStyle w:val="P68B1DB1-Normal12"/>
              <w:spacing w:before="60" w:after="60"/>
              <w:jc w:val="center"/>
              <w:rPr>
                <w:rFonts w:eastAsia="Segoe UI" w:cs="Times New Roman"/>
                <w:noProof/>
              </w:rPr>
            </w:pPr>
            <w:r>
              <w:rPr>
                <w:noProof/>
              </w:rPr>
              <w:t>SANS OBJET</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363332" w14:textId="5D7B14EC" w:rsidR="00FA40E8" w:rsidRDefault="00E74AE8">
            <w:pPr>
              <w:pStyle w:val="P68B1DB1-Normal12"/>
              <w:spacing w:before="60" w:after="60"/>
              <w:jc w:val="center"/>
              <w:rPr>
                <w:rFonts w:eastAsia="Segoe UI"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56C229" w14:textId="77777777" w:rsidR="00FA40E8" w:rsidRDefault="00E74AE8">
            <w:pPr>
              <w:pStyle w:val="P68B1DB1-Normal12"/>
              <w:spacing w:before="60" w:after="60"/>
              <w:jc w:val="center"/>
              <w:rPr>
                <w:rFonts w:cs="Times New Roman"/>
                <w:noProof/>
              </w:rPr>
            </w:pPr>
            <w:r>
              <w:rPr>
                <w:noProof/>
              </w:rPr>
              <w:t>T3</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634CD3" w14:textId="77777777" w:rsidR="00FA40E8" w:rsidRDefault="00E74AE8">
            <w:pPr>
              <w:pStyle w:val="P68B1DB1-Normal12"/>
              <w:spacing w:before="60" w:after="60"/>
              <w:jc w:val="center"/>
              <w:rPr>
                <w:rFonts w:cs="Times New Roman"/>
                <w:noProof/>
              </w:rPr>
            </w:pPr>
            <w:r>
              <w:rPr>
                <w:noProof/>
              </w:rPr>
              <w:t>2022</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872D41" w14:textId="536FD47C" w:rsidR="00FA40E8" w:rsidRDefault="00E74AE8">
            <w:pPr>
              <w:pStyle w:val="P68B1DB1-Normal12"/>
              <w:spacing w:before="60" w:after="60"/>
              <w:jc w:val="both"/>
              <w:rPr>
                <w:rFonts w:eastAsia="Times New Roman" w:cs="Times New Roman"/>
                <w:noProof/>
              </w:rPr>
            </w:pPr>
            <w:r>
              <w:rPr>
                <w:noProof/>
              </w:rPr>
              <w:t>La législation relative à l’utilisation secondaire des données de santé et les dispositions d’exécution relatives aux procédures</w:t>
            </w:r>
            <w:r>
              <w:rPr>
                <w:noProof/>
              </w:rPr>
              <w:t xml:space="preserve"> de délivrance des autorisations d’utilisation secondaire des données, à la préparation des données de santé en vue de leur utilisation secondaire, au remboursement des coûts de fourniture des données de santé par les responsables du traitement des données</w:t>
            </w:r>
            <w:r>
              <w:rPr>
                <w:noProof/>
              </w:rPr>
              <w:t xml:space="preserve"> de santé à une institution autorisée par le gouvernement i) créent les conditions d’une utilisation secondaire efficace et sûre des données de santé à des fins d’intérêt public (recherche, développement expérimental et innovation, éducation et gestion des</w:t>
            </w:r>
            <w:r>
              <w:rPr>
                <w:noProof/>
              </w:rPr>
              <w:t xml:space="preserve"> connaissances dans le domaine de la santé, élaboration des politiques de santé, statistiques), ii) garantissent le développement durable de la santé numérique et iii) réglementent les mesures organisationnelles et techniques nécessaires à une utilisation </w:t>
            </w:r>
            <w:r>
              <w:rPr>
                <w:noProof/>
              </w:rPr>
              <w:t>secondaire harmonisée, coordonnée et de haute qualité des données, tout en garantissant la protection des données à caractère personnel.</w:t>
            </w:r>
          </w:p>
        </w:tc>
      </w:tr>
      <w:tr w:rsidR="00FA40E8" w14:paraId="41966633"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6E4B33" w14:textId="7695F531" w:rsidR="00FA40E8" w:rsidRDefault="00E74AE8">
            <w:pPr>
              <w:pStyle w:val="P68B1DB1-Normal12"/>
              <w:spacing w:before="60" w:after="60"/>
              <w:jc w:val="both"/>
              <w:rPr>
                <w:rFonts w:eastAsia="Times New Roman" w:cs="Times New Roman"/>
                <w:noProof/>
              </w:rPr>
            </w:pPr>
            <w:r>
              <w:rPr>
                <w:noProof/>
              </w:rPr>
              <w:t>3</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B834D73" w14:textId="107E37F3" w:rsidR="00FA40E8" w:rsidRDefault="00E74AE8">
            <w:pPr>
              <w:pStyle w:val="P68B1DB1-Normal12"/>
              <w:spacing w:before="60" w:after="60"/>
              <w:rPr>
                <w:rFonts w:eastAsia="Times New Roman" w:cs="Times New Roman"/>
                <w:noProof/>
              </w:rPr>
            </w:pPr>
            <w:r>
              <w:rPr>
                <w:noProof/>
              </w:rPr>
              <w:t xml:space="preserve">A.1.1. Améliorer la qualité et l’accessibilité des services de santé et promouvoir l’innovation </w:t>
            </w:r>
          </w:p>
          <w:p w14:paraId="6CC9C8AB" w14:textId="2143929B" w:rsidR="00FA40E8" w:rsidRDefault="00E74AE8">
            <w:pPr>
              <w:pStyle w:val="P68B1DB1-Normal12"/>
              <w:spacing w:before="60" w:after="60"/>
              <w:rPr>
                <w:rFonts w:eastAsia="Times New Roman" w:cs="Times New Roman"/>
                <w:noProof/>
              </w:rPr>
            </w:pPr>
            <w:r>
              <w:rPr>
                <w:noProof/>
              </w:rPr>
              <w:t xml:space="preserve">A.1.1.3. Plan </w:t>
            </w:r>
            <w:r>
              <w:rPr>
                <w:noProof/>
              </w:rPr>
              <w:t>d’action pour le développement de la médecine familiale 2016-2025</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A573DB" w14:textId="1691847E" w:rsidR="00FA40E8" w:rsidRDefault="00E74AE8">
            <w:pPr>
              <w:pStyle w:val="P68B1DB1-Normal12"/>
              <w:spacing w:before="60" w:after="60"/>
              <w:jc w:val="center"/>
              <w:rPr>
                <w:rFonts w:eastAsia="Times New Roman" w:cs="Times New Roman"/>
                <w:noProof/>
              </w:rPr>
            </w:pPr>
            <w:r>
              <w:rPr>
                <w:noProof/>
              </w:rPr>
              <w:t>Étape</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7B29F6" w14:textId="6E0A3120" w:rsidR="00FA40E8" w:rsidRDefault="00E74AE8">
            <w:pPr>
              <w:pStyle w:val="P68B1DB1-Normal12"/>
              <w:spacing w:before="60" w:after="60"/>
              <w:rPr>
                <w:rFonts w:eastAsia="Times New Roman" w:cs="Times New Roman"/>
                <w:noProof/>
              </w:rPr>
            </w:pPr>
            <w:r>
              <w:rPr>
                <w:noProof/>
              </w:rPr>
              <w:t>Adoption du plan d’action actualisé pour le développement de la médecine familiale pour la période 2016-2025</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3BE273" w14:textId="10F88A7C" w:rsidR="00FA40E8" w:rsidRDefault="00E74AE8">
            <w:pPr>
              <w:pStyle w:val="P68B1DB1-Normal12"/>
              <w:spacing w:before="60" w:after="60"/>
              <w:rPr>
                <w:rFonts w:eastAsia="Times New Roman" w:cs="Times New Roman"/>
                <w:noProof/>
              </w:rPr>
            </w:pPr>
            <w:r>
              <w:rPr>
                <w:noProof/>
              </w:rPr>
              <w:t>Adoption du plan d’action pour le développement de la médecine familiale pa</w:t>
            </w:r>
            <w:r>
              <w:rPr>
                <w:noProof/>
              </w:rPr>
              <w:t>r le ministère de la santé</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E505064" w14:textId="35BDA537" w:rsidR="00FA40E8" w:rsidRDefault="00E74AE8">
            <w:pPr>
              <w:pStyle w:val="P68B1DB1-Normal12"/>
              <w:spacing w:before="60" w:after="60"/>
              <w:jc w:val="center"/>
              <w:rPr>
                <w:rFonts w:eastAsia="Times New Roman"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8FEE406" w14:textId="60FA68DA" w:rsidR="00FA40E8" w:rsidRDefault="00E74AE8">
            <w:pPr>
              <w:pStyle w:val="P68B1DB1-Normal12"/>
              <w:spacing w:before="60" w:after="60"/>
              <w:jc w:val="center"/>
              <w:rPr>
                <w:rFonts w:eastAsia="Times New Roman" w:cs="Times New Roman"/>
                <w:noProof/>
              </w:rPr>
            </w:pPr>
            <w:r>
              <w:rPr>
                <w:noProof/>
              </w:rPr>
              <w:t>SANS OBJET</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686D343" w14:textId="57BC03D0" w:rsidR="00FA40E8" w:rsidRDefault="00E74AE8">
            <w:pPr>
              <w:pStyle w:val="P68B1DB1-Normal12"/>
              <w:spacing w:before="60" w:after="60"/>
              <w:jc w:val="center"/>
              <w:rPr>
                <w:rFonts w:eastAsia="Times New Roman"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059EDCB" w14:textId="2ACDBF83" w:rsidR="00FA40E8" w:rsidRDefault="00E74AE8">
            <w:pPr>
              <w:pStyle w:val="P68B1DB1-Normal12"/>
              <w:spacing w:before="60" w:after="60"/>
              <w:jc w:val="center"/>
              <w:rPr>
                <w:rFonts w:eastAsia="Times New Roman" w:cs="Times New Roman"/>
                <w:noProof/>
              </w:rPr>
            </w:pPr>
            <w:r>
              <w:rPr>
                <w:noProof/>
              </w:rPr>
              <w:t>T4</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E80FD3" w14:textId="18582801" w:rsidR="00FA40E8" w:rsidRDefault="00E74AE8">
            <w:pPr>
              <w:pStyle w:val="P68B1DB1-Normal12"/>
              <w:spacing w:before="60" w:after="60"/>
              <w:jc w:val="center"/>
              <w:rPr>
                <w:rFonts w:eastAsia="Times New Roman" w:cs="Times New Roman"/>
                <w:noProof/>
              </w:rPr>
            </w:pPr>
            <w:r>
              <w:rPr>
                <w:noProof/>
              </w:rPr>
              <w:t>2022</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93BE0F" w14:textId="63DC8EFD" w:rsidR="00FA40E8" w:rsidRDefault="00E74AE8">
            <w:pPr>
              <w:pStyle w:val="P68B1DB1-Normal12"/>
              <w:spacing w:before="60" w:after="60"/>
              <w:jc w:val="both"/>
              <w:rPr>
                <w:rFonts w:eastAsia="Calibri" w:cs="Times New Roman"/>
                <w:noProof/>
              </w:rPr>
            </w:pPr>
            <w:r>
              <w:rPr>
                <w:noProof/>
              </w:rPr>
              <w:t xml:space="preserve">Un plan d’action pour le développement de la médecine familiale pour la période 2016-2025 est élaboré et approuvé par le ministère de la santé. Le plan d’action définit les fonctions d’un </w:t>
            </w:r>
            <w:r>
              <w:rPr>
                <w:noProof/>
              </w:rPr>
              <w:t>médecin de famille qui ne sont pas directement liées à la prestation de services de soins de santé</w:t>
            </w:r>
            <w:r>
              <w:rPr>
                <w:strike/>
                <w:noProof/>
              </w:rPr>
              <w:t>;</w:t>
            </w:r>
            <w:r>
              <w:rPr>
                <w:noProof/>
              </w:rPr>
              <w:t xml:space="preserve"> et redistribuer les responsabilités entre les médecins généralistes et les autres membres de l’équipe médicale (infirmiers, sages-femmes, aides-soignants, p</w:t>
            </w:r>
            <w:r>
              <w:rPr>
                <w:noProof/>
              </w:rPr>
              <w:t>rofessionnels du mode de vie, travailleurs sociaux ou kinésithérapeutes).</w:t>
            </w:r>
          </w:p>
        </w:tc>
      </w:tr>
      <w:tr w:rsidR="00FA40E8" w14:paraId="155E66C3"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A47C5FE" w14:textId="424D0502" w:rsidR="00FA40E8" w:rsidRDefault="00E74AE8">
            <w:pPr>
              <w:pStyle w:val="P68B1DB1-Normal12"/>
              <w:spacing w:before="60" w:after="60"/>
              <w:jc w:val="both"/>
              <w:rPr>
                <w:rFonts w:cs="Times New Roman"/>
                <w:noProof/>
              </w:rPr>
            </w:pPr>
            <w:r>
              <w:rPr>
                <w:noProof/>
              </w:rPr>
              <w:t>4</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53367D" w14:textId="5A828D4E" w:rsidR="00FA40E8" w:rsidRDefault="00E74AE8">
            <w:pPr>
              <w:pStyle w:val="P68B1DB1-Normal12"/>
              <w:spacing w:before="60" w:after="60"/>
              <w:rPr>
                <w:rFonts w:cs="Times New Roman"/>
                <w:noProof/>
              </w:rPr>
            </w:pPr>
            <w:r>
              <w:rPr>
                <w:noProof/>
              </w:rPr>
              <w:t xml:space="preserve">A.1.1. Améliorer la qualité et l’accessibilité des services de santé et promouvoir l’innovation </w:t>
            </w:r>
          </w:p>
          <w:p w14:paraId="6116DF6C" w14:textId="419294A4" w:rsidR="00FA40E8" w:rsidRDefault="00E74AE8">
            <w:pPr>
              <w:pStyle w:val="P68B1DB1-Normal12"/>
              <w:spacing w:before="60" w:after="60"/>
              <w:rPr>
                <w:rFonts w:cs="Times New Roman"/>
                <w:noProof/>
              </w:rPr>
            </w:pPr>
            <w:r>
              <w:rPr>
                <w:noProof/>
              </w:rPr>
              <w:t xml:space="preserve">A.1.1.4. Mise en place d’un modèle de prestation de services de santé publique de </w:t>
            </w:r>
            <w:r>
              <w:rPr>
                <w:noProof/>
              </w:rPr>
              <w:t>base</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5862733" w14:textId="77777777" w:rsidR="00FA40E8" w:rsidRDefault="00E74AE8">
            <w:pPr>
              <w:pStyle w:val="P68B1DB1-Normal12"/>
              <w:spacing w:before="60" w:after="60"/>
              <w:jc w:val="center"/>
              <w:rPr>
                <w:rFonts w:cs="Times New Roman"/>
                <w:noProof/>
              </w:rPr>
            </w:pPr>
            <w:r>
              <w:rPr>
                <w:noProof/>
              </w:rPr>
              <w:t>Étape</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9A97C2" w14:textId="4FAB08E6" w:rsidR="00FA40E8" w:rsidRDefault="00E74AE8">
            <w:pPr>
              <w:pStyle w:val="P68B1DB1-Normal13"/>
              <w:spacing w:before="60" w:after="60"/>
              <w:rPr>
                <w:rFonts w:eastAsia="Segoe UI"/>
                <w:noProof/>
              </w:rPr>
            </w:pPr>
            <w:r>
              <w:rPr>
                <w:noProof/>
              </w:rPr>
              <w:t>Entrée en vigueur</w:t>
            </w:r>
            <w:r>
              <w:rPr>
                <w:noProof/>
                <w:color w:val="000000" w:themeColor="text1"/>
              </w:rPr>
              <w:t xml:space="preserve"> de la législation établissant un modèle de prestation de services de santé publique de base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CCB95F" w14:textId="30907AC2" w:rsidR="00FA40E8" w:rsidRDefault="00E74AE8">
            <w:pPr>
              <w:pStyle w:val="P68B1DB1-Normal12"/>
              <w:spacing w:before="60" w:after="60"/>
              <w:rPr>
                <w:rFonts w:cs="Times New Roman"/>
                <w:noProof/>
              </w:rPr>
            </w:pPr>
            <w:r>
              <w:rPr>
                <w:noProof/>
              </w:rPr>
              <w:t>Entrée en vigueur de la législation</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F05ACA" w14:textId="6FFE2071" w:rsidR="00FA40E8" w:rsidRDefault="00E74AE8">
            <w:pPr>
              <w:pStyle w:val="P68B1DB1-Normal12"/>
              <w:spacing w:before="60" w:after="60"/>
              <w:jc w:val="center"/>
              <w:rPr>
                <w:rFonts w:eastAsia="Segoe UI"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D7B2CE" w14:textId="55DE7C2C" w:rsidR="00FA40E8" w:rsidRDefault="00E74AE8">
            <w:pPr>
              <w:pStyle w:val="P68B1DB1-Normal12"/>
              <w:spacing w:before="60" w:after="60"/>
              <w:jc w:val="center"/>
              <w:rPr>
                <w:rFonts w:eastAsia="Segoe UI" w:cs="Times New Roman"/>
                <w:noProof/>
              </w:rPr>
            </w:pPr>
            <w:r>
              <w:rPr>
                <w:noProof/>
              </w:rPr>
              <w:t>SANS OBJET</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F33DE2" w14:textId="534E870A" w:rsidR="00FA40E8" w:rsidRDefault="00E74AE8">
            <w:pPr>
              <w:pStyle w:val="P68B1DB1-Normal12"/>
              <w:spacing w:before="60" w:after="60"/>
              <w:jc w:val="center"/>
              <w:rPr>
                <w:rFonts w:eastAsia="Segoe UI"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299F806" w14:textId="77777777" w:rsidR="00FA40E8" w:rsidRDefault="00E74AE8">
            <w:pPr>
              <w:pStyle w:val="P68B1DB1-Normal12"/>
              <w:spacing w:before="60" w:after="60"/>
              <w:jc w:val="center"/>
              <w:rPr>
                <w:rFonts w:cs="Times New Roman"/>
                <w:noProof/>
              </w:rPr>
            </w:pPr>
            <w:r>
              <w:rPr>
                <w:noProof/>
              </w:rPr>
              <w:t>T1</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7CCA764" w14:textId="77777777" w:rsidR="00FA40E8" w:rsidRDefault="00E74AE8">
            <w:pPr>
              <w:pStyle w:val="P68B1DB1-Normal12"/>
              <w:spacing w:before="60" w:after="60"/>
              <w:jc w:val="center"/>
              <w:rPr>
                <w:rFonts w:cs="Times New Roman"/>
                <w:noProof/>
              </w:rPr>
            </w:pPr>
            <w:r>
              <w:rPr>
                <w:noProof/>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3E7D6C" w14:textId="5AB1BC9C" w:rsidR="00FA40E8" w:rsidRDefault="00E74AE8">
            <w:pPr>
              <w:pStyle w:val="P68B1DB1-Normal14"/>
              <w:spacing w:before="60" w:after="60"/>
              <w:jc w:val="both"/>
              <w:rPr>
                <w:rFonts w:ascii="Calibri" w:eastAsia="Calibri" w:hAnsi="Calibri" w:cs="Calibri"/>
                <w:strike/>
                <w:noProof/>
              </w:rPr>
            </w:pPr>
            <w:r>
              <w:rPr>
                <w:noProof/>
              </w:rPr>
              <w:t xml:space="preserve">La législation entrera en vigueur pour imposer la </w:t>
            </w:r>
            <w:r>
              <w:rPr>
                <w:noProof/>
              </w:rPr>
              <w:t>fourniture de services de santé publique de base qui seront fournis par les municipalités. Un plan définissant les services de santé publique de base à fournir par les municipalités est approuvé par la commission pour le développement des soins de santé pu</w:t>
            </w:r>
            <w:r>
              <w:rPr>
                <w:noProof/>
              </w:rPr>
              <w:t xml:space="preserve">blique. Le plan comprend des indicateurs permettant de suivre la prestation des services et d’identifier les principaux groupes cibles. </w:t>
            </w:r>
          </w:p>
        </w:tc>
      </w:tr>
      <w:tr w:rsidR="00FA40E8" w14:paraId="3F620609"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6D8AF4D" w14:textId="70571F31" w:rsidR="00FA40E8" w:rsidRDefault="00E74AE8">
            <w:pPr>
              <w:pStyle w:val="P68B1DB1-Normal12"/>
              <w:spacing w:before="60" w:after="60"/>
              <w:jc w:val="both"/>
              <w:rPr>
                <w:rFonts w:cs="Times New Roman"/>
                <w:noProof/>
              </w:rPr>
            </w:pPr>
            <w:r>
              <w:rPr>
                <w:noProof/>
              </w:rPr>
              <w:t>5</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D560C7E" w14:textId="44FA3A7C" w:rsidR="00FA40E8" w:rsidRDefault="00E74AE8">
            <w:pPr>
              <w:pStyle w:val="P68B1DB1-Normal12"/>
              <w:spacing w:before="60" w:after="60"/>
              <w:rPr>
                <w:rFonts w:eastAsia="Times New Roman" w:cs="Times New Roman"/>
                <w:noProof/>
              </w:rPr>
            </w:pPr>
            <w:r>
              <w:rPr>
                <w:noProof/>
              </w:rPr>
              <w:t xml:space="preserve">A.1.1. Améliorer la qualité et l’accessibilité des services de santé et promouvoir l’innovation </w:t>
            </w:r>
          </w:p>
          <w:p w14:paraId="4D5D5BC8" w14:textId="38CAE1F0" w:rsidR="00FA40E8" w:rsidRDefault="00E74AE8">
            <w:pPr>
              <w:pStyle w:val="P68B1DB1-Normal12"/>
              <w:spacing w:before="60" w:after="60"/>
              <w:rPr>
                <w:rFonts w:cs="Times New Roman"/>
                <w:noProof/>
              </w:rPr>
            </w:pPr>
            <w:r>
              <w:rPr>
                <w:noProof/>
              </w:rPr>
              <w:t xml:space="preserve">A.1.1.5. </w:t>
            </w:r>
            <w:r>
              <w:rPr>
                <w:noProof/>
              </w:rPr>
              <w:t>Amélioration des conditions de travail et des qualifications professionnelles des professionnels de la santé</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196DEE0" w14:textId="77777777" w:rsidR="00FA40E8" w:rsidRDefault="00E74AE8">
            <w:pPr>
              <w:pStyle w:val="P68B1DB1-Normal12"/>
              <w:spacing w:before="60" w:after="60"/>
              <w:jc w:val="center"/>
              <w:rPr>
                <w:rFonts w:cs="Times New Roman"/>
                <w:noProof/>
              </w:rPr>
            </w:pPr>
            <w:r>
              <w:rPr>
                <w:noProof/>
              </w:rPr>
              <w:t>Étape</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F0FB55" w14:textId="77777777" w:rsidR="00FA40E8" w:rsidRDefault="00E74AE8">
            <w:pPr>
              <w:pStyle w:val="P68B1DB1-Normal12"/>
              <w:spacing w:before="60" w:after="60"/>
              <w:rPr>
                <w:rFonts w:eastAsia="Segoe UI" w:cs="Times New Roman"/>
                <w:noProof/>
              </w:rPr>
            </w:pPr>
            <w:r>
              <w:rPr>
                <w:noProof/>
              </w:rPr>
              <w:t>Entrée en vigueur de la législation relative à l’amélioration des conditions de travail et des qualifications professionnelles des profession</w:t>
            </w:r>
            <w:r>
              <w:rPr>
                <w:noProof/>
              </w:rPr>
              <w:t>nels de la santé</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88E3FB" w14:textId="5CD56111" w:rsidR="00FA40E8" w:rsidRDefault="00E74AE8">
            <w:pPr>
              <w:pStyle w:val="P68B1DB1-Normal12"/>
              <w:spacing w:before="60" w:after="60"/>
              <w:rPr>
                <w:rFonts w:eastAsia="Segoe UI" w:cs="Times New Roman"/>
                <w:noProof/>
              </w:rPr>
            </w:pPr>
            <w:r>
              <w:rPr>
                <w:noProof/>
              </w:rPr>
              <w:t>Entrée en vigueur de la législation</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9F0E78" w14:textId="2939C1FB" w:rsidR="00FA40E8" w:rsidRDefault="00E74AE8">
            <w:pPr>
              <w:pStyle w:val="P68B1DB1-Normal12"/>
              <w:spacing w:before="60" w:after="60"/>
              <w:jc w:val="center"/>
              <w:rPr>
                <w:rFonts w:eastAsia="Segoe UI"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0FAD5DB" w14:textId="069F696C" w:rsidR="00FA40E8" w:rsidRDefault="00E74AE8">
            <w:pPr>
              <w:pStyle w:val="P68B1DB1-Normal12"/>
              <w:spacing w:before="60" w:after="60"/>
              <w:jc w:val="center"/>
              <w:rPr>
                <w:rFonts w:eastAsia="Segoe UI" w:cs="Times New Roman"/>
                <w:noProof/>
              </w:rPr>
            </w:pPr>
            <w:r>
              <w:rPr>
                <w:noProof/>
              </w:rPr>
              <w:t>SANS OBJET</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EAF83F" w14:textId="2C9BFF18" w:rsidR="00FA40E8" w:rsidRDefault="00E74AE8">
            <w:pPr>
              <w:pStyle w:val="P68B1DB1-Normal12"/>
              <w:spacing w:before="60" w:after="60"/>
              <w:jc w:val="center"/>
              <w:rPr>
                <w:rFonts w:eastAsia="Segoe UI"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423984" w14:textId="77777777" w:rsidR="00FA40E8" w:rsidRDefault="00E74AE8">
            <w:pPr>
              <w:pStyle w:val="P68B1DB1-Normal12"/>
              <w:spacing w:before="60" w:after="60"/>
              <w:jc w:val="center"/>
              <w:rPr>
                <w:rFonts w:cs="Times New Roman"/>
                <w:noProof/>
              </w:rPr>
            </w:pPr>
            <w:r>
              <w:rPr>
                <w:noProof/>
              </w:rPr>
              <w:t>T2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DA55260" w14:textId="77777777" w:rsidR="00FA40E8" w:rsidRDefault="00E74AE8">
            <w:pPr>
              <w:pStyle w:val="P68B1DB1-Normal12"/>
              <w:spacing w:before="60" w:after="60"/>
              <w:jc w:val="center"/>
              <w:rPr>
                <w:rFonts w:cs="Times New Roman"/>
                <w:noProof/>
              </w:rPr>
            </w:pPr>
            <w:r>
              <w:rPr>
                <w:noProof/>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F66A203" w14:textId="29BFBF24" w:rsidR="00FA40E8" w:rsidRDefault="00E74AE8">
            <w:pPr>
              <w:pStyle w:val="P68B1DB1-Normal12"/>
              <w:spacing w:before="60" w:after="60"/>
              <w:jc w:val="both"/>
              <w:rPr>
                <w:rFonts w:cs="Times New Roman"/>
                <w:noProof/>
              </w:rPr>
            </w:pPr>
            <w:r>
              <w:rPr>
                <w:noProof/>
              </w:rPr>
              <w:t>La législation visant à améliorer les conditions de travail et les qualifications professionnelles des professionnels de la santé comprend des dispositions relati</w:t>
            </w:r>
            <w:r>
              <w:rPr>
                <w:noProof/>
              </w:rPr>
              <w:t>ves à la réglementation des salaires, à la charge de travail, à des mesures visant à améliorer l’état psycho-émotionnel des médecins et à un mécanisme de formation continue des professionnels de la santé.</w:t>
            </w:r>
          </w:p>
        </w:tc>
      </w:tr>
      <w:tr w:rsidR="00FA40E8" w14:paraId="33698CDE"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753DBE" w14:textId="01C8AC31" w:rsidR="00FA40E8" w:rsidRDefault="00E74AE8">
            <w:pPr>
              <w:pStyle w:val="P68B1DB1-Normal12"/>
              <w:spacing w:before="60" w:after="60"/>
              <w:jc w:val="both"/>
              <w:rPr>
                <w:rFonts w:cs="Times New Roman"/>
                <w:noProof/>
              </w:rPr>
            </w:pPr>
            <w:r>
              <w:rPr>
                <w:noProof/>
              </w:rPr>
              <w:t>6</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0E8604" w14:textId="0AD603EA" w:rsidR="00FA40E8" w:rsidRDefault="00E74AE8">
            <w:pPr>
              <w:pStyle w:val="P68B1DB1-Normal12"/>
              <w:spacing w:before="60" w:after="60"/>
              <w:rPr>
                <w:rFonts w:cs="Times New Roman"/>
                <w:noProof/>
              </w:rPr>
            </w:pPr>
            <w:r>
              <w:rPr>
                <w:noProof/>
              </w:rPr>
              <w:t xml:space="preserve">A.1.1. Améliorer la qualité et l’accessibilité des services de santé et promouvoir l’innovation </w:t>
            </w:r>
          </w:p>
          <w:p w14:paraId="6D1AB1AE" w14:textId="01AC1343" w:rsidR="00FA40E8" w:rsidRDefault="00E74AE8">
            <w:pPr>
              <w:pStyle w:val="P68B1DB1-Normal12"/>
              <w:spacing w:before="60" w:after="60"/>
              <w:rPr>
                <w:rFonts w:cs="Times New Roman"/>
                <w:noProof/>
              </w:rPr>
            </w:pPr>
            <w:r>
              <w:rPr>
                <w:noProof/>
              </w:rPr>
              <w:t>A.1.1.6. Mise en place d’un réseau d’établissements de soins de santé individuels sur le modèle de la coopération régionale</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1F47B0" w14:textId="77777777" w:rsidR="00FA40E8" w:rsidRDefault="00E74AE8">
            <w:pPr>
              <w:pStyle w:val="P68B1DB1-Normal12"/>
              <w:spacing w:before="60" w:after="60"/>
              <w:jc w:val="center"/>
              <w:rPr>
                <w:rFonts w:cs="Times New Roman"/>
                <w:noProof/>
              </w:rPr>
            </w:pPr>
            <w:r>
              <w:rPr>
                <w:noProof/>
              </w:rPr>
              <w:t>Étape</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F9E20D" w14:textId="01A4785F" w:rsidR="00FA40E8" w:rsidRDefault="00E74AE8">
            <w:pPr>
              <w:pStyle w:val="P68B1DB1-Normal12"/>
              <w:spacing w:before="60" w:after="60"/>
              <w:rPr>
                <w:rFonts w:eastAsia="Segoe UI" w:cs="Times New Roman"/>
                <w:noProof/>
              </w:rPr>
            </w:pPr>
            <w:r>
              <w:rPr>
                <w:noProof/>
              </w:rPr>
              <w:t>Entrée en vigueur de la légis</w:t>
            </w:r>
            <w:r>
              <w:rPr>
                <w:noProof/>
              </w:rPr>
              <w:t>lation relative à la création et à la réglementation d’un réseau d’établissements de soins de santé individuels sur le modèle des centres d’excellence et de la coopération régionale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B35749" w14:textId="6668B396" w:rsidR="00FA40E8" w:rsidRDefault="00E74AE8">
            <w:pPr>
              <w:pStyle w:val="P68B1DB1-Normal12"/>
              <w:spacing w:before="60" w:after="60"/>
              <w:rPr>
                <w:rFonts w:eastAsia="Segoe UI" w:cs="Times New Roman"/>
                <w:noProof/>
              </w:rPr>
            </w:pPr>
            <w:r>
              <w:rPr>
                <w:noProof/>
              </w:rPr>
              <w:t>Entrée en vigueur de la législation</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28552C" w14:textId="421B7F12" w:rsidR="00FA40E8" w:rsidRDefault="00E74AE8">
            <w:pPr>
              <w:pStyle w:val="P68B1DB1-Normal12"/>
              <w:spacing w:before="60" w:after="60"/>
              <w:jc w:val="center"/>
              <w:rPr>
                <w:rFonts w:eastAsia="Segoe UI"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586807" w14:textId="779611A9" w:rsidR="00FA40E8" w:rsidRDefault="00E74AE8">
            <w:pPr>
              <w:pStyle w:val="P68B1DB1-Normal12"/>
              <w:spacing w:before="60" w:after="60"/>
              <w:jc w:val="center"/>
              <w:rPr>
                <w:rFonts w:eastAsia="Times New Roman" w:cs="Times New Roman"/>
                <w:noProof/>
              </w:rPr>
            </w:pPr>
            <w:r>
              <w:rPr>
                <w:noProof/>
              </w:rPr>
              <w:t>SANS OBJET</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A9BB5BA" w14:textId="53306758" w:rsidR="00FA40E8" w:rsidRDefault="00E74AE8">
            <w:pPr>
              <w:pStyle w:val="P68B1DB1-Normal12"/>
              <w:spacing w:before="60" w:after="60"/>
              <w:jc w:val="center"/>
              <w:rPr>
                <w:rFonts w:eastAsia="Times New Roman"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976A99" w14:textId="77777777" w:rsidR="00FA40E8" w:rsidRDefault="00E74AE8">
            <w:pPr>
              <w:pStyle w:val="P68B1DB1-Normal12"/>
              <w:spacing w:before="60" w:after="60"/>
              <w:jc w:val="center"/>
              <w:rPr>
                <w:rFonts w:eastAsia="Times New Roman" w:cs="Times New Roman"/>
                <w:noProof/>
              </w:rPr>
            </w:pPr>
            <w:r>
              <w:rPr>
                <w:noProof/>
              </w:rPr>
              <w:t>T3</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E15B1A" w14:textId="77777777" w:rsidR="00FA40E8" w:rsidRDefault="00E74AE8">
            <w:pPr>
              <w:pStyle w:val="P68B1DB1-Normal12"/>
              <w:spacing w:before="60" w:after="60"/>
              <w:jc w:val="center"/>
              <w:rPr>
                <w:rFonts w:eastAsia="Times New Roman" w:cs="Times New Roman"/>
                <w:noProof/>
              </w:rPr>
            </w:pPr>
            <w:r>
              <w:rPr>
                <w:noProof/>
              </w:rPr>
              <w:t>20</w:t>
            </w:r>
            <w:r>
              <w:rPr>
                <w:noProof/>
              </w:rPr>
              <w:t>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170E763" w14:textId="2AA67B0F" w:rsidR="00FA40E8" w:rsidRDefault="00E74AE8">
            <w:pPr>
              <w:pStyle w:val="P68B1DB1-Normal12"/>
              <w:spacing w:before="60" w:after="60"/>
              <w:jc w:val="both"/>
              <w:rPr>
                <w:rFonts w:eastAsia="Times New Roman" w:cs="Times New Roman"/>
                <w:noProof/>
              </w:rPr>
            </w:pPr>
            <w:r>
              <w:rPr>
                <w:noProof/>
              </w:rPr>
              <w:t>La législation régissant le réseau d’établissements de soins de santé individuels sur le modèle des centres d’excellence et de la coopération régionale établit les principes et les critères pour la constitution d’un réseau d’établissements de soins de s</w:t>
            </w:r>
            <w:r>
              <w:rPr>
                <w:noProof/>
              </w:rPr>
              <w:t>anté individuels et d’un mécanisme de coopération entre les établissements de soins de santé individuels et les centres d’excellence.</w:t>
            </w:r>
          </w:p>
        </w:tc>
      </w:tr>
      <w:tr w:rsidR="00FA40E8" w14:paraId="1420C5F2"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923EF5" w14:textId="2E4FB20C" w:rsidR="00FA40E8" w:rsidRDefault="00E74AE8">
            <w:pPr>
              <w:pStyle w:val="P68B1DB1-Normal12"/>
              <w:spacing w:before="60" w:after="60"/>
              <w:jc w:val="both"/>
              <w:rPr>
                <w:rFonts w:cs="Times New Roman"/>
                <w:noProof/>
              </w:rPr>
            </w:pPr>
            <w:r>
              <w:rPr>
                <w:noProof/>
              </w:rPr>
              <w:t>7</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BAF81D" w14:textId="47250017" w:rsidR="00FA40E8" w:rsidRDefault="00E74AE8">
            <w:pPr>
              <w:pStyle w:val="P68B1DB1-Normal12"/>
              <w:spacing w:before="60" w:after="60"/>
              <w:rPr>
                <w:rFonts w:eastAsia="Times New Roman" w:cs="Times New Roman"/>
                <w:noProof/>
              </w:rPr>
            </w:pPr>
            <w:r>
              <w:rPr>
                <w:noProof/>
              </w:rPr>
              <w:t xml:space="preserve">A.1.1. Améliorer la qualité et l’accessibilité des services de santé et promouvoir l’innovation </w:t>
            </w:r>
          </w:p>
          <w:p w14:paraId="5DCD5B02" w14:textId="7743D30B" w:rsidR="00FA40E8" w:rsidRDefault="00E74AE8">
            <w:pPr>
              <w:pStyle w:val="P68B1DB1-Normal12"/>
              <w:spacing w:before="60" w:after="60"/>
              <w:rPr>
                <w:rFonts w:eastAsia="Times New Roman" w:cs="Times New Roman"/>
                <w:noProof/>
              </w:rPr>
            </w:pPr>
            <w:r>
              <w:rPr>
                <w:noProof/>
              </w:rPr>
              <w:t>A.1.1.7. Création d’un</w:t>
            </w:r>
            <w:r>
              <w:rPr>
                <w:noProof/>
              </w:rPr>
              <w:t xml:space="preserve"> centre de thérapies innovantes</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2939D7" w14:textId="77777777" w:rsidR="00FA40E8" w:rsidRDefault="00E74AE8">
            <w:pPr>
              <w:pStyle w:val="P68B1DB1-Normal12"/>
              <w:spacing w:before="60" w:after="60"/>
              <w:jc w:val="center"/>
              <w:rPr>
                <w:rFonts w:cs="Times New Roman"/>
                <w:noProof/>
              </w:rPr>
            </w:pPr>
            <w:r>
              <w:rPr>
                <w:noProof/>
              </w:rPr>
              <w:t>Étape</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9CA5FB" w14:textId="0004427D" w:rsidR="00FA40E8" w:rsidRDefault="00E74AE8">
            <w:pPr>
              <w:pStyle w:val="P68B1DB1-Normal14"/>
              <w:spacing w:before="60" w:after="60"/>
              <w:rPr>
                <w:noProof/>
              </w:rPr>
            </w:pPr>
            <w:r>
              <w:rPr>
                <w:noProof/>
              </w:rPr>
              <w:t xml:space="preserve">Centre de thérapie innovante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983C7D" w14:textId="18578223" w:rsidR="00FA40E8" w:rsidRDefault="00E74AE8">
            <w:pPr>
              <w:pStyle w:val="P68B1DB1-Normal14"/>
              <w:spacing w:before="60" w:after="60"/>
              <w:rPr>
                <w:noProof/>
              </w:rPr>
            </w:pPr>
            <w:r>
              <w:rPr>
                <w:noProof/>
              </w:rPr>
              <w:t>Extension de l’infrastructure pour un centre de thérapie innovante construit</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556AFE" w14:textId="432E4075" w:rsidR="00FA40E8" w:rsidRDefault="00E74AE8">
            <w:pPr>
              <w:pStyle w:val="P68B1DB1-Normal13"/>
              <w:spacing w:before="60" w:after="60"/>
              <w:jc w:val="center"/>
              <w:rPr>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F6551C" w14:textId="02F98AFE" w:rsidR="00FA40E8" w:rsidRDefault="00E74AE8">
            <w:pPr>
              <w:pStyle w:val="P68B1DB1-Normal13"/>
              <w:spacing w:before="60" w:after="60"/>
              <w:jc w:val="center"/>
              <w:rPr>
                <w:noProof/>
              </w:rPr>
            </w:pPr>
            <w:r>
              <w:rPr>
                <w:noProof/>
              </w:rPr>
              <w:t>SANS OBJET</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2BEDEA" w14:textId="3A55D497" w:rsidR="00FA40E8" w:rsidRDefault="00E74AE8">
            <w:pPr>
              <w:pStyle w:val="P68B1DB1-Normal13"/>
              <w:spacing w:before="60" w:after="60"/>
              <w:jc w:val="center"/>
              <w:rPr>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52DC37" w14:textId="4715FB4B" w:rsidR="00FA40E8" w:rsidRDefault="00E74AE8">
            <w:pPr>
              <w:pStyle w:val="P68B1DB1-Normal13"/>
              <w:spacing w:before="60" w:after="60"/>
              <w:jc w:val="center"/>
              <w:rPr>
                <w:noProof/>
              </w:rPr>
            </w:pPr>
            <w:r>
              <w:rPr>
                <w:noProof/>
              </w:rPr>
              <w:t>T2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D6D1EB" w14:textId="31564FAD" w:rsidR="00FA40E8" w:rsidRDefault="00E74AE8">
            <w:pPr>
              <w:pStyle w:val="P68B1DB1-Normal13"/>
              <w:spacing w:before="60" w:after="60"/>
              <w:jc w:val="center"/>
              <w:rPr>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057AF" w14:textId="49E26083" w:rsidR="00FA40E8" w:rsidRDefault="00E74AE8">
            <w:pPr>
              <w:pStyle w:val="P68B1DB1-Normal14"/>
              <w:spacing w:before="60" w:after="60"/>
              <w:jc w:val="both"/>
              <w:rPr>
                <w:noProof/>
              </w:rPr>
            </w:pPr>
            <w:r>
              <w:rPr>
                <w:noProof/>
              </w:rPr>
              <w:t xml:space="preserve">Extension de l’infrastructure pour la construction d’un centre de </w:t>
            </w:r>
            <w:r>
              <w:rPr>
                <w:noProof/>
              </w:rPr>
              <w:t>thérapie innovante et achat d’équipements.</w:t>
            </w:r>
          </w:p>
        </w:tc>
      </w:tr>
      <w:tr w:rsidR="00FA40E8" w14:paraId="76FD2A46"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F4CB6F" w14:textId="255E6CCF" w:rsidR="00FA40E8" w:rsidRDefault="00E74AE8">
            <w:pPr>
              <w:pStyle w:val="P68B1DB1-Normal12"/>
              <w:spacing w:before="60" w:after="60"/>
              <w:jc w:val="both"/>
              <w:rPr>
                <w:noProof/>
              </w:rPr>
            </w:pPr>
            <w:r>
              <w:rPr>
                <w:noProof/>
              </w:rPr>
              <w:t>9</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2D54DD" w14:textId="55AA872B" w:rsidR="00FA40E8" w:rsidRDefault="00E74AE8">
            <w:pPr>
              <w:pStyle w:val="P68B1DB1-Normal12"/>
              <w:spacing w:before="60" w:after="60"/>
              <w:rPr>
                <w:rFonts w:eastAsia="Times New Roman" w:cs="Times New Roman"/>
                <w:noProof/>
              </w:rPr>
            </w:pPr>
            <w:r>
              <w:rPr>
                <w:noProof/>
              </w:rPr>
              <w:t>A.1.1. Améliorer la qualité et l’accessibilité des services de santé et promouvoir l’innovation</w:t>
            </w:r>
          </w:p>
          <w:p w14:paraId="261D7FB9" w14:textId="6B7884A3" w:rsidR="00FA40E8" w:rsidRDefault="00E74AE8">
            <w:pPr>
              <w:pStyle w:val="P68B1DB1-Normal12"/>
              <w:spacing w:before="60" w:after="60"/>
              <w:rPr>
                <w:rFonts w:eastAsia="Times New Roman" w:cs="Times New Roman"/>
                <w:noProof/>
              </w:rPr>
            </w:pPr>
            <w:r>
              <w:rPr>
                <w:noProof/>
              </w:rPr>
              <w:t>A.1.1.8. Collecte de données génomiques de référence</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B9A317" w14:textId="77777777" w:rsidR="00FA40E8" w:rsidRDefault="00E74AE8">
            <w:pPr>
              <w:pStyle w:val="P68B1DB1-Normal12"/>
              <w:spacing w:before="60" w:after="60"/>
              <w:jc w:val="center"/>
              <w:rPr>
                <w:noProof/>
              </w:rPr>
            </w:pPr>
            <w:r>
              <w:rPr>
                <w:noProof/>
              </w:rPr>
              <w:t>Objectif</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B27CBF" w14:textId="09854699" w:rsidR="00FA40E8" w:rsidRDefault="00E74AE8">
            <w:pPr>
              <w:pStyle w:val="P68B1DB1-Normal12"/>
              <w:spacing w:before="60" w:after="60"/>
              <w:rPr>
                <w:noProof/>
              </w:rPr>
            </w:pPr>
            <w:r>
              <w:rPr>
                <w:noProof/>
              </w:rPr>
              <w:t xml:space="preserve">Nombre de tests de séquençage effectués pour le </w:t>
            </w:r>
            <w:r>
              <w:rPr>
                <w:noProof/>
              </w:rPr>
              <w:t>génome humain</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68B1F6" w14:textId="3E7761B1" w:rsidR="00FA40E8" w:rsidRDefault="00FA40E8">
            <w:pPr>
              <w:spacing w:before="60" w:after="60"/>
              <w:rPr>
                <w:noProof/>
                <w:sz w:val="20"/>
              </w:rPr>
            </w:pP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7FE688" w14:textId="77777777" w:rsidR="00FA40E8" w:rsidRDefault="00E74AE8">
            <w:pPr>
              <w:pStyle w:val="P68B1DB1-Normal12"/>
              <w:spacing w:before="60" w:after="60"/>
              <w:jc w:val="center"/>
              <w:rPr>
                <w:noProof/>
              </w:rPr>
            </w:pPr>
            <w:r>
              <w:rPr>
                <w:noProof/>
              </w:rPr>
              <w:t>Nombre</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BBEA23" w14:textId="58F205EA" w:rsidR="00FA40E8" w:rsidRDefault="00E74AE8">
            <w:pPr>
              <w:pStyle w:val="P68B1DB1-Normal12"/>
              <w:spacing w:before="60" w:after="60"/>
              <w:jc w:val="center"/>
              <w:rPr>
                <w:noProof/>
              </w:rPr>
            </w:pPr>
            <w:r>
              <w:rPr>
                <w:noProof/>
              </w:rPr>
              <w:t>0</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122EEF" w14:textId="283D11D8" w:rsidR="00FA40E8" w:rsidRDefault="00E74AE8">
            <w:pPr>
              <w:pStyle w:val="P68B1DB1-Normal12"/>
              <w:spacing w:before="60" w:after="60"/>
              <w:jc w:val="center"/>
              <w:rPr>
                <w:noProof/>
              </w:rPr>
            </w:pPr>
            <w:r>
              <w:rPr>
                <w:noProof/>
              </w:rPr>
              <w:t>1 570</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9F6815" w14:textId="77777777" w:rsidR="00FA40E8" w:rsidRDefault="00E74AE8">
            <w:pPr>
              <w:pStyle w:val="P68B1DB1-Normal12"/>
              <w:spacing w:before="60" w:after="60"/>
              <w:jc w:val="center"/>
              <w:rPr>
                <w:noProof/>
              </w:rPr>
            </w:pPr>
            <w:r>
              <w:rPr>
                <w:noProof/>
              </w:rPr>
              <w:t>T1</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68BEA0" w14:textId="77777777" w:rsidR="00FA40E8" w:rsidRDefault="00E74AE8">
            <w:pPr>
              <w:pStyle w:val="P68B1DB1-Normal12"/>
              <w:spacing w:before="60" w:after="60"/>
              <w:jc w:val="center"/>
              <w:rPr>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C9E904" w14:textId="04EBAA8F" w:rsidR="00FA40E8" w:rsidRDefault="00E74AE8">
            <w:pPr>
              <w:pStyle w:val="P68B1DB1-Normal12"/>
              <w:spacing w:before="60" w:after="60"/>
              <w:jc w:val="both"/>
              <w:rPr>
                <w:rFonts w:eastAsia="Times New Roman" w:cs="Times New Roman"/>
                <w:noProof/>
              </w:rPr>
            </w:pPr>
            <w:r>
              <w:rPr>
                <w:noProof/>
              </w:rPr>
              <w:t>Réalisation de tests de séquençage du génome humain.</w:t>
            </w:r>
          </w:p>
        </w:tc>
      </w:tr>
      <w:tr w:rsidR="00FA40E8" w14:paraId="72676862"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7B3D79" w14:textId="48EEED21" w:rsidR="00FA40E8" w:rsidRDefault="00E74AE8">
            <w:pPr>
              <w:pStyle w:val="P68B1DB1-Normal12"/>
              <w:spacing w:before="60" w:after="60"/>
              <w:jc w:val="both"/>
              <w:rPr>
                <w:rFonts w:cs="Times New Roman"/>
                <w:noProof/>
              </w:rPr>
            </w:pPr>
            <w:r>
              <w:rPr>
                <w:noProof/>
              </w:rPr>
              <w:t>10</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F42B61" w14:textId="4CF9CE57" w:rsidR="00FA40E8" w:rsidRDefault="00E74AE8">
            <w:pPr>
              <w:pStyle w:val="P68B1DB1-Normal12"/>
              <w:spacing w:before="60" w:after="60"/>
              <w:rPr>
                <w:rFonts w:cs="Times New Roman"/>
                <w:noProof/>
              </w:rPr>
            </w:pPr>
            <w:r>
              <w:rPr>
                <w:noProof/>
              </w:rPr>
              <w:t xml:space="preserve">A.1.1. Améliorer la qualité et l’accessibilité des services de santé et promouvoir l’innovation </w:t>
            </w:r>
          </w:p>
          <w:p w14:paraId="4F30F3EA" w14:textId="77777777" w:rsidR="00FA40E8" w:rsidRDefault="00E74AE8">
            <w:pPr>
              <w:pStyle w:val="P68B1DB1-Normal12"/>
              <w:spacing w:before="60" w:after="60"/>
              <w:rPr>
                <w:rFonts w:cs="Times New Roman"/>
                <w:noProof/>
              </w:rPr>
            </w:pPr>
            <w:r>
              <w:rPr>
                <w:noProof/>
              </w:rPr>
              <w:t xml:space="preserve">A.1.1.9. Mise en place d’une plateforme de compétences pour les </w:t>
            </w:r>
            <w:r>
              <w:rPr>
                <w:noProof/>
              </w:rPr>
              <w:t>professionnels de la santé</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0A4362" w14:textId="77777777" w:rsidR="00FA40E8" w:rsidRDefault="00E74AE8">
            <w:pPr>
              <w:pStyle w:val="P68B1DB1-Normal12"/>
              <w:spacing w:before="60" w:after="60"/>
              <w:jc w:val="center"/>
              <w:rPr>
                <w:rFonts w:cs="Times New Roman"/>
                <w:noProof/>
              </w:rPr>
            </w:pPr>
            <w:r>
              <w:rPr>
                <w:noProof/>
              </w:rPr>
              <w:t>Étape</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C7C53E" w14:textId="77777777" w:rsidR="00FA40E8" w:rsidRDefault="00E74AE8">
            <w:pPr>
              <w:pStyle w:val="P68B1DB1-Normal12"/>
              <w:spacing w:before="60" w:after="60"/>
              <w:rPr>
                <w:rFonts w:cs="Times New Roman"/>
                <w:noProof/>
              </w:rPr>
            </w:pPr>
            <w:r>
              <w:rPr>
                <w:noProof/>
              </w:rPr>
              <w:t xml:space="preserve">Mise en place d’une plateforme de compétences pour les professionnels de la santé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E6AFAB" w14:textId="77777777" w:rsidR="00FA40E8" w:rsidRDefault="00E74AE8">
            <w:pPr>
              <w:pStyle w:val="P68B1DB1-Normal12"/>
              <w:spacing w:before="60" w:after="60"/>
              <w:rPr>
                <w:rFonts w:cs="Times New Roman"/>
                <w:noProof/>
              </w:rPr>
            </w:pPr>
            <w:r>
              <w:rPr>
                <w:noProof/>
              </w:rPr>
              <w:t>La mise en place d’une plateforme de compétences pour les professionnels de la santé</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EE0C49" w14:textId="4A7E1522" w:rsidR="00FA40E8" w:rsidRDefault="00E74AE8">
            <w:pPr>
              <w:pStyle w:val="P68B1DB1-Normal12"/>
              <w:spacing w:before="60" w:after="60"/>
              <w:jc w:val="center"/>
              <w:rPr>
                <w:rFonts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55A2C34" w14:textId="61FD8A33" w:rsidR="00FA40E8" w:rsidRDefault="00E74AE8">
            <w:pPr>
              <w:pStyle w:val="P68B1DB1-Normal12"/>
              <w:spacing w:before="60" w:after="60"/>
              <w:jc w:val="center"/>
              <w:rPr>
                <w:rFonts w:eastAsia="Times New Roman" w:cs="Times New Roman"/>
                <w:noProof/>
              </w:rPr>
            </w:pPr>
            <w:r>
              <w:rPr>
                <w:noProof/>
              </w:rPr>
              <w:t>SANS OBJET</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5E9F01" w14:textId="6F813293" w:rsidR="00FA40E8" w:rsidRDefault="00E74AE8">
            <w:pPr>
              <w:pStyle w:val="P68B1DB1-Normal12"/>
              <w:spacing w:before="60" w:after="60"/>
              <w:jc w:val="center"/>
              <w:rPr>
                <w:rFonts w:eastAsia="Times New Roman"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06DA94" w14:textId="21F7B859" w:rsidR="00FA40E8" w:rsidRDefault="00E74AE8">
            <w:pPr>
              <w:pStyle w:val="P68B1DB1-Normal12"/>
              <w:spacing w:before="60" w:after="60"/>
              <w:jc w:val="center"/>
              <w:rPr>
                <w:rFonts w:eastAsia="Times New Roman" w:cs="Times New Roman"/>
                <w:strike/>
                <w:noProof/>
              </w:rPr>
            </w:pPr>
            <w:r>
              <w:rPr>
                <w:noProof/>
              </w:rPr>
              <w:t>T4</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FC4B37" w14:textId="5B6A51E9" w:rsidR="00FA40E8" w:rsidRDefault="00E74AE8">
            <w:pPr>
              <w:pStyle w:val="P68B1DB1-Normal12"/>
              <w:spacing w:before="60" w:after="60"/>
              <w:jc w:val="center"/>
              <w:rPr>
                <w:rFonts w:eastAsia="Times New Roman" w:cs="Times New Roman"/>
                <w:noProof/>
              </w:rPr>
            </w:pPr>
            <w:r>
              <w:rPr>
                <w:noProof/>
              </w:rPr>
              <w:t>2024</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AA5DB" w14:textId="29909241" w:rsidR="00FA40E8" w:rsidRDefault="00E74AE8">
            <w:pPr>
              <w:pStyle w:val="P68B1DB1-Normal12"/>
              <w:spacing w:before="60" w:after="60"/>
              <w:jc w:val="both"/>
              <w:rPr>
                <w:rFonts w:eastAsia="Times New Roman" w:cs="Times New Roman"/>
                <w:noProof/>
              </w:rPr>
            </w:pPr>
            <w:r>
              <w:rPr>
                <w:noProof/>
              </w:rPr>
              <w:t xml:space="preserve">La plateforme </w:t>
            </w:r>
            <w:r>
              <w:rPr>
                <w:noProof/>
              </w:rPr>
              <w:t xml:space="preserve">de compétences pour les professionnels de la santé est établie et comprend des modalités d’identification, de suivi, de planification et de gestion des professionnels de la santé tels que les médecins, les infirmiers, la santé publique et le développement </w:t>
            </w:r>
            <w:r>
              <w:rPr>
                <w:noProof/>
              </w:rPr>
              <w:t xml:space="preserve">des compétences des spécialistes pharmaceutiques (reconversion et perfectionnement professionnels). La plateforme conserve des registres des licences des professionnels de la santé et est reliée au registre des licences pour les pratiques professionnelles </w:t>
            </w:r>
            <w:r>
              <w:rPr>
                <w:noProof/>
              </w:rPr>
              <w:t xml:space="preserve">dans le domaine des soins de santé et des produits pharmaceutiques. </w:t>
            </w:r>
          </w:p>
          <w:p w14:paraId="54F26707" w14:textId="126275BF" w:rsidR="00FA40E8" w:rsidRDefault="00E74AE8">
            <w:pPr>
              <w:pStyle w:val="P68B1DB1-Normal12"/>
              <w:spacing w:before="60" w:after="60"/>
              <w:jc w:val="both"/>
              <w:rPr>
                <w:rFonts w:eastAsia="Times New Roman" w:cs="Times New Roman"/>
                <w:noProof/>
              </w:rPr>
            </w:pPr>
            <w:r>
              <w:rPr>
                <w:noProof/>
              </w:rPr>
              <w:t>La plateforme permet le suivi et la planification du développement professionnel des spécialistes, ainsi que le suivi du perfectionnement et de la reconversion professionnels des spéciali</w:t>
            </w:r>
            <w:r>
              <w:rPr>
                <w:noProof/>
              </w:rPr>
              <w:t xml:space="preserve">stes des prestataires nationaux de soins de santé et des soins de santé publique. </w:t>
            </w:r>
          </w:p>
        </w:tc>
      </w:tr>
      <w:tr w:rsidR="00FA40E8" w14:paraId="7414F7D8"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97C954" w14:textId="64BAB199" w:rsidR="00FA40E8" w:rsidRDefault="00E74AE8">
            <w:pPr>
              <w:pStyle w:val="P68B1DB1-Normal12"/>
              <w:spacing w:before="60" w:after="60"/>
              <w:jc w:val="both"/>
              <w:rPr>
                <w:noProof/>
              </w:rPr>
            </w:pPr>
            <w:r>
              <w:rPr>
                <w:noProof/>
              </w:rPr>
              <w:t>11</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D4DDE2" w14:textId="744EB6EF" w:rsidR="00FA40E8" w:rsidRDefault="00E74AE8">
            <w:pPr>
              <w:pStyle w:val="P68B1DB1-Normal12"/>
              <w:spacing w:before="60" w:after="60"/>
              <w:rPr>
                <w:noProof/>
              </w:rPr>
            </w:pPr>
            <w:r>
              <w:rPr>
                <w:noProof/>
              </w:rPr>
              <w:t>A.1.1. Améliorer la qualité et l’accessibilité des services de santé et promouvoir l’innovation</w:t>
            </w:r>
          </w:p>
          <w:p w14:paraId="2F50D136" w14:textId="4A672558" w:rsidR="00FA40E8" w:rsidRDefault="00E74AE8">
            <w:pPr>
              <w:pStyle w:val="P68B1DB1-Normal12"/>
              <w:spacing w:before="60" w:after="60"/>
              <w:rPr>
                <w:noProof/>
              </w:rPr>
            </w:pPr>
            <w:r>
              <w:rPr>
                <w:noProof/>
              </w:rPr>
              <w:t xml:space="preserve">A.1.1.10. Tableau de bord de l’indicateur de qualité des services de </w:t>
            </w:r>
            <w:r>
              <w:rPr>
                <w:noProof/>
              </w:rPr>
              <w:t>santé</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76E19A" w14:textId="5EF4F1E8" w:rsidR="00FA40E8" w:rsidRDefault="00E74AE8">
            <w:pPr>
              <w:pStyle w:val="P68B1DB1-Normal12"/>
              <w:spacing w:before="60" w:after="60"/>
              <w:jc w:val="center"/>
              <w:rPr>
                <w:noProof/>
              </w:rPr>
            </w:pPr>
            <w:r>
              <w:rPr>
                <w:noProof/>
              </w:rPr>
              <w:t>Étape</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9BABE" w14:textId="3576075F" w:rsidR="00FA40E8" w:rsidRDefault="00E74AE8">
            <w:pPr>
              <w:pStyle w:val="P68B1DB1-Normal12"/>
              <w:spacing w:before="60" w:after="60"/>
              <w:rPr>
                <w:noProof/>
              </w:rPr>
            </w:pPr>
            <w:r>
              <w:rPr>
                <w:noProof/>
              </w:rPr>
              <w:t xml:space="preserve">Tableau de bord de l’indicateur de qualité des services de santé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3DF725" w14:textId="577B0921" w:rsidR="00FA40E8" w:rsidRDefault="00E74AE8">
            <w:pPr>
              <w:pStyle w:val="P68B1DB1-Normal12"/>
              <w:spacing w:before="60" w:after="60"/>
              <w:rPr>
                <w:noProof/>
              </w:rPr>
            </w:pPr>
            <w:r>
              <w:rPr>
                <w:noProof/>
              </w:rPr>
              <w:t>Tableau de bord en ligne de l’indicateur de qualité des services de santé</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3F2468" w14:textId="0C9D61A7" w:rsidR="00FA40E8" w:rsidRDefault="00E74AE8">
            <w:pPr>
              <w:pStyle w:val="P68B1DB1-Normal12"/>
              <w:spacing w:before="60" w:after="60"/>
              <w:jc w:val="center"/>
              <w:rPr>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6454B7" w14:textId="0CB7F1E7" w:rsidR="00FA40E8" w:rsidRDefault="00E74AE8">
            <w:pPr>
              <w:pStyle w:val="P68B1DB1-Normal12"/>
              <w:spacing w:before="60" w:after="60"/>
              <w:jc w:val="center"/>
              <w:rPr>
                <w:noProof/>
              </w:rPr>
            </w:pPr>
            <w:r>
              <w:rPr>
                <w:noProof/>
              </w:rPr>
              <w:t>SANS OBJET</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12CD64" w14:textId="07C7E12B" w:rsidR="00FA40E8" w:rsidRDefault="00E74AE8">
            <w:pPr>
              <w:pStyle w:val="P68B1DB1-Normal12"/>
              <w:spacing w:before="60" w:after="60"/>
              <w:jc w:val="center"/>
              <w:rPr>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5E582A" w14:textId="36DF3957" w:rsidR="00FA40E8" w:rsidRDefault="00E74AE8">
            <w:pPr>
              <w:pStyle w:val="P68B1DB1-Normal12"/>
              <w:spacing w:before="60" w:after="60"/>
              <w:jc w:val="center"/>
              <w:rPr>
                <w:noProof/>
              </w:rPr>
            </w:pPr>
            <w:r>
              <w:rPr>
                <w:noProof/>
              </w:rPr>
              <w:t>T2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68E6C5" w14:textId="2F0FA76E" w:rsidR="00FA40E8" w:rsidRDefault="00E74AE8">
            <w:pPr>
              <w:pStyle w:val="P68B1DB1-Normal12"/>
              <w:spacing w:before="60" w:after="60"/>
              <w:jc w:val="center"/>
              <w:rPr>
                <w:rFonts w:eastAsia="Times New Roman" w:cs="Times New Roman"/>
                <w:noProof/>
              </w:rPr>
            </w:pPr>
            <w:r>
              <w:rPr>
                <w:noProof/>
              </w:rPr>
              <w:t>2025</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6A1785" w14:textId="18535926" w:rsidR="00FA40E8" w:rsidRDefault="00E74AE8">
            <w:pPr>
              <w:pStyle w:val="P68B1DB1-Normal12"/>
              <w:spacing w:before="60" w:after="60"/>
              <w:jc w:val="both"/>
              <w:rPr>
                <w:noProof/>
              </w:rPr>
            </w:pPr>
            <w:r>
              <w:rPr>
                <w:noProof/>
              </w:rPr>
              <w:t xml:space="preserve">Le tableau de bord des indicateurs de qualité des services de </w:t>
            </w:r>
            <w:r>
              <w:rPr>
                <w:noProof/>
              </w:rPr>
              <w:t>santé est accessible au public.</w:t>
            </w:r>
          </w:p>
        </w:tc>
      </w:tr>
      <w:tr w:rsidR="00FA40E8" w14:paraId="5323DABC"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09F164" w14:textId="612DB74B" w:rsidR="00FA40E8" w:rsidRDefault="00E74AE8">
            <w:pPr>
              <w:pStyle w:val="P68B1DB1-Normal12"/>
              <w:spacing w:before="60" w:after="60"/>
              <w:jc w:val="both"/>
              <w:rPr>
                <w:rFonts w:cs="Times New Roman"/>
                <w:noProof/>
              </w:rPr>
            </w:pPr>
            <w:r>
              <w:rPr>
                <w:noProof/>
              </w:rPr>
              <w:t>13a</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F8841A" w14:textId="5F1C57B8" w:rsidR="00FA40E8" w:rsidRDefault="00E74AE8">
            <w:pPr>
              <w:pStyle w:val="P68B1DB1-Normal12"/>
              <w:spacing w:before="60" w:after="60"/>
              <w:rPr>
                <w:noProof/>
              </w:rPr>
            </w:pPr>
            <w:r>
              <w:rPr>
                <w:noProof/>
              </w:rPr>
              <w:t xml:space="preserve">A.1.1. Améliorer la qualité et l’accessibilité des services de santé et promouvoir l’innovation </w:t>
            </w:r>
          </w:p>
          <w:p w14:paraId="68E1EE30" w14:textId="1D338B2B" w:rsidR="00FA40E8" w:rsidRDefault="00E74AE8">
            <w:pPr>
              <w:pStyle w:val="P68B1DB1-Normal12"/>
              <w:spacing w:before="60" w:after="60"/>
              <w:rPr>
                <w:noProof/>
              </w:rPr>
            </w:pPr>
            <w:r>
              <w:rPr>
                <w:noProof/>
              </w:rPr>
              <w:t>A.1.1.11. Numérisation du secteur des soins de santé</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AA6AC3" w14:textId="28BC36D0" w:rsidR="00FA40E8" w:rsidRDefault="00E74AE8">
            <w:pPr>
              <w:pStyle w:val="P68B1DB1-Normal12"/>
              <w:spacing w:before="60" w:after="60"/>
              <w:jc w:val="center"/>
              <w:rPr>
                <w:rFonts w:cs="Times New Roman"/>
                <w:noProof/>
              </w:rPr>
            </w:pPr>
            <w:r>
              <w:rPr>
                <w:noProof/>
              </w:rPr>
              <w:t>Étape</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0E4CAC" w14:textId="7C012E64" w:rsidR="00FA40E8" w:rsidRDefault="00E74AE8">
            <w:pPr>
              <w:pStyle w:val="P68B1DB1-Normal12"/>
              <w:spacing w:before="60" w:after="60"/>
              <w:rPr>
                <w:rFonts w:cs="Times New Roman"/>
                <w:noProof/>
              </w:rPr>
            </w:pPr>
            <w:r>
              <w:rPr>
                <w:noProof/>
              </w:rPr>
              <w:t xml:space="preserve">Plan d’action et projets pour le développement du système de </w:t>
            </w:r>
            <w:r>
              <w:rPr>
                <w:noProof/>
              </w:rPr>
              <w:t>santé numérique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63A3F1" w14:textId="57B85735" w:rsidR="00FA40E8" w:rsidRDefault="00E74AE8">
            <w:pPr>
              <w:pStyle w:val="P68B1DB1-Normal12"/>
              <w:spacing w:before="60" w:after="60"/>
              <w:rPr>
                <w:rFonts w:cs="Times New Roman"/>
                <w:noProof/>
              </w:rPr>
            </w:pPr>
            <w:r>
              <w:rPr>
                <w:noProof/>
              </w:rPr>
              <w:t xml:space="preserve">Plan d’action approuvé et projets mis en œuvre </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1015F0" w14:textId="00B65C9D" w:rsidR="00FA40E8" w:rsidRDefault="00E74AE8">
            <w:pPr>
              <w:pStyle w:val="P68B1DB1-Normal12"/>
              <w:spacing w:before="60" w:after="60"/>
              <w:jc w:val="center"/>
              <w:rPr>
                <w:rFonts w:eastAsia="Times New Roman"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4FC075" w14:textId="09C9860B" w:rsidR="00FA40E8" w:rsidRDefault="00E74AE8">
            <w:pPr>
              <w:pStyle w:val="P68B1DB1-Normal12"/>
              <w:spacing w:before="60" w:after="60"/>
              <w:jc w:val="center"/>
              <w:rPr>
                <w:rFonts w:eastAsia="Times New Roman" w:cs="Times New Roman"/>
                <w:noProof/>
              </w:rPr>
            </w:pPr>
            <w:r>
              <w:rPr>
                <w:noProof/>
              </w:rPr>
              <w:t>SANS OBJET</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F69E15" w14:textId="366D6D15" w:rsidR="00FA40E8" w:rsidRDefault="00E74AE8">
            <w:pPr>
              <w:pStyle w:val="P68B1DB1-Normal12"/>
              <w:spacing w:before="60" w:after="60"/>
              <w:jc w:val="center"/>
              <w:rPr>
                <w:rFonts w:eastAsia="Times New Roman"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00F1F1" w14:textId="6C79982D" w:rsidR="00FA40E8" w:rsidRDefault="00E74AE8">
            <w:pPr>
              <w:pStyle w:val="P68B1DB1-Normal12"/>
              <w:spacing w:before="60" w:after="60"/>
              <w:jc w:val="center"/>
              <w:rPr>
                <w:rFonts w:eastAsia="Times New Roman" w:cs="Times New Roman"/>
                <w:noProof/>
              </w:rPr>
            </w:pPr>
            <w:r>
              <w:rPr>
                <w:noProof/>
              </w:rPr>
              <w:t>T2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1A3A40" w14:textId="1FE2F445" w:rsidR="00FA40E8" w:rsidRDefault="00E74AE8">
            <w:pPr>
              <w:pStyle w:val="P68B1DB1-Normal12"/>
              <w:spacing w:before="60" w:after="60"/>
              <w:jc w:val="center"/>
              <w:rPr>
                <w:rFonts w:eastAsia="Times New Roman" w:cs="Times New Roman"/>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78730C" w14:textId="42DE2AAA" w:rsidR="00FA40E8" w:rsidRDefault="00E74AE8">
            <w:pPr>
              <w:pStyle w:val="P68B1DB1-Normal10"/>
              <w:spacing w:before="60" w:after="60"/>
              <w:jc w:val="both"/>
              <w:rPr>
                <w:rFonts w:ascii="Times New Roman" w:eastAsia="Times New Roman" w:hAnsi="Times New Roman" w:cs="Times New Roman"/>
                <w:noProof/>
              </w:rPr>
            </w:pPr>
            <w:r>
              <w:rPr>
                <w:rFonts w:ascii="Times New Roman" w:hAnsi="Times New Roman"/>
                <w:noProof/>
              </w:rPr>
              <w:t>Le plan d’action pour le développement du système de santé numérique est approuvé et les projets liés aux domaines suivants sont mis en œuvre: téléméde</w:t>
            </w:r>
            <w:r>
              <w:rPr>
                <w:rFonts w:ascii="Times New Roman" w:hAnsi="Times New Roman"/>
                <w:noProof/>
              </w:rPr>
              <w:t>cine; la surveillance des maladies transmissibles; dossiers de santé en ligne contenant des images médicales; la surveillance et la mise à jour des données pour les marchés pharmaceutiques; le suivi de la qualité des services de santé à la personne; progra</w:t>
            </w:r>
            <w:r>
              <w:rPr>
                <w:rFonts w:ascii="Times New Roman" w:hAnsi="Times New Roman"/>
                <w:noProof/>
              </w:rPr>
              <w:t xml:space="preserve">mmes de prévention; pilotage de l’ </w:t>
            </w:r>
            <w:r>
              <w:rPr>
                <w:rFonts w:ascii="Times New Roman" w:eastAsia="Times New Roman" w:hAnsi="Times New Roman" w:cs="Times New Roman"/>
                <w:noProof/>
                <w:color w:val="000000" w:themeColor="text1"/>
              </w:rPr>
              <w:t>adaptation d’un système d’</w:t>
            </w:r>
            <w:r>
              <w:rPr>
                <w:rFonts w:ascii="Times New Roman" w:hAnsi="Times New Roman"/>
                <w:noProof/>
              </w:rPr>
              <w:t xml:space="preserve"> </w:t>
            </w:r>
            <w:r>
              <w:rPr>
                <w:rFonts w:ascii="Times New Roman" w:eastAsia="Times New Roman" w:hAnsi="Times New Roman" w:cs="Times New Roman"/>
                <w:noProof/>
              </w:rPr>
              <w:t>information pour l’analyse et la surveillance des données des clusters d’infarctus du myocarde; analyse des coûts des services de soins de santé; modules pour le système d’information pour la ge</w:t>
            </w:r>
            <w:r>
              <w:rPr>
                <w:rFonts w:ascii="Times New Roman" w:eastAsia="Times New Roman" w:hAnsi="Times New Roman" w:cs="Times New Roman"/>
                <w:noProof/>
              </w:rPr>
              <w:t>stion des situations d’urgence.</w:t>
            </w:r>
          </w:p>
        </w:tc>
      </w:tr>
      <w:tr w:rsidR="00FA40E8" w14:paraId="61F5E2BC"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B5AE6A" w14:textId="77777777" w:rsidR="00FA40E8" w:rsidRDefault="00E74AE8">
            <w:pPr>
              <w:pStyle w:val="P68B1DB1-Normal12"/>
              <w:spacing w:before="60" w:after="60"/>
              <w:jc w:val="both"/>
              <w:rPr>
                <w:rFonts w:cs="Times New Roman"/>
                <w:noProof/>
              </w:rPr>
            </w:pPr>
            <w:r>
              <w:rPr>
                <w:noProof/>
              </w:rPr>
              <w:t>15</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B8AD9B" w14:textId="29EE21F1" w:rsidR="00FA40E8" w:rsidRDefault="00E74AE8">
            <w:pPr>
              <w:pStyle w:val="P68B1DB1-Normal12"/>
              <w:spacing w:before="60" w:after="60"/>
              <w:rPr>
                <w:rFonts w:eastAsia="Times New Roman" w:cs="Times New Roman"/>
                <w:noProof/>
              </w:rPr>
            </w:pPr>
            <w:r>
              <w:rPr>
                <w:noProof/>
              </w:rPr>
              <w:t xml:space="preserve">A.1.2. Fourniture de services de soins de longue durée </w:t>
            </w:r>
          </w:p>
          <w:p w14:paraId="48E90EDD" w14:textId="77777777" w:rsidR="00FA40E8" w:rsidRDefault="00E74AE8">
            <w:pPr>
              <w:pStyle w:val="P68B1DB1-Normal12"/>
              <w:spacing w:before="60" w:after="60"/>
              <w:rPr>
                <w:rFonts w:eastAsia="Times New Roman" w:cs="Times New Roman"/>
                <w:noProof/>
              </w:rPr>
            </w:pPr>
            <w:r>
              <w:rPr>
                <w:noProof/>
              </w:rPr>
              <w:t>A.1.2.1. Adoption du modèle de soins de longue durée</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EC225B" w14:textId="77777777" w:rsidR="00FA40E8" w:rsidRDefault="00E74AE8">
            <w:pPr>
              <w:pStyle w:val="P68B1DB1-Normal12"/>
              <w:spacing w:before="60" w:after="60"/>
              <w:jc w:val="center"/>
              <w:rPr>
                <w:rFonts w:cs="Times New Roman"/>
                <w:noProof/>
              </w:rPr>
            </w:pPr>
            <w:r>
              <w:rPr>
                <w:noProof/>
              </w:rPr>
              <w:t>Étape</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EED062" w14:textId="77777777" w:rsidR="00FA40E8" w:rsidRDefault="00E74AE8">
            <w:pPr>
              <w:pStyle w:val="P68B1DB1-Normal12"/>
              <w:spacing w:before="60" w:after="60"/>
              <w:rPr>
                <w:rFonts w:cs="Times New Roman"/>
                <w:noProof/>
              </w:rPr>
            </w:pPr>
            <w:r>
              <w:rPr>
                <w:noProof/>
              </w:rPr>
              <w:t xml:space="preserve">Entrée en vigueur de la législation régissant la mise en œuvre du modèle de soins de longue durée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BCF27B" w14:textId="77777777" w:rsidR="00FA40E8" w:rsidRDefault="00E74AE8">
            <w:pPr>
              <w:pStyle w:val="P68B1DB1-Normal12"/>
              <w:spacing w:before="60" w:after="60"/>
              <w:rPr>
                <w:rFonts w:eastAsia="Times New Roman" w:cs="Times New Roman"/>
                <w:noProof/>
              </w:rPr>
            </w:pPr>
            <w:r>
              <w:rPr>
                <w:noProof/>
              </w:rPr>
              <w:t>Entrée</w:t>
            </w:r>
            <w:r>
              <w:rPr>
                <w:noProof/>
              </w:rPr>
              <w:t xml:space="preserve"> en vigueur de la législation</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AF18F9" w14:textId="508FC4FF" w:rsidR="00FA40E8" w:rsidRDefault="00E74AE8">
            <w:pPr>
              <w:pStyle w:val="P68B1DB1-Normal12"/>
              <w:spacing w:before="60" w:after="60"/>
              <w:jc w:val="center"/>
              <w:rPr>
                <w:rFonts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5DDC75" w14:textId="13280EAB" w:rsidR="00FA40E8" w:rsidRDefault="00E74AE8">
            <w:pPr>
              <w:pStyle w:val="P68B1DB1-Normal12"/>
              <w:spacing w:before="60" w:after="60"/>
              <w:jc w:val="center"/>
              <w:rPr>
                <w:rFonts w:cs="Times New Roman"/>
                <w:noProof/>
              </w:rPr>
            </w:pPr>
            <w:r>
              <w:rPr>
                <w:noProof/>
              </w:rPr>
              <w:t>SANS OBJET</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DF195F" w14:textId="02C77238" w:rsidR="00FA40E8" w:rsidRDefault="00E74AE8">
            <w:pPr>
              <w:pStyle w:val="P68B1DB1-Normal12"/>
              <w:spacing w:before="60" w:after="60"/>
              <w:jc w:val="center"/>
              <w:rPr>
                <w:rFonts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DD1313" w14:textId="77777777" w:rsidR="00FA40E8" w:rsidRDefault="00E74AE8">
            <w:pPr>
              <w:pStyle w:val="P68B1DB1-Normal12"/>
              <w:spacing w:before="60" w:after="60"/>
              <w:jc w:val="center"/>
              <w:rPr>
                <w:rFonts w:cs="Times New Roman"/>
                <w:noProof/>
              </w:rPr>
            </w:pPr>
            <w:r>
              <w:rPr>
                <w:noProof/>
              </w:rPr>
              <w:t>T1</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319744" w14:textId="77777777" w:rsidR="00FA40E8" w:rsidRDefault="00E74AE8">
            <w:pPr>
              <w:pStyle w:val="P68B1DB1-Normal12"/>
              <w:spacing w:before="60" w:after="60"/>
              <w:jc w:val="center"/>
              <w:rPr>
                <w:rFonts w:cs="Times New Roman"/>
                <w:noProof/>
              </w:rPr>
            </w:pPr>
            <w:r>
              <w:rPr>
                <w:noProof/>
              </w:rPr>
              <w:t>2024</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8503F7" w14:textId="62624A3D" w:rsidR="00FA40E8" w:rsidRDefault="00E74AE8">
            <w:pPr>
              <w:pStyle w:val="P68B1DB1-Normal12"/>
              <w:spacing w:before="60" w:after="60"/>
              <w:jc w:val="both"/>
              <w:rPr>
                <w:rFonts w:eastAsia="Times New Roman" w:cs="Times New Roman"/>
                <w:noProof/>
              </w:rPr>
            </w:pPr>
            <w:r>
              <w:rPr>
                <w:noProof/>
              </w:rPr>
              <w:t>La législation régissant la mise en œuvre progressive du modèle de soins de longue durée comprend le concept de services de soins de longue durée, les exigences en matière de prestation</w:t>
            </w:r>
            <w:r>
              <w:rPr>
                <w:noProof/>
              </w:rPr>
              <w:t xml:space="preserve"> de services, l’administration des services de soins de longue durée, une attribution claire des fonctions d’administration des services à des institutions spécifiques, définit les exigences de base applicables aux entités concernées pour fournir des servi</w:t>
            </w:r>
            <w:r>
              <w:rPr>
                <w:noProof/>
              </w:rPr>
              <w:t>ces de soins de longue durée et établit des principes et des mécanismes pour le financement des services de soins de longue durée.</w:t>
            </w:r>
          </w:p>
        </w:tc>
      </w:tr>
      <w:tr w:rsidR="00FA40E8" w14:paraId="2F75FC09"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08357E" w14:textId="77777777" w:rsidR="00FA40E8" w:rsidRDefault="00E74AE8">
            <w:pPr>
              <w:pStyle w:val="P68B1DB1-Normal12"/>
              <w:spacing w:before="60" w:after="60"/>
              <w:jc w:val="both"/>
              <w:rPr>
                <w:rFonts w:cs="Times New Roman"/>
                <w:noProof/>
              </w:rPr>
            </w:pPr>
            <w:r>
              <w:rPr>
                <w:noProof/>
              </w:rPr>
              <w:t>16</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708232" w14:textId="4FD91387" w:rsidR="00FA40E8" w:rsidRDefault="00E74AE8">
            <w:pPr>
              <w:pStyle w:val="P68B1DB1-Normal12"/>
              <w:spacing w:before="60" w:after="60"/>
              <w:rPr>
                <w:rFonts w:eastAsia="Times New Roman" w:cs="Times New Roman"/>
                <w:noProof/>
              </w:rPr>
            </w:pPr>
            <w:r>
              <w:rPr>
                <w:noProof/>
              </w:rPr>
              <w:t xml:space="preserve">A.1.2. Fourniture de services de soins de longue durée </w:t>
            </w:r>
          </w:p>
          <w:p w14:paraId="713F7E12" w14:textId="179B9CA7" w:rsidR="00FA40E8" w:rsidRDefault="00E74AE8">
            <w:pPr>
              <w:pStyle w:val="P68B1DB1-Normal12"/>
              <w:spacing w:before="60" w:after="60"/>
              <w:rPr>
                <w:rFonts w:eastAsia="Times New Roman" w:cs="Times New Roman"/>
                <w:noProof/>
              </w:rPr>
            </w:pPr>
            <w:r>
              <w:rPr>
                <w:noProof/>
              </w:rPr>
              <w:t xml:space="preserve">A.1.2.2. Ressources humaines et capacités des infrastructures </w:t>
            </w:r>
            <w:r>
              <w:rPr>
                <w:noProof/>
              </w:rPr>
              <w:t>pour la fourniture de services de soins de longue durée</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D46470" w14:textId="436EF643" w:rsidR="00FA40E8" w:rsidRDefault="00E74AE8">
            <w:pPr>
              <w:pStyle w:val="P68B1DB1-Normal12"/>
              <w:spacing w:before="60" w:after="60"/>
              <w:jc w:val="center"/>
              <w:rPr>
                <w:rFonts w:cs="Times New Roman"/>
                <w:noProof/>
              </w:rPr>
            </w:pPr>
            <w:r>
              <w:rPr>
                <w:noProof/>
              </w:rPr>
              <w:t>Objectif</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1DE5BF" w14:textId="638DEAA7" w:rsidR="00FA40E8" w:rsidRDefault="00E74AE8">
            <w:pPr>
              <w:pStyle w:val="P68B1DB1-Normal15"/>
              <w:spacing w:before="60" w:after="60"/>
              <w:rPr>
                <w:noProof/>
              </w:rPr>
            </w:pPr>
            <w:r>
              <w:rPr>
                <w:noProof/>
              </w:rPr>
              <w:t>Ressources humaines et capacités de l’infrastructure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0387AF" w14:textId="04B418D2" w:rsidR="00FA40E8" w:rsidRDefault="00E74AE8">
            <w:pPr>
              <w:pStyle w:val="P68B1DB1-Normal15"/>
              <w:spacing w:before="60" w:after="60"/>
              <w:rPr>
                <w:noProof/>
              </w:rPr>
            </w:pPr>
            <w:r>
              <w:rPr>
                <w:noProof/>
              </w:rPr>
              <w:t xml:space="preserve"> </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79205D" w14:textId="54D721C2" w:rsidR="00FA40E8" w:rsidRDefault="00E74AE8">
            <w:pPr>
              <w:pStyle w:val="P68B1DB1-Normal12"/>
              <w:spacing w:before="60" w:after="60"/>
              <w:jc w:val="center"/>
              <w:rPr>
                <w:rFonts w:cs="Times New Roman"/>
                <w:noProof/>
              </w:rPr>
            </w:pPr>
            <w:r>
              <w:rPr>
                <w:noProof/>
              </w:rPr>
              <w:t>Nombre</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DB56D2" w14:textId="1B8A3795" w:rsidR="00FA40E8" w:rsidRDefault="00E74AE8">
            <w:pPr>
              <w:pStyle w:val="P68B1DB1-Normal13"/>
              <w:spacing w:before="60" w:after="60"/>
              <w:jc w:val="center"/>
              <w:rPr>
                <w:noProof/>
              </w:rPr>
            </w:pPr>
            <w:r>
              <w:rPr>
                <w:noProof/>
              </w:rPr>
              <w:t>0</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9E7142" w14:textId="1620AF5C" w:rsidR="00FA40E8" w:rsidRDefault="00E74AE8">
            <w:pPr>
              <w:pStyle w:val="P68B1DB1-Normal12"/>
              <w:spacing w:before="60" w:after="60"/>
              <w:jc w:val="center"/>
              <w:rPr>
                <w:noProof/>
              </w:rPr>
            </w:pPr>
            <w:r>
              <w:rPr>
                <w:noProof/>
              </w:rPr>
              <w:t>1 085</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6BC8F1" w14:textId="77777777" w:rsidR="00FA40E8" w:rsidRDefault="00E74AE8">
            <w:pPr>
              <w:pStyle w:val="P68B1DB1-Normal12"/>
              <w:spacing w:before="60" w:after="60"/>
              <w:jc w:val="center"/>
              <w:rPr>
                <w:rFonts w:cs="Times New Roman"/>
                <w:noProof/>
              </w:rPr>
            </w:pPr>
            <w:r>
              <w:rPr>
                <w:noProof/>
              </w:rPr>
              <w:t>T2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08A8D4" w14:textId="77777777" w:rsidR="00FA40E8" w:rsidRDefault="00E74AE8">
            <w:pPr>
              <w:pStyle w:val="P68B1DB1-Normal12"/>
              <w:spacing w:before="60" w:after="60"/>
              <w:jc w:val="center"/>
              <w:rPr>
                <w:rFonts w:cs="Times New Roman"/>
                <w:noProof/>
              </w:rPr>
            </w:pPr>
            <w:r>
              <w:rPr>
                <w:noProof/>
              </w:rPr>
              <w:t>2025</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205BFD" w14:textId="7EF4112B" w:rsidR="00FA40E8" w:rsidRDefault="00E74AE8">
            <w:pPr>
              <w:pStyle w:val="P68B1DB1-Normal12"/>
              <w:spacing w:before="60" w:after="60"/>
              <w:jc w:val="both"/>
              <w:rPr>
                <w:rFonts w:eastAsia="Times New Roman" w:cs="Times New Roman"/>
                <w:noProof/>
              </w:rPr>
            </w:pPr>
            <w:r>
              <w:rPr>
                <w:noProof/>
              </w:rPr>
              <w:t>1 000 professionnels des soins de longue durée formés, 82 équipes mobiles équipées d’équipements et/ou de véhicul</w:t>
            </w:r>
            <w:r>
              <w:rPr>
                <w:noProof/>
              </w:rPr>
              <w:t>es et 3 centres d’accueil de jour rénovés.</w:t>
            </w:r>
          </w:p>
        </w:tc>
      </w:tr>
      <w:tr w:rsidR="00FA40E8" w14:paraId="3E4A2DE7"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52BA50" w14:textId="047A9DF6" w:rsidR="00FA40E8" w:rsidRDefault="00E74AE8">
            <w:pPr>
              <w:pStyle w:val="P68B1DB1-Normal12"/>
              <w:spacing w:before="60" w:after="60"/>
              <w:jc w:val="both"/>
              <w:rPr>
                <w:rFonts w:cs="Times New Roman"/>
                <w:noProof/>
              </w:rPr>
            </w:pPr>
            <w:r>
              <w:rPr>
                <w:noProof/>
              </w:rPr>
              <w:t>17</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2DCCDA" w14:textId="2AC0A3F6" w:rsidR="00FA40E8" w:rsidRDefault="00E74AE8">
            <w:pPr>
              <w:pStyle w:val="P68B1DB1-Normal12"/>
              <w:spacing w:before="60" w:after="60"/>
              <w:rPr>
                <w:rFonts w:eastAsia="Times New Roman" w:cs="Times New Roman"/>
                <w:noProof/>
              </w:rPr>
            </w:pPr>
            <w:r>
              <w:rPr>
                <w:noProof/>
              </w:rPr>
              <w:t xml:space="preserve">A.1.2. Fourniture de services de soins de longue durée </w:t>
            </w:r>
          </w:p>
          <w:p w14:paraId="4A18CA3F" w14:textId="1D76C538" w:rsidR="00FA40E8" w:rsidRDefault="00E74AE8">
            <w:pPr>
              <w:pStyle w:val="P68B1DB1-Normal12"/>
              <w:spacing w:before="60" w:after="60"/>
              <w:rPr>
                <w:rFonts w:eastAsia="Times New Roman" w:cs="Times New Roman"/>
                <w:noProof/>
              </w:rPr>
            </w:pPr>
            <w:r>
              <w:rPr>
                <w:noProof/>
              </w:rPr>
              <w:t>A.1.2.2.Ressources humaines et capacités des infrastructures pour la fourniture de services de soins de longue durée</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13A0E3" w14:textId="3A50D87D" w:rsidR="00FA40E8" w:rsidRDefault="00E74AE8">
            <w:pPr>
              <w:pStyle w:val="P68B1DB1-Normal12"/>
              <w:spacing w:before="60" w:after="60"/>
              <w:jc w:val="center"/>
              <w:rPr>
                <w:rFonts w:cs="Times New Roman"/>
                <w:noProof/>
              </w:rPr>
            </w:pPr>
            <w:r>
              <w:rPr>
                <w:noProof/>
              </w:rPr>
              <w:t>Objectif</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1001AC" w14:textId="7078BF85" w:rsidR="00FA40E8" w:rsidRDefault="00E74AE8">
            <w:pPr>
              <w:pStyle w:val="P68B1DB1-Normal15"/>
              <w:spacing w:before="60" w:after="60"/>
              <w:rPr>
                <w:noProof/>
              </w:rPr>
            </w:pPr>
            <w:r>
              <w:rPr>
                <w:noProof/>
              </w:rPr>
              <w:t xml:space="preserve">Capacités de </w:t>
            </w:r>
            <w:r>
              <w:rPr>
                <w:noProof/>
              </w:rPr>
              <w:t>l’infrastructure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1D2230" w14:textId="737CEC00" w:rsidR="00FA40E8" w:rsidRDefault="00FA40E8">
            <w:pPr>
              <w:spacing w:before="60" w:after="60"/>
              <w:rPr>
                <w:rFonts w:ascii="Times New Roman" w:eastAsia="Calibri" w:hAnsi="Times New Roman" w:cs="Arial"/>
                <w:noProof/>
                <w:sz w:val="20"/>
              </w:rPr>
            </w:pP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56B45" w14:textId="72D0F308" w:rsidR="00FA40E8" w:rsidRDefault="00E74AE8">
            <w:pPr>
              <w:pStyle w:val="P68B1DB1-Normal12"/>
              <w:spacing w:before="60" w:after="60"/>
              <w:jc w:val="center"/>
              <w:rPr>
                <w:rFonts w:cs="Times New Roman"/>
                <w:noProof/>
              </w:rPr>
            </w:pPr>
            <w:r>
              <w:rPr>
                <w:noProof/>
              </w:rPr>
              <w:t>Nombre</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E11C1E" w14:textId="25E25D93" w:rsidR="00FA40E8" w:rsidRDefault="00E74AE8">
            <w:pPr>
              <w:pStyle w:val="P68B1DB1-Normal12"/>
              <w:spacing w:before="60" w:after="60"/>
              <w:jc w:val="center"/>
              <w:rPr>
                <w:noProof/>
              </w:rPr>
            </w:pPr>
            <w:r>
              <w:rPr>
                <w:noProof/>
              </w:rPr>
              <w:t>85</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0093DF" w14:textId="1E11F731" w:rsidR="00FA40E8" w:rsidRDefault="00E74AE8">
            <w:pPr>
              <w:pStyle w:val="P68B1DB1-Normal12"/>
              <w:spacing w:before="60" w:after="60"/>
              <w:jc w:val="center"/>
              <w:rPr>
                <w:rFonts w:cs="Times New Roman"/>
                <w:noProof/>
              </w:rPr>
            </w:pPr>
            <w:r>
              <w:rPr>
                <w:noProof/>
              </w:rPr>
              <w:t>100</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35BE35" w14:textId="77777777" w:rsidR="00FA40E8" w:rsidRDefault="00E74AE8">
            <w:pPr>
              <w:pStyle w:val="P68B1DB1-Normal12"/>
              <w:spacing w:before="60" w:after="60"/>
              <w:jc w:val="center"/>
              <w:rPr>
                <w:rFonts w:cs="Times New Roman"/>
                <w:noProof/>
              </w:rPr>
            </w:pPr>
            <w:r>
              <w:rPr>
                <w:noProof/>
              </w:rPr>
              <w:t>T1</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CEDC30" w14:textId="77777777" w:rsidR="00FA40E8" w:rsidRDefault="00E74AE8">
            <w:pPr>
              <w:pStyle w:val="P68B1DB1-Normal12"/>
              <w:spacing w:before="60" w:after="60"/>
              <w:jc w:val="center"/>
              <w:rPr>
                <w:rFonts w:cs="Times New Roman"/>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86F15" w14:textId="6017A1E2" w:rsidR="00FA40E8" w:rsidRDefault="00E74AE8">
            <w:pPr>
              <w:pStyle w:val="P68B1DB1-Normal12"/>
              <w:spacing w:before="60" w:after="60"/>
              <w:jc w:val="both"/>
              <w:rPr>
                <w:rFonts w:ascii="Segoe UI" w:eastAsia="Segoe UI" w:hAnsi="Segoe UI" w:cs="Segoe UI"/>
                <w:noProof/>
                <w:sz w:val="18"/>
                <w:szCs w:val="18"/>
              </w:rPr>
            </w:pPr>
            <w:r>
              <w:rPr>
                <w:noProof/>
              </w:rPr>
              <w:t>90 équipes mobiles équipées d’équipements et/ou de véhicules (y compris ceux de l’étape 16) et 10 centres d’accueil de jour rénovés (y compris ceux de l’étape 16).</w:t>
            </w:r>
          </w:p>
        </w:tc>
      </w:tr>
      <w:tr w:rsidR="00FA40E8" w14:paraId="16BFE239"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CFD661" w14:textId="77777777" w:rsidR="00FA40E8" w:rsidRDefault="00E74AE8">
            <w:pPr>
              <w:pStyle w:val="P68B1DB1-Normal12"/>
              <w:spacing w:before="60" w:after="60"/>
              <w:jc w:val="both"/>
              <w:rPr>
                <w:rFonts w:cs="Times New Roman"/>
                <w:noProof/>
              </w:rPr>
            </w:pPr>
            <w:r>
              <w:rPr>
                <w:noProof/>
              </w:rPr>
              <w:t>18</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93EA4D" w14:textId="220EF155" w:rsidR="00FA40E8" w:rsidRDefault="00E74AE8">
            <w:pPr>
              <w:pStyle w:val="P68B1DB1-Normal12"/>
              <w:spacing w:before="60" w:after="60"/>
              <w:rPr>
                <w:rFonts w:eastAsia="Times New Roman" w:cs="Times New Roman"/>
                <w:noProof/>
              </w:rPr>
            </w:pPr>
            <w:r>
              <w:rPr>
                <w:noProof/>
              </w:rPr>
              <w:t>A.1.3. Résilience des systèmes de santé face aux</w:t>
            </w:r>
            <w:r>
              <w:rPr>
                <w:noProof/>
              </w:rPr>
              <w:t xml:space="preserve"> situations d’urgence</w:t>
            </w:r>
          </w:p>
          <w:p w14:paraId="6D7DB4FE" w14:textId="77777777" w:rsidR="00FA40E8" w:rsidRDefault="00E74AE8">
            <w:pPr>
              <w:pStyle w:val="P68B1DB1-Normal12"/>
              <w:spacing w:before="60" w:after="60"/>
              <w:rPr>
                <w:rFonts w:eastAsia="Times New Roman" w:cs="Times New Roman"/>
                <w:noProof/>
              </w:rPr>
            </w:pPr>
            <w:r>
              <w:rPr>
                <w:noProof/>
              </w:rPr>
              <w:t>A.1.3.1. Plan d’action visant à améliorer la coopération entre les établissements de soins de santé et à moderniser les infrastructures dans les situations d’urgence</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955E9A" w14:textId="77777777" w:rsidR="00FA40E8" w:rsidRDefault="00E74AE8">
            <w:pPr>
              <w:pStyle w:val="P68B1DB1-Normal12"/>
              <w:spacing w:before="60" w:after="60"/>
              <w:jc w:val="center"/>
              <w:rPr>
                <w:rFonts w:cs="Times New Roman"/>
                <w:noProof/>
              </w:rPr>
            </w:pPr>
            <w:r>
              <w:rPr>
                <w:noProof/>
              </w:rPr>
              <w:t>Étape</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5AE3D5" w14:textId="77777777" w:rsidR="00FA40E8" w:rsidRDefault="00E74AE8">
            <w:pPr>
              <w:pStyle w:val="P68B1DB1-Normal12"/>
              <w:spacing w:before="60" w:after="60"/>
              <w:rPr>
                <w:rFonts w:cs="Times New Roman"/>
                <w:noProof/>
              </w:rPr>
            </w:pPr>
            <w:r>
              <w:rPr>
                <w:noProof/>
              </w:rPr>
              <w:t>Entrée en vigueur d’un plan d’action visant à améliorer la coo</w:t>
            </w:r>
            <w:r>
              <w:rPr>
                <w:noProof/>
              </w:rPr>
              <w:t xml:space="preserve">pération entre les établissements de soins de santé et à moderniser les infrastructures pour les situations d’urgence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E0C0AB" w14:textId="150DD570" w:rsidR="00FA40E8" w:rsidRDefault="00E74AE8">
            <w:pPr>
              <w:pStyle w:val="P68B1DB1-Normal12"/>
              <w:spacing w:before="60" w:after="60"/>
              <w:rPr>
                <w:rFonts w:cs="Times New Roman"/>
                <w:noProof/>
              </w:rPr>
            </w:pPr>
            <w:r>
              <w:rPr>
                <w:noProof/>
              </w:rPr>
              <w:t xml:space="preserve">Adoption du plan d’action sur la coopération entre les établissements de soins de santé et la modernisation des infrastructures pour les </w:t>
            </w:r>
            <w:r>
              <w:rPr>
                <w:noProof/>
              </w:rPr>
              <w:t>situations d’urgence par le ministère de la santé</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C24D5" w14:textId="735853C8" w:rsidR="00FA40E8" w:rsidRDefault="00E74AE8">
            <w:pPr>
              <w:pStyle w:val="P68B1DB1-Normal12"/>
              <w:spacing w:before="60" w:after="60"/>
              <w:jc w:val="center"/>
              <w:rPr>
                <w:rFonts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2DC883" w14:textId="38757562" w:rsidR="00FA40E8" w:rsidRDefault="00E74AE8">
            <w:pPr>
              <w:pStyle w:val="P68B1DB1-Normal12"/>
              <w:spacing w:before="60" w:after="60"/>
              <w:jc w:val="center"/>
              <w:rPr>
                <w:rFonts w:cs="Times New Roman"/>
                <w:noProof/>
              </w:rPr>
            </w:pPr>
            <w:r>
              <w:rPr>
                <w:noProof/>
              </w:rPr>
              <w:t>SANS OBJET</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207DB" w14:textId="0D24FC6F" w:rsidR="00FA40E8" w:rsidRDefault="00E74AE8">
            <w:pPr>
              <w:pStyle w:val="P68B1DB1-Normal12"/>
              <w:spacing w:before="60" w:after="60"/>
              <w:jc w:val="center"/>
              <w:rPr>
                <w:rFonts w:cs="Times New Roman"/>
                <w:noProof/>
              </w:rPr>
            </w:pPr>
            <w:r>
              <w:rPr>
                <w:noProof/>
              </w:rPr>
              <w:t>SANS OBJET</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A43439" w14:textId="77777777" w:rsidR="00FA40E8" w:rsidRDefault="00E74AE8">
            <w:pPr>
              <w:pStyle w:val="P68B1DB1-Normal12"/>
              <w:spacing w:before="60" w:after="60"/>
              <w:jc w:val="center"/>
              <w:rPr>
                <w:rFonts w:cs="Times New Roman"/>
                <w:noProof/>
              </w:rPr>
            </w:pPr>
            <w:r>
              <w:rPr>
                <w:noProof/>
              </w:rPr>
              <w:t>T1</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74737A" w14:textId="77777777" w:rsidR="00FA40E8" w:rsidRDefault="00E74AE8">
            <w:pPr>
              <w:pStyle w:val="P68B1DB1-Normal12"/>
              <w:spacing w:before="60" w:after="60"/>
              <w:jc w:val="center"/>
              <w:rPr>
                <w:rFonts w:cs="Times New Roman"/>
                <w:noProof/>
              </w:rPr>
            </w:pPr>
            <w:r>
              <w:rPr>
                <w:noProof/>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7F0A6E" w14:textId="77777777" w:rsidR="00FA40E8" w:rsidRDefault="00E74AE8">
            <w:pPr>
              <w:pStyle w:val="P68B1DB1-Normal12"/>
              <w:spacing w:before="60" w:after="60"/>
              <w:jc w:val="both"/>
              <w:rPr>
                <w:rFonts w:cs="Times New Roman"/>
                <w:noProof/>
              </w:rPr>
            </w:pPr>
            <w:r>
              <w:rPr>
                <w:noProof/>
              </w:rPr>
              <w:t xml:space="preserve">Le plan d’action visant à améliorer la coopération entre les établissements de soins de santé et à adapter les infrastructures aux situations d’urgence comprend des </w:t>
            </w:r>
            <w:r>
              <w:rPr>
                <w:noProof/>
              </w:rPr>
              <w:t>exigences en matière de préparation aux situations d’urgence pour les établissements de soins de santé et garantit un déploiement efficace des ressources humaines.</w:t>
            </w:r>
          </w:p>
        </w:tc>
      </w:tr>
      <w:tr w:rsidR="00FA40E8" w14:paraId="6C427452"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566A64" w14:textId="46AAEE40" w:rsidR="00FA40E8" w:rsidRDefault="00E74AE8">
            <w:pPr>
              <w:pStyle w:val="P68B1DB1-Normal12"/>
              <w:spacing w:before="60" w:after="60"/>
              <w:jc w:val="both"/>
              <w:rPr>
                <w:rFonts w:cs="Times New Roman"/>
                <w:noProof/>
              </w:rPr>
            </w:pPr>
            <w:r>
              <w:rPr>
                <w:noProof/>
              </w:rPr>
              <w:t>19</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3C5552" w14:textId="7F866129" w:rsidR="00FA40E8" w:rsidRDefault="00E74AE8">
            <w:pPr>
              <w:pStyle w:val="P68B1DB1-Normal10"/>
              <w:spacing w:before="60" w:after="60"/>
              <w:rPr>
                <w:rFonts w:ascii="Times New Roman" w:eastAsia="Times New Roman" w:hAnsi="Times New Roman" w:cs="Times New Roman"/>
                <w:noProof/>
              </w:rPr>
            </w:pPr>
            <w:r>
              <w:rPr>
                <w:rFonts w:ascii="Times New Roman" w:hAnsi="Times New Roman" w:cs="Times New Roman"/>
                <w:noProof/>
              </w:rPr>
              <w:t xml:space="preserve">A.1.3. </w:t>
            </w:r>
            <w:r>
              <w:rPr>
                <w:rFonts w:ascii="Times New Roman" w:eastAsia="Segoe UI" w:hAnsi="Times New Roman" w:cs="Times New Roman"/>
                <w:noProof/>
                <w:color w:val="333333"/>
              </w:rPr>
              <w:t>Résilience des systèmes de santé face aux situations d’urgence</w:t>
            </w:r>
          </w:p>
          <w:p w14:paraId="12EECDCB" w14:textId="3CD77A93" w:rsidR="00FA40E8" w:rsidRDefault="00E74AE8">
            <w:pPr>
              <w:pStyle w:val="P68B1DB1-Normal12"/>
              <w:spacing w:before="60" w:after="60"/>
              <w:rPr>
                <w:rFonts w:eastAsia="Times New Roman" w:cs="Times New Roman"/>
                <w:noProof/>
              </w:rPr>
            </w:pPr>
            <w:r>
              <w:rPr>
                <w:noProof/>
              </w:rPr>
              <w:t>A.1.3.2. Modernisation des pôles de maladies infectieuses</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59A4BB" w14:textId="77777777" w:rsidR="00FA40E8" w:rsidRDefault="00E74AE8">
            <w:pPr>
              <w:pStyle w:val="P68B1DB1-Normal12"/>
              <w:spacing w:before="60" w:after="60"/>
              <w:jc w:val="center"/>
              <w:rPr>
                <w:rFonts w:cs="Times New Roman"/>
                <w:noProof/>
              </w:rPr>
            </w:pPr>
            <w:r>
              <w:rPr>
                <w:noProof/>
              </w:rPr>
              <w:t>Objectif</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119EC9" w14:textId="72956DFC" w:rsidR="00FA40E8" w:rsidRDefault="00E74AE8">
            <w:pPr>
              <w:pStyle w:val="P68B1DB1-Normal12"/>
              <w:spacing w:before="60" w:after="60"/>
              <w:rPr>
                <w:rFonts w:cs="Times New Roman"/>
                <w:noProof/>
              </w:rPr>
            </w:pPr>
            <w:r>
              <w:rPr>
                <w:noProof/>
              </w:rPr>
              <w:t>Nombre de centres de foyers de maladies infectieuses modernisés</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053A72" w14:textId="77777777" w:rsidR="00FA40E8" w:rsidRDefault="00E74AE8">
            <w:pPr>
              <w:pStyle w:val="P68B1DB1-Normal12"/>
              <w:spacing w:before="60" w:after="60"/>
              <w:rPr>
                <w:rFonts w:cs="Times New Roman"/>
                <w:noProof/>
              </w:rPr>
            </w:pPr>
            <w:r>
              <w:rPr>
                <w:noProof/>
              </w:rPr>
              <w:t xml:space="preserve"> </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9FEE73" w14:textId="77777777" w:rsidR="00FA40E8" w:rsidRDefault="00E74AE8">
            <w:pPr>
              <w:pStyle w:val="P68B1DB1-Normal12"/>
              <w:spacing w:before="60" w:after="60"/>
              <w:jc w:val="center"/>
              <w:rPr>
                <w:rFonts w:cs="Times New Roman"/>
                <w:noProof/>
              </w:rPr>
            </w:pPr>
            <w:r>
              <w:rPr>
                <w:noProof/>
              </w:rPr>
              <w:t>Nombre</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8B7A63" w14:textId="77777777" w:rsidR="00FA40E8" w:rsidRDefault="00E74AE8">
            <w:pPr>
              <w:pStyle w:val="P68B1DB1-Normal12"/>
              <w:spacing w:before="60" w:after="60"/>
              <w:jc w:val="center"/>
              <w:rPr>
                <w:rFonts w:cs="Times New Roman"/>
                <w:noProof/>
              </w:rPr>
            </w:pPr>
            <w:r>
              <w:rPr>
                <w:noProof/>
              </w:rPr>
              <w:t>0</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E2DBD2" w14:textId="614A6504" w:rsidR="00FA40E8" w:rsidRDefault="00E74AE8">
            <w:pPr>
              <w:pStyle w:val="P68B1DB1-Normal12"/>
              <w:spacing w:before="60" w:after="60"/>
              <w:jc w:val="center"/>
              <w:rPr>
                <w:rFonts w:cs="Times New Roman"/>
                <w:noProof/>
              </w:rPr>
            </w:pPr>
            <w:r>
              <w:rPr>
                <w:noProof/>
              </w:rPr>
              <w:t>4</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17AF13" w14:textId="2BD474BC" w:rsidR="00FA40E8" w:rsidRDefault="00E74AE8">
            <w:pPr>
              <w:pStyle w:val="P68B1DB1-Normal12"/>
              <w:spacing w:before="60" w:after="60"/>
              <w:jc w:val="center"/>
              <w:rPr>
                <w:noProof/>
              </w:rPr>
            </w:pPr>
            <w:r>
              <w:rPr>
                <w:noProof/>
              </w:rPr>
              <w:t>T2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A4628C" w14:textId="2188E13A" w:rsidR="00FA40E8" w:rsidRDefault="00E74AE8">
            <w:pPr>
              <w:pStyle w:val="P68B1DB1-Normal12"/>
              <w:spacing w:before="60" w:after="60"/>
              <w:jc w:val="center"/>
              <w:rPr>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9020AE" w14:textId="06A3D606" w:rsidR="00FA40E8" w:rsidRDefault="00E74AE8">
            <w:pPr>
              <w:pStyle w:val="P68B1DB1-Normal12"/>
              <w:spacing w:before="60" w:after="60"/>
              <w:jc w:val="both"/>
              <w:rPr>
                <w:noProof/>
              </w:rPr>
            </w:pPr>
            <w:r>
              <w:rPr>
                <w:noProof/>
              </w:rPr>
              <w:t>Quatre centres de foyers de maladies infectieuses ont été modernisés et des équipements ont été fournis.</w:t>
            </w:r>
          </w:p>
        </w:tc>
      </w:tr>
      <w:tr w:rsidR="00FA40E8" w14:paraId="51AB1158" w14:textId="7777777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756812" w14:textId="4304BBA8" w:rsidR="00FA40E8" w:rsidRDefault="00E74AE8">
            <w:pPr>
              <w:pStyle w:val="P68B1DB1-Normal12"/>
              <w:spacing w:before="60" w:after="60"/>
              <w:jc w:val="both"/>
              <w:rPr>
                <w:rFonts w:cs="Times New Roman"/>
                <w:noProof/>
              </w:rPr>
            </w:pPr>
            <w:r>
              <w:rPr>
                <w:noProof/>
              </w:rPr>
              <w:t>20</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266529" w14:textId="51E18554" w:rsidR="00FA40E8" w:rsidRDefault="00E74AE8">
            <w:pPr>
              <w:pStyle w:val="P68B1DB1-Normal10"/>
              <w:spacing w:before="60" w:after="60"/>
              <w:rPr>
                <w:rFonts w:ascii="Times New Roman" w:eastAsia="Times New Roman" w:hAnsi="Times New Roman" w:cs="Times New Roman"/>
                <w:noProof/>
              </w:rPr>
            </w:pPr>
            <w:r>
              <w:rPr>
                <w:rFonts w:ascii="Times New Roman" w:hAnsi="Times New Roman" w:cs="Times New Roman"/>
                <w:noProof/>
              </w:rPr>
              <w:t xml:space="preserve">A.1.3. </w:t>
            </w:r>
            <w:r>
              <w:rPr>
                <w:rFonts w:ascii="Times New Roman" w:eastAsia="Segoe UI" w:hAnsi="Times New Roman" w:cs="Times New Roman"/>
                <w:noProof/>
                <w:color w:val="333333"/>
              </w:rPr>
              <w:t>Résilience des systèmes de santé face aux situations d’urgence</w:t>
            </w:r>
          </w:p>
          <w:p w14:paraId="0F03C1F2" w14:textId="234D4C17" w:rsidR="00FA40E8" w:rsidRDefault="00E74AE8">
            <w:pPr>
              <w:pStyle w:val="P68B1DB1-Normal12"/>
              <w:spacing w:before="60" w:after="60"/>
              <w:rPr>
                <w:rFonts w:eastAsia="Times New Roman" w:cs="Times New Roman"/>
                <w:noProof/>
              </w:rPr>
            </w:pPr>
            <w:r>
              <w:rPr>
                <w:noProof/>
              </w:rPr>
              <w:t>A.1.3.3. Modernisation des services d’urgence et des unités de réanimation dans les hôpitaux régionaux</w:t>
            </w:r>
          </w:p>
        </w:tc>
        <w:tc>
          <w:tcPr>
            <w:tcW w:w="112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34118B" w14:textId="77777777" w:rsidR="00FA40E8" w:rsidRDefault="00E74AE8">
            <w:pPr>
              <w:pStyle w:val="P68B1DB1-Normal12"/>
              <w:spacing w:before="60" w:after="60"/>
              <w:jc w:val="center"/>
              <w:rPr>
                <w:rFonts w:cs="Times New Roman"/>
                <w:noProof/>
              </w:rPr>
            </w:pPr>
            <w:r>
              <w:rPr>
                <w:noProof/>
              </w:rPr>
              <w:t>Objectif</w:t>
            </w:r>
          </w:p>
        </w:tc>
        <w:tc>
          <w:tcPr>
            <w:tcW w:w="17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91D6EA" w14:textId="0936DD8E" w:rsidR="00FA40E8" w:rsidRDefault="00E74AE8">
            <w:pPr>
              <w:pStyle w:val="P68B1DB1-Normal12"/>
              <w:spacing w:before="60" w:after="60"/>
              <w:rPr>
                <w:rFonts w:cs="Times New Roman"/>
                <w:noProof/>
              </w:rPr>
            </w:pPr>
            <w:r>
              <w:rPr>
                <w:noProof/>
              </w:rPr>
              <w:t xml:space="preserve">Nombre d’hôpitaux disposant d’unités d’urgence, de réanimation ou de </w:t>
            </w:r>
            <w:r>
              <w:rPr>
                <w:noProof/>
              </w:rPr>
              <w:t>soins intensifs modernisées.</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EAB8B" w14:textId="77777777" w:rsidR="00FA40E8" w:rsidRDefault="00E74AE8">
            <w:pPr>
              <w:pStyle w:val="P68B1DB1-Normal12"/>
              <w:spacing w:before="60" w:after="60"/>
              <w:rPr>
                <w:rFonts w:cs="Times New Roman"/>
                <w:noProof/>
              </w:rPr>
            </w:pPr>
            <w:r>
              <w:rPr>
                <w:noProof/>
              </w:rPr>
              <w:t xml:space="preserve"> </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37D9DA" w14:textId="77777777" w:rsidR="00FA40E8" w:rsidRDefault="00E74AE8">
            <w:pPr>
              <w:pStyle w:val="P68B1DB1-Normal12"/>
              <w:spacing w:before="60" w:after="60"/>
              <w:jc w:val="center"/>
              <w:rPr>
                <w:rFonts w:cs="Times New Roman"/>
                <w:noProof/>
              </w:rPr>
            </w:pPr>
            <w:r>
              <w:rPr>
                <w:noProof/>
              </w:rPr>
              <w:t>Nombre</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AD3851" w14:textId="77777777" w:rsidR="00FA40E8" w:rsidRDefault="00E74AE8">
            <w:pPr>
              <w:pStyle w:val="P68B1DB1-Normal12"/>
              <w:spacing w:before="60" w:after="60"/>
              <w:jc w:val="center"/>
              <w:rPr>
                <w:rFonts w:cs="Times New Roman"/>
                <w:noProof/>
              </w:rPr>
            </w:pPr>
            <w:r>
              <w:rPr>
                <w:noProof/>
              </w:rPr>
              <w:t>0</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565724" w14:textId="77777777" w:rsidR="00FA40E8" w:rsidRDefault="00E74AE8">
            <w:pPr>
              <w:pStyle w:val="P68B1DB1-Normal12"/>
              <w:spacing w:before="60" w:after="60"/>
              <w:jc w:val="center"/>
              <w:rPr>
                <w:rFonts w:cs="Times New Roman"/>
                <w:noProof/>
              </w:rPr>
            </w:pPr>
            <w:r>
              <w:rPr>
                <w:noProof/>
              </w:rPr>
              <w:t>7</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59C024" w14:textId="0888A276" w:rsidR="00FA40E8" w:rsidRDefault="00E74AE8">
            <w:pPr>
              <w:pStyle w:val="P68B1DB1-Normal12"/>
              <w:spacing w:before="60" w:after="60"/>
              <w:jc w:val="center"/>
              <w:rPr>
                <w:noProof/>
              </w:rPr>
            </w:pPr>
            <w:r>
              <w:rPr>
                <w:noProof/>
              </w:rPr>
              <w:t>T2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2D0A87" w14:textId="7CCD2B08" w:rsidR="00FA40E8" w:rsidRDefault="00E74AE8">
            <w:pPr>
              <w:pStyle w:val="P68B1DB1-Normal12"/>
              <w:spacing w:before="60" w:after="60"/>
              <w:jc w:val="center"/>
              <w:rPr>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590F40" w14:textId="13566E0B" w:rsidR="00FA40E8" w:rsidRDefault="00E74AE8">
            <w:pPr>
              <w:pStyle w:val="P68B1DB1-Normal12"/>
              <w:spacing w:before="60" w:after="60"/>
              <w:jc w:val="both"/>
              <w:rPr>
                <w:noProof/>
              </w:rPr>
            </w:pPr>
            <w:r>
              <w:rPr>
                <w:noProof/>
              </w:rPr>
              <w:t>Construction et/ou rénovation d’unités de soins d’urgence, de réanimation ou de soins intensifs dans sept hôpitaux et livraison d’équipements.</w:t>
            </w:r>
          </w:p>
        </w:tc>
      </w:tr>
    </w:tbl>
    <w:p w14:paraId="1A870DF7" w14:textId="77777777" w:rsidR="00FA40E8" w:rsidRDefault="00FA40E8">
      <w:pPr>
        <w:jc w:val="both"/>
        <w:rPr>
          <w:rFonts w:ascii="Times New Roman" w:hAnsi="Times New Roman" w:cs="Times New Roman"/>
          <w:noProof/>
        </w:rPr>
        <w:sectPr w:rsidR="00FA40E8" w:rsidSect="0074650A">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39FE4C69" w14:textId="77777777" w:rsidR="00FA40E8" w:rsidRDefault="00E74AE8">
      <w:pPr>
        <w:pStyle w:val="ManualHeading1"/>
        <w:tabs>
          <w:tab w:val="clear" w:pos="850"/>
        </w:tabs>
        <w:spacing w:before="0" w:after="200"/>
        <w:ind w:left="0" w:firstLine="0"/>
        <w:rPr>
          <w:noProof/>
        </w:rPr>
      </w:pPr>
      <w:r>
        <w:rPr>
          <w:noProof/>
        </w:rPr>
        <w:t>B. COMPOSANTE 2: Transformation écologique de la Lituanie</w:t>
      </w:r>
    </w:p>
    <w:p w14:paraId="6BC639A0" w14:textId="77777777" w:rsidR="00FA40E8" w:rsidRDefault="00E74AE8">
      <w:pPr>
        <w:pStyle w:val="P68B1DB1-Normal4"/>
        <w:spacing w:before="120" w:after="120"/>
        <w:jc w:val="both"/>
        <w:rPr>
          <w:rFonts w:eastAsia="Calibri" w:cs="Times New Roman"/>
          <w:noProof/>
        </w:rPr>
      </w:pPr>
      <w:r>
        <w:rPr>
          <w:noProof/>
        </w:rPr>
        <w:t>Le volet du plan lituanien pour la reprise et la résilience contribue à relever les défis liés à la transition écologique, et en particulier à la nécessité de réduire les émissions de gaz à effet de</w:t>
      </w:r>
      <w:r>
        <w:rPr>
          <w:noProof/>
        </w:rPr>
        <w:t xml:space="preserve"> serre, y compris celles provenant du secteur des transports, d’accroître l’efficacité énergétique dans les bâtiments et les transports, de renforcer l’utilisation efficace des ressources et de contribuer à l’absorption des gaz à effet de serre au moyen de</w:t>
      </w:r>
      <w:r>
        <w:rPr>
          <w:noProof/>
        </w:rPr>
        <w:t xml:space="preserve"> solutions fondées sur la nature. </w:t>
      </w:r>
    </w:p>
    <w:p w14:paraId="2E9D9507" w14:textId="65A6639D" w:rsidR="00FA40E8" w:rsidRDefault="00E74AE8">
      <w:pPr>
        <w:pStyle w:val="P68B1DB1-Normal4"/>
        <w:spacing w:before="120" w:after="120"/>
        <w:jc w:val="both"/>
        <w:rPr>
          <w:rFonts w:eastAsia="Calibri" w:cs="Times New Roman"/>
          <w:noProof/>
          <w:szCs w:val="24"/>
        </w:rPr>
      </w:pPr>
      <w:r>
        <w:rPr>
          <w:noProof/>
        </w:rPr>
        <w:t>Ce volet prévoit les travaux préparatoires pour le développement de la centrale éolienne en mer et des infrastructures connexes, le soutien à la construction d’installations de stockage individuelles et à la création de c</w:t>
      </w:r>
      <w:r>
        <w:rPr>
          <w:noProof/>
        </w:rPr>
        <w:t>ommunautés d’énergie renouvelable, ainsi que l’installation d’autres infrastructures de stockage de l’électricité, destinées à un usage public au cours d’une première période. En ce qui concerne la mobilité, les mesures clés comprennent le soutien au rempl</w:t>
      </w:r>
      <w:r>
        <w:rPr>
          <w:noProof/>
        </w:rPr>
        <w:t>acement des véhicules de transport routier polluants utilisés par le secteur public et les entreprises par des véhicules propres, l’amélioration de la qualité et de l’attractivité des services de transport public par l’amélioration des véhicules de transpo</w:t>
      </w:r>
      <w:r>
        <w:rPr>
          <w:noProof/>
        </w:rPr>
        <w:t>rt public au moyen de véhicules à émissions nulles ou faibles, la mise en place d’infrastructures de recharge/recharge pour tous les types de véhicules propres utilisant des carburants alternatifs, et le développement des secteurs des carburants alternatif</w:t>
      </w:r>
      <w:r>
        <w:rPr>
          <w:noProof/>
        </w:rPr>
        <w:t>s (biométhane, biocarburants liquides de deuxième génération, hydrogène). En ce qui concerne l’efficacité énergétique, cet objectif devrait être atteint par les trains de mesures et les normes de rénovation des bâtiments, les plans de développement municip</w:t>
      </w:r>
      <w:r>
        <w:rPr>
          <w:noProof/>
        </w:rPr>
        <w:t>al, les méthodes de développement urbain durable et les projets de rénovation de quartiers, en promouvant la fourniture de produits et de services de construction qui accélèrent la rénovation des bâtiments et le financement de la rénovation. Afin de rétabl</w:t>
      </w:r>
      <w:r>
        <w:rPr>
          <w:noProof/>
        </w:rPr>
        <w:t xml:space="preserve">ir la capacité des zones humides dégradées à absorber et à stocker les gaz à effet de serre, une réforme de la restauration de ces zones humides est envisagée et des forêts riches en biodiversité sont acquises. Enfin, l’utilisation efficace des ressources </w:t>
      </w:r>
      <w:r>
        <w:rPr>
          <w:noProof/>
        </w:rPr>
        <w:t>sera avancée avec l’adoption du plan d’action en faveur de l’économie circulaire, qui définira la direction à suivre pour parvenir à une Lituanie plus efficace dans l’utilisation des ressources d’ici à 2035.</w:t>
      </w:r>
    </w:p>
    <w:p w14:paraId="6E6B0894" w14:textId="7CFB827D" w:rsidR="00FA40E8" w:rsidRDefault="00E74AE8">
      <w:pPr>
        <w:pStyle w:val="P68B1DB1-Normal4"/>
        <w:spacing w:before="120" w:after="120"/>
        <w:jc w:val="both"/>
        <w:rPr>
          <w:rFonts w:eastAsia="Calibri" w:cs="Times New Roman"/>
          <w:noProof/>
        </w:rPr>
      </w:pPr>
      <w:r>
        <w:rPr>
          <w:noProof/>
        </w:rPr>
        <w:t>Les mesures incluses dans le volet soutiennent l</w:t>
      </w:r>
      <w:r>
        <w:rPr>
          <w:noProof/>
        </w:rPr>
        <w:t xml:space="preserve">a mise en œuvre de la recommandation par pays visant à axer la politique économique liée aux investissements sur l’efficacité énergétique et l’utilisation efficace des ressources, les transports durables et les interconnexions énergétiques (recommandation </w:t>
      </w:r>
      <w:r>
        <w:rPr>
          <w:noProof/>
        </w:rPr>
        <w:t>no 3 201 de la Commission du 9).</w:t>
      </w:r>
    </w:p>
    <w:p w14:paraId="1B350A35" w14:textId="77777777" w:rsidR="00FA40E8" w:rsidRDefault="00E74AE8">
      <w:pPr>
        <w:pStyle w:val="P68B1DB1-Normal4"/>
        <w:spacing w:before="120" w:after="120"/>
        <w:jc w:val="both"/>
        <w:rPr>
          <w:rFonts w:eastAsia="Calibri" w:cs="Times New Roman"/>
          <w:noProof/>
        </w:rPr>
      </w:pPr>
      <w:r>
        <w:rPr>
          <w:noProof/>
        </w:rPr>
        <w:t>Aucune mesure relevant de ce volet ne devrait causer de préjudice important aux objectifs environnementaux au sens de l’article 17 du règlement (UE) 2020/852, compte tenu de la description des mesures et des mesures d’attén</w:t>
      </w:r>
      <w:r>
        <w:rPr>
          <w:noProof/>
        </w:rPr>
        <w:t>uation prévues dans le plan pour la reprise et la résilience conformément aux orientations techniques DNSH (2021/C58/01). Il est également prévu que, si le soutien est accordé à une installation relevant du système d’échange de quotas d’émission de l’UE (S</w:t>
      </w:r>
      <w:r>
        <w:rPr>
          <w:noProof/>
        </w:rPr>
        <w:t>EQE), les activités relevant du SEQE doivent atteindre des émissions de gaz à effet de serre inférieures aux référentiels pertinents du SEQE</w:t>
      </w:r>
      <w:r>
        <w:rPr>
          <w:noProof/>
        </w:rPr>
        <w:footnoteReference w:id="2"/>
      </w:r>
      <w:r>
        <w:rPr>
          <w:noProof/>
        </w:rPr>
        <w:t>.</w:t>
      </w:r>
    </w:p>
    <w:p w14:paraId="0A085B6E" w14:textId="683BFA91" w:rsidR="00FA40E8" w:rsidRDefault="00FA40E8">
      <w:pPr>
        <w:rPr>
          <w:rFonts w:ascii="Times New Roman" w:eastAsia="Calibri" w:hAnsi="Times New Roman" w:cs="Times New Roman"/>
          <w:b/>
          <w:noProof/>
          <w:sz w:val="24"/>
          <w:u w:val="single"/>
        </w:rPr>
      </w:pPr>
    </w:p>
    <w:p w14:paraId="7E99B37F" w14:textId="278B0153" w:rsidR="00FA40E8" w:rsidRDefault="00E74AE8">
      <w:pPr>
        <w:pStyle w:val="P68B1DB1-Text15"/>
        <w:keepNext/>
        <w:keepLines/>
        <w:spacing w:before="0" w:after="200" w:line="276" w:lineRule="auto"/>
        <w:ind w:left="0"/>
        <w:outlineLvl w:val="1"/>
        <w:rPr>
          <w:i/>
          <w:noProof/>
        </w:rPr>
      </w:pPr>
      <w:r>
        <w:rPr>
          <w:noProof/>
        </w:rPr>
        <w:t>B.1. Description des réformes et des investissements en vue d’un soutien financier non remboursable</w:t>
      </w:r>
    </w:p>
    <w:p w14:paraId="69880D64" w14:textId="5C3E0CB8" w:rsidR="00FA40E8" w:rsidRDefault="00E74AE8">
      <w:pPr>
        <w:pStyle w:val="P68B1DB1-Normal6"/>
        <w:keepNext/>
        <w:keepLines/>
        <w:jc w:val="both"/>
        <w:rPr>
          <w:rFonts w:eastAsia="Calibri" w:cs="Times New Roman"/>
          <w:noProof/>
        </w:rPr>
      </w:pPr>
      <w:r>
        <w:rPr>
          <w:noProof/>
        </w:rPr>
        <w:t>B.1.1. Réfor</w:t>
      </w:r>
      <w:r>
        <w:rPr>
          <w:noProof/>
        </w:rPr>
        <w:t>me 1 «Une électricité plus durable produite dans le pays»</w:t>
      </w:r>
    </w:p>
    <w:p w14:paraId="237691B7" w14:textId="68C8EAAD" w:rsidR="00FA40E8" w:rsidRDefault="00E74AE8">
      <w:pPr>
        <w:pStyle w:val="P68B1DB1-Normal4"/>
        <w:jc w:val="both"/>
        <w:rPr>
          <w:rFonts w:eastAsia="Calibri" w:cs="Times New Roman"/>
          <w:noProof/>
          <w:szCs w:val="24"/>
        </w:rPr>
      </w:pPr>
      <w:r>
        <w:rPr>
          <w:noProof/>
        </w:rPr>
        <w:t>L’objectif de la réforme est d’encourager la production, le transport et la consommation d’électricité à partir de sources renouvelables dans le but i) d’accroître la production d’électricité à part</w:t>
      </w:r>
      <w:r>
        <w:rPr>
          <w:noProof/>
        </w:rPr>
        <w:t>ir de SER pour la porter à au moins 7 TWh d’ici à 2030, ce qui garantit que les SER produisent 50 % de la consommation nationale totale d’électricité; II) augmenter les capacités locales de production d’électricité; III) faciliter le développement des capa</w:t>
      </w:r>
      <w:r>
        <w:rPr>
          <w:noProof/>
        </w:rPr>
        <w:t>cités nécessaires à la production d’électricité à partir de SER en soutenant les technologies les plus efficaces sur le plan économique; IV) intégrer progressivement sur le marché les producteurs d’électricité utilisant des sources d’énergie renouvelables;</w:t>
      </w:r>
      <w:r>
        <w:rPr>
          <w:noProof/>
        </w:rPr>
        <w:t xml:space="preserve"> V) garantir une charge financière minimale pour les consommateurs d’électricité; VI) garantir la non-discrimination à l’égard des producteurs d’électricité importée et permettre aux autres États membres de bénéficier du mécanisme de soutien introduit par </w:t>
      </w:r>
      <w:r>
        <w:rPr>
          <w:noProof/>
        </w:rPr>
        <w:t>le projet de loi sur l’énergie produite à partir de sources renouvelables; VII) assurer le démantèlement des centrales électriques qui ont cessé leur exploitation; VIII) veiller à ce que l’électricité ne soit pas produite à des prix négatifs; IX) créer des</w:t>
      </w:r>
      <w:r>
        <w:rPr>
          <w:noProof/>
        </w:rPr>
        <w:t xml:space="preserve"> conditions appropriées pour les prosommateurs et les communautés SER. </w:t>
      </w:r>
    </w:p>
    <w:p w14:paraId="16C0F1E6" w14:textId="119C5C84" w:rsidR="00FA40E8" w:rsidRDefault="00E74AE8">
      <w:pPr>
        <w:pStyle w:val="P68B1DB1-Normal4"/>
        <w:jc w:val="both"/>
        <w:rPr>
          <w:rFonts w:eastAsia="Calibri" w:cs="Times New Roman"/>
          <w:noProof/>
          <w:szCs w:val="24"/>
        </w:rPr>
      </w:pPr>
      <w:r>
        <w:rPr>
          <w:noProof/>
        </w:rPr>
        <w:t>Cette réforme s’accompagne de 3 sous-mesures: (1) travaux préparatoires pour les parcs éoliens en mer et les infrastructures connexes (sous-mesure 1); (2) soutien à la construction d’i</w:t>
      </w:r>
      <w:r>
        <w:rPr>
          <w:noProof/>
        </w:rPr>
        <w:t xml:space="preserve">nstallations de stockage individuelles (sous-mesure 2); (3) installation d’autres infrastructures de stockage de l’électricité (sous-mesure 3). </w:t>
      </w:r>
    </w:p>
    <w:p w14:paraId="030CC4EC" w14:textId="1E8702DA" w:rsidR="00FA40E8" w:rsidRDefault="00E74AE8">
      <w:pPr>
        <w:pStyle w:val="P68B1DB1-Normal6"/>
        <w:keepNext/>
        <w:keepLines/>
        <w:jc w:val="both"/>
        <w:rPr>
          <w:rFonts w:cs="Times New Roman"/>
          <w:noProof/>
          <w:szCs w:val="24"/>
        </w:rPr>
      </w:pPr>
      <w:r>
        <w:rPr>
          <w:noProof/>
        </w:rPr>
        <w:t>B.1.1.1 Sous-mesure 1: Travaux préparatoires pour les centrales éoliennes en mer et les infrastructures connexe</w:t>
      </w:r>
      <w:r>
        <w:rPr>
          <w:noProof/>
        </w:rPr>
        <w:t>s</w:t>
      </w:r>
    </w:p>
    <w:p w14:paraId="2BF6185A" w14:textId="1A76A940" w:rsidR="00FA40E8" w:rsidRDefault="00E74AE8">
      <w:pPr>
        <w:pStyle w:val="P68B1DB1-Normal4"/>
        <w:jc w:val="both"/>
        <w:rPr>
          <w:rFonts w:cs="Times New Roman"/>
          <w:noProof/>
          <w:szCs w:val="24"/>
        </w:rPr>
      </w:pPr>
      <w:r>
        <w:rPr>
          <w:noProof/>
        </w:rPr>
        <w:t xml:space="preserve">L’objectif de cette sous-mesure est les travaux préparatoires pour les centrales éoliennes en mer et les infrastructures connexes. La sous-mesure consiste en la réalisation d’enquêtes, de mesures et d’études. </w:t>
      </w:r>
    </w:p>
    <w:p w14:paraId="1B110DA3" w14:textId="51B6C6BE" w:rsidR="00FA40E8" w:rsidRDefault="00E74AE8">
      <w:pPr>
        <w:pStyle w:val="P68B1DB1-Normal6"/>
        <w:keepNext/>
        <w:keepLines/>
        <w:jc w:val="both"/>
        <w:rPr>
          <w:rFonts w:cs="Times New Roman"/>
          <w:noProof/>
          <w:szCs w:val="24"/>
        </w:rPr>
      </w:pPr>
      <w:r>
        <w:rPr>
          <w:noProof/>
        </w:rPr>
        <w:t>B.1.1.2 Sous-mesure 2: Aide à la constructio</w:t>
      </w:r>
      <w:r>
        <w:rPr>
          <w:noProof/>
        </w:rPr>
        <w:t>n d’installations de stockage individuelles</w:t>
      </w:r>
    </w:p>
    <w:p w14:paraId="7844F0FD" w14:textId="7CF83F5F" w:rsidR="00FA40E8" w:rsidRDefault="00E74AE8">
      <w:pPr>
        <w:pStyle w:val="P68B1DB1-Normal4"/>
        <w:jc w:val="both"/>
        <w:rPr>
          <w:rFonts w:cs="Times New Roman"/>
          <w:noProof/>
          <w:szCs w:val="24"/>
        </w:rPr>
      </w:pPr>
      <w:r>
        <w:rPr>
          <w:noProof/>
        </w:rPr>
        <w:t>L’objectif de cette sous-mesure est d’apporter un soutien aux installations de stockage de SER. La sous-mesure consiste en l’installation et le raccordement au réseau de capacités de stockage d’électricité à part</w:t>
      </w:r>
      <w:r>
        <w:rPr>
          <w:noProof/>
        </w:rPr>
        <w:t>ir de sources d’énergie renouvelables.</w:t>
      </w:r>
    </w:p>
    <w:p w14:paraId="7034C9EA" w14:textId="77777777" w:rsidR="00FA40E8" w:rsidRDefault="00E74AE8">
      <w:pPr>
        <w:pStyle w:val="P68B1DB1-Normal6"/>
        <w:keepNext/>
        <w:keepLines/>
        <w:jc w:val="both"/>
        <w:rPr>
          <w:rFonts w:cs="Times New Roman"/>
          <w:noProof/>
          <w:szCs w:val="24"/>
        </w:rPr>
      </w:pPr>
      <w:r>
        <w:rPr>
          <w:noProof/>
        </w:rPr>
        <w:t>B.1.1.3 Sous-mesure 3: Installation d’autres infrastructures de stockage de l’électricité</w:t>
      </w:r>
    </w:p>
    <w:p w14:paraId="343312FD" w14:textId="6BB3183C" w:rsidR="00FA40E8" w:rsidRDefault="00E74AE8">
      <w:pPr>
        <w:pStyle w:val="P68B1DB1-Normal4"/>
        <w:jc w:val="both"/>
        <w:rPr>
          <w:rFonts w:cs="Times New Roman"/>
          <w:noProof/>
          <w:szCs w:val="24"/>
        </w:rPr>
      </w:pPr>
      <w:r>
        <w:rPr>
          <w:noProof/>
        </w:rPr>
        <w:t>L’objectif de cette sous-mesure est d’assurer la sécurité, la stabilité et la préparation du système électrique lituanien à l’e</w:t>
      </w:r>
      <w:r>
        <w:rPr>
          <w:noProof/>
        </w:rPr>
        <w:t>xploitation de travaux isolés avant son interconnexion avec les réseaux électriques d’Europe continentale. La sous-mesure consiste en un soutien à l’installation de quatre installations de stockage d’énergie, chacune de 50 MW, qui fournissent une inertie s</w:t>
      </w:r>
      <w:r>
        <w:rPr>
          <w:noProof/>
        </w:rPr>
        <w:t xml:space="preserve">ynthétique en réponse au changement de fréquence et une gestion de la congestion des réseaux, ce qui est nécessaire pour intégrer 100 % de l’électricité produite à partir de SER. </w:t>
      </w:r>
    </w:p>
    <w:p w14:paraId="266C4CDA" w14:textId="77777777" w:rsidR="00FA40E8" w:rsidRDefault="00E74AE8">
      <w:pPr>
        <w:pStyle w:val="P68B1DB1-Normal4"/>
        <w:jc w:val="both"/>
        <w:rPr>
          <w:rFonts w:cs="Times New Roman"/>
          <w:noProof/>
          <w:szCs w:val="24"/>
        </w:rPr>
      </w:pPr>
      <w:r>
        <w:rPr>
          <w:noProof/>
        </w:rPr>
        <w:t xml:space="preserve">La sous-mesure est achevée au plus tard le 31 décembre 2022. </w:t>
      </w:r>
    </w:p>
    <w:p w14:paraId="23CD11FA" w14:textId="7C03EBE7" w:rsidR="00FA40E8" w:rsidRDefault="00E74AE8">
      <w:pPr>
        <w:pStyle w:val="P68B1DB1-Normal6"/>
        <w:keepNext/>
        <w:keepLines/>
        <w:jc w:val="both"/>
        <w:rPr>
          <w:rFonts w:cs="Times New Roman"/>
          <w:noProof/>
        </w:rPr>
      </w:pPr>
      <w:r>
        <w:rPr>
          <w:noProof/>
        </w:rPr>
        <w:t xml:space="preserve">B.1.2. Réforme 2 «Promouvoir sans polluer l’environnement» </w:t>
      </w:r>
    </w:p>
    <w:p w14:paraId="0D3761F0" w14:textId="37A5CB8D" w:rsidR="00FA40E8" w:rsidRDefault="00E74AE8">
      <w:pPr>
        <w:pStyle w:val="P68B1DB1-Normal4"/>
        <w:jc w:val="both"/>
        <w:rPr>
          <w:rFonts w:cs="Times New Roman"/>
          <w:noProof/>
          <w:szCs w:val="24"/>
        </w:rPr>
      </w:pPr>
      <w:r>
        <w:rPr>
          <w:noProof/>
        </w:rPr>
        <w:t xml:space="preserve">L’objectif de cette réforme est de réduire les émissions de GES dans le secteur des transports. </w:t>
      </w:r>
    </w:p>
    <w:p w14:paraId="20B4FDEB" w14:textId="45FD61D2" w:rsidR="00FA40E8" w:rsidRDefault="00E74AE8">
      <w:pPr>
        <w:pStyle w:val="P68B1DB1-Normal4"/>
        <w:jc w:val="both"/>
        <w:rPr>
          <w:rFonts w:cs="Times New Roman"/>
          <w:noProof/>
          <w:szCs w:val="24"/>
        </w:rPr>
      </w:pPr>
      <w:r>
        <w:rPr>
          <w:noProof/>
        </w:rPr>
        <w:t>La mise en œuvre de la réforme a commencé lorsque le Seimas a adopté la loi sur les carburants alte</w:t>
      </w:r>
      <w:r>
        <w:rPr>
          <w:noProof/>
        </w:rPr>
        <w:t>rnatifs. Elle se poursuivra avec l’adoption et l’entrée en vigueur d’un cadre législatif établissant une procédure pour déterminer les exigences en matière d’efficacité énergétique et de protection de l’environnement applicables à l’achat de véhicules de t</w:t>
      </w:r>
      <w:r>
        <w:rPr>
          <w:noProof/>
        </w:rPr>
        <w:t xml:space="preserve">ransport routier et dans les cas où elles sont obligatoires. Le présent cadre entre en vigueur au plus tard le 31 décembre 2021. </w:t>
      </w:r>
    </w:p>
    <w:p w14:paraId="0E5E11B8" w14:textId="4B21C86F" w:rsidR="00FA40E8" w:rsidRDefault="00E74AE8">
      <w:pPr>
        <w:pStyle w:val="P68B1DB1-Normal4"/>
        <w:jc w:val="both"/>
        <w:rPr>
          <w:rFonts w:cs="Times New Roman"/>
          <w:noProof/>
          <w:szCs w:val="24"/>
          <w:highlight w:val="cyan"/>
        </w:rPr>
      </w:pPr>
      <w:r>
        <w:rPr>
          <w:noProof/>
        </w:rPr>
        <w:t>Il est créé un Fonds pour la mobilité durable, qui apporte un soutien, dans certains cas définis, à l’achat et à l’utilisation</w:t>
      </w:r>
      <w:r>
        <w:rPr>
          <w:noProof/>
        </w:rPr>
        <w:t xml:space="preserve"> de véhicules propres, ainsi qu’à l’installation, à la modernisation et au développement d’infrastructures pour carburants alternatifs pour ces véhicules. Le fonds est également utilisé pour soutenir les restrictions d’utilisation des véhicules à moteur à </w:t>
      </w:r>
      <w:r>
        <w:rPr>
          <w:noProof/>
        </w:rPr>
        <w:t xml:space="preserve">combustion interne, à l’exception des véhicules à émission nulle et à faibles émissions. L’aide est fournie de manière ciblée et continue, au moins jusqu’en 2030. Le Fonds devient opérationnel au plus tard le 31 mars 2022. </w:t>
      </w:r>
    </w:p>
    <w:p w14:paraId="0814B315" w14:textId="03FAD8E8" w:rsidR="00FA40E8" w:rsidRDefault="00E74AE8">
      <w:pPr>
        <w:pStyle w:val="P68B1DB1-Normal4"/>
        <w:jc w:val="both"/>
        <w:rPr>
          <w:rFonts w:eastAsia="Calibri" w:cs="Times New Roman"/>
          <w:noProof/>
          <w:szCs w:val="24"/>
        </w:rPr>
      </w:pPr>
      <w:r>
        <w:rPr>
          <w:noProof/>
        </w:rPr>
        <w:t>Cette réforme s’accompagne de qu</w:t>
      </w:r>
      <w:r>
        <w:rPr>
          <w:noProof/>
        </w:rPr>
        <w:t>atre sous-mesures: (1) soutien à la fourniture de véhicules propres et à la mobilité durable (sous-mesure 1); (2) soutien à l’achat de véhicules de transport public à émission nulle (sous-mesure 2); (3) installation d’infrastructures de recharge des véhicu</w:t>
      </w:r>
      <w:r>
        <w:rPr>
          <w:noProof/>
        </w:rPr>
        <w:t>les et de remplissage des carburants alternatifs (sous-mesure 3); et (4) soutenir le développement des carburants SER (gaz biométhane, biocarburants liquides de deuxième génération pour les transports et hydrogène renouvelable) (sous-mesure 4).</w:t>
      </w:r>
    </w:p>
    <w:p w14:paraId="1D26E49A" w14:textId="358FD072" w:rsidR="00FA40E8" w:rsidRDefault="00E74AE8">
      <w:pPr>
        <w:pStyle w:val="P68B1DB1-Normal6"/>
        <w:keepNext/>
        <w:keepLines/>
        <w:jc w:val="both"/>
        <w:rPr>
          <w:noProof/>
          <w:szCs w:val="24"/>
        </w:rPr>
      </w:pPr>
      <w:r>
        <w:rPr>
          <w:noProof/>
        </w:rPr>
        <w:t>B.1.2.1. So</w:t>
      </w:r>
      <w:r>
        <w:rPr>
          <w:noProof/>
        </w:rPr>
        <w:t>us-mesure 1: Soutien à la fourniture de véhicules propres et à la mobilité durable</w:t>
      </w:r>
    </w:p>
    <w:p w14:paraId="526AAE62" w14:textId="7499C3F6" w:rsidR="00FA40E8" w:rsidRDefault="00E74AE8">
      <w:pPr>
        <w:pStyle w:val="P68B1DB1-Normal8"/>
        <w:jc w:val="both"/>
        <w:rPr>
          <w:rFonts w:ascii="Times New Roman" w:hAnsi="Times New Roman" w:cs="Times New Roman"/>
          <w:noProof/>
          <w:szCs w:val="24"/>
        </w:rPr>
      </w:pPr>
      <w:r>
        <w:rPr>
          <w:rFonts w:ascii="Times New Roman" w:hAnsi="Times New Roman"/>
          <w:noProof/>
        </w:rPr>
        <w:t>L’objectif de cette sous-mesure est d’encourager la mobilité durable et, par conséquent, de réduire les émissions de gaz à effet de serre et la pollution atmosphérique. Cett</w:t>
      </w:r>
      <w:r>
        <w:rPr>
          <w:rFonts w:ascii="Times New Roman" w:hAnsi="Times New Roman"/>
          <w:noProof/>
        </w:rPr>
        <w:t xml:space="preserve">e sous-mesure consiste à soutenir la livraison de véhicules à émission nulle et à faibles émissions, la mise à niveau des autobus, </w:t>
      </w:r>
      <w:bookmarkStart w:id="2" w:name="_MailAutoSig"/>
      <w:r>
        <w:rPr>
          <w:rFonts w:ascii="Times New Roman" w:hAnsi="Times New Roman"/>
          <w:noProof/>
        </w:rPr>
        <w:t>la construction ou la rénovation de pistes cyclables, de rues cyclables ou de pistes cyclables, ou de pistes cyclables et pié</w:t>
      </w:r>
      <w:r>
        <w:rPr>
          <w:rFonts w:ascii="Times New Roman" w:hAnsi="Times New Roman"/>
          <w:noProof/>
        </w:rPr>
        <w:t>tonnes combinées, ainsi que l’électrification des chemins de fer</w:t>
      </w:r>
      <w:bookmarkEnd w:id="2"/>
      <w:r>
        <w:rPr>
          <w:rFonts w:ascii="Times New Roman" w:eastAsia="Times New Roman" w:hAnsi="Times New Roman" w:cs="Times New Roman"/>
          <w:noProof/>
        </w:rPr>
        <w:t>.</w:t>
      </w:r>
    </w:p>
    <w:p w14:paraId="61B0C296" w14:textId="1FAE9291" w:rsidR="00FA40E8" w:rsidRDefault="00E74AE8">
      <w:pPr>
        <w:pStyle w:val="P68B1DB1-Normal6"/>
        <w:keepNext/>
        <w:keepLines/>
        <w:jc w:val="both"/>
        <w:rPr>
          <w:rFonts w:cs="Times New Roman"/>
          <w:noProof/>
          <w:szCs w:val="24"/>
        </w:rPr>
      </w:pPr>
      <w:r>
        <w:rPr>
          <w:noProof/>
        </w:rPr>
        <w:t>B.1.2.2. Sous-mesure 2: Aide à l’achat de véhicules de transport public à émissions nulles</w:t>
      </w:r>
    </w:p>
    <w:p w14:paraId="5525DE4A" w14:textId="3695FA29" w:rsidR="00FA40E8" w:rsidRDefault="00E74AE8">
      <w:pPr>
        <w:pStyle w:val="P68B1DB1-Normal4"/>
        <w:jc w:val="both"/>
        <w:rPr>
          <w:rFonts w:cs="Times New Roman"/>
          <w:noProof/>
          <w:szCs w:val="24"/>
        </w:rPr>
      </w:pPr>
      <w:r>
        <w:rPr>
          <w:noProof/>
        </w:rPr>
        <w:t>L’objectif de l’investissement est de rendre les transports publics plus respectueux de l’environne</w:t>
      </w:r>
      <w:r>
        <w:rPr>
          <w:noProof/>
        </w:rPr>
        <w:t xml:space="preserve">ment. Cette sous-mesure consiste en: (1) entrée en vigueur de la législation visant à réformer le réseau de transport public interurbain longue distance et (2) fourniture de bus électriques ou fonctionnant à l’hydrogène (classes M2 et M3). </w:t>
      </w:r>
    </w:p>
    <w:p w14:paraId="74D96952" w14:textId="337237C8" w:rsidR="00FA40E8" w:rsidRDefault="00E74AE8">
      <w:pPr>
        <w:pStyle w:val="P68B1DB1-Normal6"/>
        <w:keepNext/>
        <w:keepLines/>
        <w:jc w:val="both"/>
        <w:rPr>
          <w:rFonts w:eastAsia="Calibri" w:cs="Times New Roman"/>
          <w:noProof/>
        </w:rPr>
      </w:pPr>
      <w:r>
        <w:rPr>
          <w:noProof/>
        </w:rPr>
        <w:t>B.1.2.3. Sous-m</w:t>
      </w:r>
      <w:r>
        <w:rPr>
          <w:noProof/>
        </w:rPr>
        <w:t>esure 3: Installation d’infrastructures de recharge des véhicules et de remplissage des carburants alternatifs</w:t>
      </w:r>
    </w:p>
    <w:p w14:paraId="5CCAB017" w14:textId="637F7171" w:rsidR="00FA40E8" w:rsidRDefault="00E74AE8">
      <w:pPr>
        <w:pStyle w:val="P68B1DB1-Normal4"/>
        <w:jc w:val="both"/>
        <w:rPr>
          <w:rFonts w:eastAsia="Calibri" w:cs="Times New Roman"/>
          <w:noProof/>
          <w:szCs w:val="24"/>
        </w:rPr>
      </w:pPr>
      <w:r>
        <w:rPr>
          <w:noProof/>
        </w:rPr>
        <w:t>L’objectif de cette sous-mesure est de créer un réseau optimal d’infrastructures de recharge et de remplissage pour carburants alternatifs ouvert</w:t>
      </w:r>
      <w:r>
        <w:rPr>
          <w:noProof/>
        </w:rPr>
        <w:t>es au public et privées, afin de créer des conditions favorables à l’utilisation de véhicules propres par les entreprises et les citoyens. Dans le cadre de cette sous-mesure, les opérations suivantes sont effectuées: (1) mise en service d’un système d’info</w:t>
      </w:r>
      <w:r>
        <w:rPr>
          <w:noProof/>
        </w:rPr>
        <w:t>rmation pour les points de recharge pour véhicules électriques accessibles au public (au plus tard le 31 mars 2022); et (2) l’installation de points de recharge et d’une station de ravitaillement en hydrogène.</w:t>
      </w:r>
    </w:p>
    <w:p w14:paraId="66D23CF1" w14:textId="6A774096" w:rsidR="00FA40E8" w:rsidRDefault="00E74AE8">
      <w:pPr>
        <w:pStyle w:val="P68B1DB1-Normal6"/>
        <w:keepNext/>
        <w:keepLines/>
        <w:jc w:val="both"/>
        <w:rPr>
          <w:rFonts w:cs="Times New Roman"/>
          <w:noProof/>
          <w:szCs w:val="24"/>
        </w:rPr>
      </w:pPr>
      <w:r>
        <w:rPr>
          <w:noProof/>
        </w:rPr>
        <w:t>B.1.2.4. Sous-mesure 4: Soutien au secteur des</w:t>
      </w:r>
      <w:r>
        <w:rPr>
          <w:noProof/>
        </w:rPr>
        <w:t xml:space="preserve"> carburants SER (gaz biométhane, biocarburants liquides de deuxième génération pour les transports et hydrogène renouvelable)</w:t>
      </w:r>
    </w:p>
    <w:p w14:paraId="2A78DA8B" w14:textId="74439A06" w:rsidR="00FA40E8" w:rsidRDefault="00E74AE8">
      <w:pPr>
        <w:pStyle w:val="P68B1DB1-Normal4"/>
        <w:jc w:val="both"/>
        <w:rPr>
          <w:rFonts w:cs="Times New Roman"/>
          <w:noProof/>
          <w:szCs w:val="24"/>
        </w:rPr>
      </w:pPr>
      <w:r>
        <w:rPr>
          <w:noProof/>
        </w:rPr>
        <w:t>L’objectif de cette sous-mesure est de créer un approvisionnement en carburants renouvelables et d’encourager leur utilisation dan</w:t>
      </w:r>
      <w:r>
        <w:rPr>
          <w:noProof/>
        </w:rPr>
        <w:t>s le secteur des transports. Cette sous-mesure consiste en l’installation: (1) installations de production de gaz de biométhane; (2) une capacité pour les biocarburants liquides de deuxième génération; et (3) la capacité de production d’hydrogène renouvela</w:t>
      </w:r>
      <w:r>
        <w:rPr>
          <w:noProof/>
        </w:rPr>
        <w:t>ble.</w:t>
      </w:r>
    </w:p>
    <w:p w14:paraId="39B7FB5C" w14:textId="31562F05" w:rsidR="00FA40E8" w:rsidRDefault="00E74AE8">
      <w:pPr>
        <w:pStyle w:val="P68B1DB1-Normal6"/>
        <w:keepNext/>
        <w:keepLines/>
        <w:jc w:val="both"/>
        <w:rPr>
          <w:rFonts w:eastAsia="Calibri" w:cs="Times New Roman"/>
          <w:noProof/>
        </w:rPr>
      </w:pPr>
      <w:r>
        <w:rPr>
          <w:noProof/>
        </w:rPr>
        <w:t>B.1.3. Réforme 3 «Accélérer la rénovation des bâtiments et un environnement urbain durable»</w:t>
      </w:r>
    </w:p>
    <w:p w14:paraId="6232C419" w14:textId="6A332412" w:rsidR="00FA40E8" w:rsidRDefault="00E74AE8">
      <w:pPr>
        <w:pStyle w:val="P68B1DB1-Normal4"/>
        <w:jc w:val="both"/>
        <w:rPr>
          <w:rFonts w:cs="Times New Roman"/>
          <w:noProof/>
          <w:szCs w:val="24"/>
        </w:rPr>
      </w:pPr>
      <w:r>
        <w:rPr>
          <w:noProof/>
        </w:rPr>
        <w:t>L’objectif de la réforme est d’accélérer le processus de rénovation des bâtiments. La réforme se compose de quatre sous-mesures: (1) mettre à jour et tester da</w:t>
      </w:r>
      <w:r>
        <w:rPr>
          <w:noProof/>
        </w:rPr>
        <w:t>ns la pratique les trains de mesures et les normes en matière de rénovation des bâtiments et créer une méthodologie pour le développement des villes durables (sous-mesure 1); (2) création d’outils pour faciliter la coordination de la rénovation des bâtimen</w:t>
      </w:r>
      <w:r>
        <w:rPr>
          <w:noProof/>
        </w:rPr>
        <w:t>ts et l’assistance technique (sous-mesure 2); (3) fourniture de produits et de services de construction qui accélèrent la rénovation des bâtiments (sous-mesure 3); et (4) soutien à la rénovation des bâtiments (sous-mesure 4).</w:t>
      </w:r>
    </w:p>
    <w:p w14:paraId="5099DE74" w14:textId="653386BF" w:rsidR="00FA40E8" w:rsidRDefault="00E74AE8">
      <w:pPr>
        <w:pStyle w:val="P68B1DB1-Normal6"/>
        <w:keepNext/>
        <w:keepLines/>
        <w:jc w:val="both"/>
        <w:rPr>
          <w:rFonts w:eastAsia="Calibri" w:cs="Times New Roman"/>
          <w:noProof/>
        </w:rPr>
      </w:pPr>
      <w:r>
        <w:rPr>
          <w:noProof/>
        </w:rPr>
        <w:t>B.1.3.1. Sous-mesure 1: Mise à</w:t>
      </w:r>
      <w:r>
        <w:rPr>
          <w:noProof/>
        </w:rPr>
        <w:t xml:space="preserve"> jour des trains de mesures et des normes en matière de rénovation des bâtiments et création d’une méthodologie pour le développement de villes durables </w:t>
      </w:r>
    </w:p>
    <w:p w14:paraId="39F7ED25" w14:textId="1C929173" w:rsidR="00FA40E8" w:rsidRDefault="00E74AE8">
      <w:pPr>
        <w:pStyle w:val="P68B1DB1-Normal4"/>
        <w:jc w:val="both"/>
        <w:rPr>
          <w:rFonts w:eastAsia="Calibri" w:cs="Times New Roman"/>
          <w:noProof/>
          <w:szCs w:val="24"/>
        </w:rPr>
      </w:pPr>
      <w:r>
        <w:rPr>
          <w:noProof/>
        </w:rPr>
        <w:t>L’objectif de cette sous-mesure est d’apporter les modifications réglementaires nécessaires afin d’acc</w:t>
      </w:r>
      <w:r>
        <w:rPr>
          <w:noProof/>
        </w:rPr>
        <w:t>élérer la rénovation des bâtiments et de contribuer à l’écologisation des régions.</w:t>
      </w:r>
    </w:p>
    <w:p w14:paraId="77517895" w14:textId="04C53E3C" w:rsidR="00FA40E8" w:rsidRDefault="00E74AE8">
      <w:pPr>
        <w:pStyle w:val="P68B1DB1-Normal4"/>
        <w:jc w:val="both"/>
        <w:rPr>
          <w:rFonts w:eastAsia="Calibri" w:cs="Times New Roman"/>
          <w:noProof/>
          <w:szCs w:val="24"/>
        </w:rPr>
      </w:pPr>
      <w:r>
        <w:rPr>
          <w:noProof/>
        </w:rPr>
        <w:t>Dans le cadre de cette sous-mesure, un certain nombre de modifications réglementaires sont apportées. En ce qui concerne les modifications réglementaires, les dispositions s</w:t>
      </w:r>
      <w:r>
        <w:rPr>
          <w:noProof/>
        </w:rPr>
        <w:t xml:space="preserve">uivantes sont adoptées et entrent en vigueur: </w:t>
      </w:r>
    </w:p>
    <w:p w14:paraId="0B8BEBA9" w14:textId="787D380E" w:rsidR="00FA40E8" w:rsidRDefault="00E74AE8">
      <w:pPr>
        <w:pStyle w:val="P68B1DB1-ListParagraph16"/>
        <w:numPr>
          <w:ilvl w:val="0"/>
          <w:numId w:val="57"/>
        </w:numPr>
        <w:spacing w:line="276" w:lineRule="auto"/>
        <w:ind w:left="714" w:hanging="357"/>
        <w:jc w:val="both"/>
        <w:rPr>
          <w:rFonts w:cs="Times New Roman"/>
          <w:noProof/>
          <w:szCs w:val="24"/>
        </w:rPr>
      </w:pPr>
      <w:r>
        <w:rPr>
          <w:noProof/>
        </w:rPr>
        <w:t>Résolution de la République de Lituanie approuvant le plan de mise en œuvre de la stratégie à long terme de rénovation des bâtiments, qui prévoit un plan législatif visant à accélérer la conversion des sites e</w:t>
      </w:r>
      <w:r>
        <w:rPr>
          <w:noProof/>
        </w:rPr>
        <w:t xml:space="preserve">t la conversion des bâtiments existants, et à formaliser l’utilisation des techniques de modélisation des informations sur les bâtiments (BIM), un plan pour les initiatives de rénovation des districts et les projets d’investissement; </w:t>
      </w:r>
    </w:p>
    <w:p w14:paraId="11DC6BDE" w14:textId="369D2F74" w:rsidR="00FA40E8" w:rsidRDefault="00E74AE8">
      <w:pPr>
        <w:pStyle w:val="P68B1DB1-ListParagraph16"/>
        <w:numPr>
          <w:ilvl w:val="0"/>
          <w:numId w:val="57"/>
        </w:numPr>
        <w:spacing w:line="276" w:lineRule="auto"/>
        <w:ind w:left="714" w:hanging="357"/>
        <w:jc w:val="both"/>
        <w:rPr>
          <w:rFonts w:cs="Times New Roman"/>
          <w:noProof/>
          <w:szCs w:val="24"/>
        </w:rPr>
      </w:pPr>
      <w:r>
        <w:rPr>
          <w:noProof/>
        </w:rPr>
        <w:t>Modification du règle</w:t>
      </w:r>
      <w:r>
        <w:rPr>
          <w:noProof/>
        </w:rPr>
        <w:t xml:space="preserve">ment technique de construction «Conception et certification de la performance énergétique des bâtiments», légitimant la classe de performance énergétique du bâtiment rénové au moins en classe B; </w:t>
      </w:r>
    </w:p>
    <w:p w14:paraId="5022E356" w14:textId="473256B2" w:rsidR="00FA40E8" w:rsidRDefault="00E74AE8">
      <w:pPr>
        <w:pStyle w:val="P68B1DB1-ListParagraph16"/>
        <w:numPr>
          <w:ilvl w:val="0"/>
          <w:numId w:val="57"/>
        </w:numPr>
        <w:spacing w:line="276" w:lineRule="auto"/>
        <w:ind w:left="714" w:hanging="357"/>
        <w:jc w:val="both"/>
        <w:rPr>
          <w:rFonts w:cs="Times New Roman"/>
          <w:noProof/>
          <w:szCs w:val="24"/>
        </w:rPr>
      </w:pPr>
      <w:r>
        <w:rPr>
          <w:noProof/>
        </w:rPr>
        <w:t>Modification du règlement technique de construction «Concept</w:t>
      </w:r>
      <w:r>
        <w:rPr>
          <w:noProof/>
        </w:rPr>
        <w:t>ion des structures en bois»;</w:t>
      </w:r>
    </w:p>
    <w:p w14:paraId="65784337" w14:textId="7134D788" w:rsidR="00FA40E8" w:rsidRDefault="00E74AE8">
      <w:pPr>
        <w:pStyle w:val="P68B1DB1-ListParagraph16"/>
        <w:numPr>
          <w:ilvl w:val="0"/>
          <w:numId w:val="57"/>
        </w:numPr>
        <w:spacing w:line="276" w:lineRule="auto"/>
        <w:ind w:left="714" w:hanging="357"/>
        <w:jc w:val="both"/>
        <w:rPr>
          <w:rFonts w:cs="Times New Roman"/>
          <w:noProof/>
          <w:szCs w:val="24"/>
        </w:rPr>
      </w:pPr>
      <w:r>
        <w:rPr>
          <w:noProof/>
        </w:rPr>
        <w:t>Lignes directrices pour le développement urbain durable.</w:t>
      </w:r>
    </w:p>
    <w:p w14:paraId="51B7812D" w14:textId="76DC6B84" w:rsidR="00FA40E8" w:rsidRDefault="00E74AE8">
      <w:pPr>
        <w:pStyle w:val="P68B1DB1-Normal4"/>
        <w:jc w:val="both"/>
        <w:rPr>
          <w:rFonts w:cs="Times New Roman"/>
          <w:noProof/>
          <w:szCs w:val="24"/>
        </w:rPr>
      </w:pPr>
      <w:r>
        <w:rPr>
          <w:noProof/>
        </w:rPr>
        <w:t xml:space="preserve">La sous-mesure est achevée au plus tard le 31 décembre 2023. </w:t>
      </w:r>
    </w:p>
    <w:p w14:paraId="14753762" w14:textId="511996AC" w:rsidR="00FA40E8" w:rsidRDefault="00E74AE8">
      <w:pPr>
        <w:pStyle w:val="P68B1DB1-Normal6"/>
        <w:keepNext/>
        <w:keepLines/>
        <w:jc w:val="both"/>
        <w:rPr>
          <w:rFonts w:cs="Times New Roman"/>
          <w:noProof/>
        </w:rPr>
      </w:pPr>
      <w:r>
        <w:rPr>
          <w:noProof/>
        </w:rPr>
        <w:t>B.1.3.2. Sous-mesure 2: Outils pour faciliter la coordination de la rénovation des bâtiments et l’assistance</w:t>
      </w:r>
      <w:r>
        <w:rPr>
          <w:noProof/>
        </w:rPr>
        <w:t xml:space="preserve"> technique</w:t>
      </w:r>
    </w:p>
    <w:p w14:paraId="0A3270AB" w14:textId="6C2DAA03" w:rsidR="00FA40E8" w:rsidRDefault="00E74AE8">
      <w:pPr>
        <w:pStyle w:val="P68B1DB1-Normal4"/>
        <w:jc w:val="both"/>
        <w:rPr>
          <w:noProof/>
          <w:szCs w:val="24"/>
        </w:rPr>
      </w:pPr>
      <w:r>
        <w:rPr>
          <w:noProof/>
        </w:rPr>
        <w:t xml:space="preserve">L’objectif de cette sous-mesure est de créer des outils pour faciliter la coordination de la rénovation des bâtiments et l’assistance technique. La sous-mesure consiste en la création du centre de compétence pour la rénovation des bâtiments (au </w:t>
      </w:r>
      <w:r>
        <w:rPr>
          <w:noProof/>
        </w:rPr>
        <w:t>plus tard le 31 décembre 2022) et des outils numériques liés à la rénovation.</w:t>
      </w:r>
    </w:p>
    <w:p w14:paraId="4C18FCDA" w14:textId="03405E66" w:rsidR="00FA40E8" w:rsidRDefault="00E74AE8">
      <w:pPr>
        <w:pStyle w:val="P68B1DB1-Normal6"/>
        <w:jc w:val="both"/>
        <w:rPr>
          <w:rFonts w:cs="Times New Roman"/>
          <w:noProof/>
        </w:rPr>
      </w:pPr>
      <w:r>
        <w:rPr>
          <w:noProof/>
        </w:rPr>
        <w:t>B.1.3.3. Sous-mesure 3: Fourniture de produits et de services de construction qui accélèrent la rénovation des bâtiments</w:t>
      </w:r>
    </w:p>
    <w:p w14:paraId="74861AD7" w14:textId="277F8BE0" w:rsidR="00FA40E8" w:rsidRDefault="00E74AE8">
      <w:pPr>
        <w:pStyle w:val="P68B1DB1-Normal4"/>
        <w:jc w:val="both"/>
        <w:rPr>
          <w:rFonts w:eastAsia="Calibri" w:cs="Times New Roman"/>
          <w:noProof/>
          <w:szCs w:val="24"/>
        </w:rPr>
      </w:pPr>
      <w:r>
        <w:rPr>
          <w:noProof/>
        </w:rPr>
        <w:t xml:space="preserve">L’objectif de cette sous-mesure est de créer un marché </w:t>
      </w:r>
      <w:r>
        <w:rPr>
          <w:noProof/>
        </w:rPr>
        <w:t>local pour les structures modulaires normalisées à partir de matériaux organiques. Cette sous-mesure consiste à soutenir l’installation de chaînes de production de structures modulaires à partir de matériaux organiques.</w:t>
      </w:r>
    </w:p>
    <w:p w14:paraId="57C0A36A" w14:textId="3F49A0A8" w:rsidR="00FA40E8" w:rsidRDefault="00E74AE8">
      <w:pPr>
        <w:pStyle w:val="P68B1DB1-Normal6"/>
        <w:keepNext/>
        <w:keepLines/>
        <w:jc w:val="both"/>
        <w:rPr>
          <w:rFonts w:cs="Times New Roman"/>
          <w:noProof/>
        </w:rPr>
      </w:pPr>
      <w:r>
        <w:rPr>
          <w:noProof/>
        </w:rPr>
        <w:t>B.1.3.4. Sous-mesure 4: Soutien à la</w:t>
      </w:r>
      <w:r>
        <w:rPr>
          <w:noProof/>
        </w:rPr>
        <w:t xml:space="preserve"> rénovation des bâtiments</w:t>
      </w:r>
    </w:p>
    <w:p w14:paraId="7C55DD82" w14:textId="152D38EC" w:rsidR="00FA40E8" w:rsidRDefault="00E74AE8">
      <w:pPr>
        <w:pStyle w:val="P68B1DB1-Normal4"/>
        <w:jc w:val="both"/>
        <w:rPr>
          <w:noProof/>
          <w:szCs w:val="24"/>
        </w:rPr>
      </w:pPr>
      <w:r>
        <w:rPr>
          <w:noProof/>
        </w:rPr>
        <w:t>L’objectif de cette sous-mesure est de réduire la consommation d’énergie et les émissions des immeubles comprenant plusieurs appartements. La sous-mesure consiste en un soutien à la rénovation des immeubles comprenant plusieurs ap</w:t>
      </w:r>
      <w:r>
        <w:rPr>
          <w:noProof/>
        </w:rPr>
        <w:t xml:space="preserve">partements: </w:t>
      </w:r>
    </w:p>
    <w:p w14:paraId="747C69D4" w14:textId="02ED7401" w:rsidR="00FA40E8" w:rsidRDefault="00E74AE8">
      <w:pPr>
        <w:pStyle w:val="P68B1DB1-Normal4"/>
        <w:jc w:val="both"/>
        <w:rPr>
          <w:rFonts w:eastAsia="Calibri" w:cs="Times New Roman"/>
          <w:noProof/>
        </w:rPr>
      </w:pPr>
      <w:r>
        <w:rPr>
          <w:noProof/>
        </w:rPr>
        <w:t xml:space="preserve">La FRR soutient une partie des coûts de cet investissement. Cet investissement peut également bénéficier d’un soutien au titre d’autres programmes ou instruments de l’Union pour des coûts qui ne sont pas soutenus par la FRR. </w:t>
      </w:r>
    </w:p>
    <w:p w14:paraId="63F4DE61" w14:textId="18EC46EE" w:rsidR="00FA40E8" w:rsidRDefault="00E74AE8">
      <w:pPr>
        <w:pStyle w:val="P68B1DB1-Normal6"/>
        <w:keepNext/>
        <w:keepLines/>
        <w:jc w:val="both"/>
        <w:rPr>
          <w:rFonts w:eastAsia="Calibri" w:cs="Times New Roman"/>
          <w:noProof/>
          <w:szCs w:val="24"/>
        </w:rPr>
      </w:pPr>
      <w:r>
        <w:rPr>
          <w:noProof/>
        </w:rPr>
        <w:t>B.1.4. Investisse</w:t>
      </w:r>
      <w:r>
        <w:rPr>
          <w:noProof/>
        </w:rPr>
        <w:t>ment 4: «Maintenir et accroître la capacité d’absorption des GES»</w:t>
      </w:r>
    </w:p>
    <w:p w14:paraId="4E100AF2" w14:textId="1D1782E8" w:rsidR="00FA40E8" w:rsidRDefault="00E74AE8">
      <w:pPr>
        <w:pStyle w:val="P68B1DB1-Normal4"/>
        <w:jc w:val="both"/>
        <w:rPr>
          <w:rFonts w:eastAsia="Calibri" w:cs="Times New Roman"/>
          <w:noProof/>
          <w:szCs w:val="24"/>
        </w:rPr>
      </w:pPr>
      <w:r>
        <w:rPr>
          <w:noProof/>
        </w:rPr>
        <w:t>L’objectif de cet investissement est de réduire les émissions de GES provenant des terres lituaniennes en créant des conditions favorables à la conservation de la biodiversité et en augmenta</w:t>
      </w:r>
      <w:r>
        <w:rPr>
          <w:noProof/>
        </w:rPr>
        <w:t>nt les absorptions de GES. L’investissement consiste en: (1) des modifications réglementaires visant à rendre opérationnel le cadre national pour l’identification des tourbières endommagées et à gérer ultérieurement les tourbières restaurées; et (2) l’acqu</w:t>
      </w:r>
      <w:r>
        <w:rPr>
          <w:noProof/>
        </w:rPr>
        <w:t xml:space="preserve">isition à des fins de conservation de zones forestières. </w:t>
      </w:r>
    </w:p>
    <w:p w14:paraId="6A614FFC" w14:textId="5A92C080" w:rsidR="00FA40E8" w:rsidRDefault="00E74AE8">
      <w:pPr>
        <w:pStyle w:val="P68B1DB1-Normal4"/>
        <w:jc w:val="both"/>
        <w:rPr>
          <w:noProof/>
          <w:szCs w:val="24"/>
        </w:rPr>
      </w:pPr>
      <w:r>
        <w:rPr>
          <w:noProof/>
        </w:rPr>
        <w:t>Dans le cadre de la première partie de cet investissement, des mesures visant à rétablir les niveaux d’eau, à rétablir de bonnes conditions agricoles et environnementales et à mettre en place un sys</w:t>
      </w:r>
      <w:r>
        <w:rPr>
          <w:noProof/>
        </w:rPr>
        <w:t>tème de surveillance si nécessaire sont conçues et mises en œuvre. Les acteurs concernés se voient proposer des conseils et une formation. Une fois l’investissement achevé, les demandeurs devraient honorer leurs engagements en cours pour le maintien des to</w:t>
      </w:r>
      <w:r>
        <w:rPr>
          <w:noProof/>
        </w:rPr>
        <w:t xml:space="preserve">urbières remises en eau en recevant des paiements compensatoires au cours de la nouvelle période de programmation au titre de la mesure prévue dans le plan stratégique lituanien pour l’agriculture et le développement rural 2023-2027 «Gestion extensive des </w:t>
      </w:r>
      <w:r>
        <w:rPr>
          <w:noProof/>
        </w:rPr>
        <w:t>zones humides». Dans les zones concernées, les activités économiques qui ne portent pas atteinte à la conservation de la zone humide restaurée peuvent être autorisées. Le choix d’une activité économique est effectué au cas par cas, en tenant compte des car</w:t>
      </w:r>
      <w:r>
        <w:rPr>
          <w:noProof/>
        </w:rPr>
        <w:t>actéristiques spécifiques de la zone et des contraintes environnementales en jeu.</w:t>
      </w:r>
    </w:p>
    <w:p w14:paraId="04AD7701" w14:textId="77777777" w:rsidR="00FA40E8" w:rsidRDefault="00E74AE8">
      <w:pPr>
        <w:pStyle w:val="P68B1DB1-Normal6"/>
        <w:keepNext/>
        <w:keepLines/>
        <w:jc w:val="both"/>
        <w:rPr>
          <w:rFonts w:cs="Times New Roman"/>
          <w:noProof/>
          <w:szCs w:val="24"/>
        </w:rPr>
      </w:pPr>
      <w:r>
        <w:rPr>
          <w:noProof/>
        </w:rPr>
        <w:t>B.1.5. Réforme 5: «Vers une économie circulaire»</w:t>
      </w:r>
    </w:p>
    <w:p w14:paraId="0DBB1238" w14:textId="32AAD84D" w:rsidR="00FA40E8" w:rsidRDefault="00E74AE8">
      <w:pPr>
        <w:pStyle w:val="P68B1DB1-Normal4"/>
        <w:jc w:val="both"/>
        <w:rPr>
          <w:rFonts w:cs="Times New Roman"/>
          <w:noProof/>
          <w:szCs w:val="24"/>
        </w:rPr>
      </w:pPr>
      <w:r>
        <w:rPr>
          <w:noProof/>
        </w:rPr>
        <w:t>L’objectif de la réforme est d’élaborer un modèle d’économie circulaire à part entière avec la participation de toutes les pa</w:t>
      </w:r>
      <w:r>
        <w:rPr>
          <w:noProof/>
        </w:rPr>
        <w:t>rties prenantes, en garantissant les principes de circularité et la prévention des déchets dans le secteur industriel, en augmentant la production et l’utilisation de matières premières secondaires, en augmentant l’efficacité des matériaux et des ressource</w:t>
      </w:r>
      <w:r>
        <w:rPr>
          <w:noProof/>
        </w:rPr>
        <w:t>s, en promouvant la conception durable et l’innovation verte, en garantissant la durabilité, la durabilité, la réparation et le renouvellement des produits. À la suite de la réforme, un plan d’action pour la transition de la Lituanie vers une économie circ</w:t>
      </w:r>
      <w:r>
        <w:rPr>
          <w:noProof/>
        </w:rPr>
        <w:t>ulaire d’ici à 2035 est approuvé par protocole gouvernemental. Le plan d’action met l’accent sur la prévention des déchets, le recyclage, la conception des produits et l’utilisation des matières premières secondaires, la numérisation, la promotion de l’inn</w:t>
      </w:r>
      <w:r>
        <w:rPr>
          <w:noProof/>
        </w:rPr>
        <w:t>ovation verte, ainsi que sur l’amélioration du cadre juridique et des mesures fiscales favorisant les avantages à long terme au lieu de solutions et de résultats à court terme pour un retour des ressources à la circularité. L’objectif est de garantir une a</w:t>
      </w:r>
      <w:r>
        <w:rPr>
          <w:noProof/>
        </w:rPr>
        <w:t>pproche institutionnelle systémique de l’économie circulaire et une coopération étroite entre les institutions concernées.</w:t>
      </w:r>
    </w:p>
    <w:p w14:paraId="5CB6B24D" w14:textId="77777777" w:rsidR="00FA40E8" w:rsidRDefault="00E74AE8">
      <w:pPr>
        <w:pStyle w:val="P68B1DB1-Normal4"/>
        <w:jc w:val="both"/>
        <w:rPr>
          <w:rFonts w:cs="Times New Roman"/>
          <w:noProof/>
          <w:szCs w:val="24"/>
        </w:rPr>
      </w:pPr>
      <w:r>
        <w:rPr>
          <w:noProof/>
        </w:rPr>
        <w:t>La réforme est achevée au plus tard le 31 mars 2023.</w:t>
      </w:r>
    </w:p>
    <w:p w14:paraId="5A8BF485" w14:textId="4F4AD603" w:rsidR="00FA40E8" w:rsidRDefault="00E74AE8">
      <w:pPr>
        <w:pStyle w:val="P68B1DB1-Normal17"/>
        <w:jc w:val="both"/>
        <w:rPr>
          <w:noProof/>
          <w:szCs w:val="24"/>
        </w:rPr>
      </w:pPr>
      <w:r>
        <w:rPr>
          <w:noProof/>
        </w:rPr>
        <w:t>B.1.6. Réforme 6: «Transparence des informations relatives au raccordement au ré</w:t>
      </w:r>
      <w:r>
        <w:rPr>
          <w:noProof/>
        </w:rPr>
        <w:t>seau électrique»</w:t>
      </w:r>
    </w:p>
    <w:p w14:paraId="05A755E2" w14:textId="44AE88A1" w:rsidR="00FA40E8" w:rsidRDefault="00E74AE8">
      <w:pPr>
        <w:pStyle w:val="P68B1DB1-Normal18"/>
        <w:jc w:val="both"/>
        <w:rPr>
          <w:noProof/>
          <w:szCs w:val="24"/>
        </w:rPr>
      </w:pPr>
      <w:r>
        <w:rPr>
          <w:noProof/>
        </w:rPr>
        <w:t xml:space="preserve">L’objectif de cette réforme est de fournir des informations publiques sur les possibilités de raccordement au réseau électrique. </w:t>
      </w:r>
    </w:p>
    <w:p w14:paraId="67E32A82" w14:textId="295891D9" w:rsidR="00FA40E8" w:rsidRDefault="00E74AE8">
      <w:pPr>
        <w:pStyle w:val="P68B1DB1-Normal19"/>
        <w:jc w:val="both"/>
        <w:rPr>
          <w:strike/>
          <w:noProof/>
          <w:color w:val="D13438"/>
        </w:rPr>
        <w:sectPr w:rsidR="00FA40E8" w:rsidSect="0074650A">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r>
        <w:rPr>
          <w:noProof/>
          <w:color w:val="000000" w:themeColor="text1"/>
        </w:rPr>
        <w:t>La réforme consiste en l’entrée en vigueur d’une l</w:t>
      </w:r>
      <w:r>
        <w:rPr>
          <w:noProof/>
          <w:color w:val="000000" w:themeColor="text1"/>
        </w:rPr>
        <w:t>égislation établissant l’obligation pour le gestionnaire de réseau de transport et le gestionnaire de réseau de distribution de publier des  informations prospectives sur la capacité du réseau.</w:t>
      </w:r>
    </w:p>
    <w:p w14:paraId="10E2A4B5" w14:textId="1ABE977C" w:rsidR="00FA40E8" w:rsidRDefault="00E74AE8">
      <w:pPr>
        <w:pStyle w:val="P68B1DB1-Text15"/>
        <w:keepNext/>
        <w:keepLines/>
        <w:spacing w:before="0" w:after="200" w:line="276" w:lineRule="auto"/>
        <w:ind w:left="0"/>
        <w:outlineLvl w:val="1"/>
        <w:rPr>
          <w:noProof/>
        </w:rPr>
      </w:pPr>
      <w:r>
        <w:rPr>
          <w:noProof/>
        </w:rPr>
        <w:t xml:space="preserve">B.2. Jalons, cibles, indicateurs et calendrier de suivi et de </w:t>
      </w:r>
      <w:r>
        <w:rPr>
          <w:noProof/>
        </w:rPr>
        <w:t>mise en œuvre du soutien financier non remboursable</w:t>
      </w:r>
    </w:p>
    <w:tbl>
      <w:tblPr>
        <w:tblpPr w:leftFromText="141" w:rightFromText="141" w:vertAnchor="text" w:tblpXSpec="center" w:tblpY="1"/>
        <w:tblOverlap w:val="never"/>
        <w:tblW w:w="15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885"/>
        <w:gridCol w:w="1384"/>
        <w:gridCol w:w="1165"/>
        <w:gridCol w:w="1845"/>
        <w:gridCol w:w="1541"/>
        <w:gridCol w:w="1050"/>
        <w:gridCol w:w="960"/>
        <w:gridCol w:w="1021"/>
        <w:gridCol w:w="992"/>
        <w:gridCol w:w="709"/>
        <w:gridCol w:w="3515"/>
      </w:tblGrid>
      <w:tr w:rsidR="00FA40E8" w14:paraId="2DFC1A9E" w14:textId="77777777">
        <w:trPr>
          <w:trHeight w:val="300"/>
          <w:tblHeader/>
          <w:jc w:val="center"/>
        </w:trPr>
        <w:tc>
          <w:tcPr>
            <w:tcW w:w="8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7F8AA895" w14:textId="2F43C12C" w:rsidR="00FA40E8" w:rsidRDefault="00E74AE8">
            <w:pPr>
              <w:pStyle w:val="P68B1DB1-Normal9"/>
              <w:spacing w:before="60" w:after="60"/>
              <w:jc w:val="center"/>
              <w:rPr>
                <w:rFonts w:cs="Times New Roman"/>
                <w:noProof/>
              </w:rPr>
            </w:pPr>
            <w:r>
              <w:rPr>
                <w:noProof/>
              </w:rPr>
              <w:t>Non.</w:t>
            </w:r>
          </w:p>
        </w:tc>
        <w:tc>
          <w:tcPr>
            <w:tcW w:w="138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7265C7" w14:textId="77777777" w:rsidR="00FA40E8" w:rsidRDefault="00E74AE8">
            <w:pPr>
              <w:pStyle w:val="P68B1DB1-Normal9"/>
              <w:spacing w:before="60" w:after="60"/>
              <w:jc w:val="center"/>
              <w:rPr>
                <w:rFonts w:eastAsia="Calibri" w:cs="Times New Roman"/>
                <w:noProof/>
              </w:rPr>
            </w:pPr>
            <w:r>
              <w:rPr>
                <w:noProof/>
              </w:rPr>
              <w:t>Mesure connexe (réforme ou investissement)</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C52EDFA" w14:textId="77777777" w:rsidR="00FA40E8" w:rsidRDefault="00E74AE8">
            <w:pPr>
              <w:pStyle w:val="P68B1DB1-Normal9"/>
              <w:spacing w:before="60" w:after="60"/>
              <w:jc w:val="center"/>
              <w:rPr>
                <w:rFonts w:cs="Times New Roman"/>
                <w:noProof/>
              </w:rPr>
            </w:pPr>
            <w:r>
              <w:rPr>
                <w:noProof/>
              </w:rPr>
              <w:t>Milestone/</w:t>
            </w:r>
          </w:p>
          <w:p w14:paraId="5DDFCAB4" w14:textId="5E9A9B27" w:rsidR="00FA40E8" w:rsidRDefault="00E74AE8">
            <w:pPr>
              <w:pStyle w:val="P68B1DB1-Normal9"/>
              <w:spacing w:before="60" w:after="60"/>
              <w:jc w:val="center"/>
              <w:rPr>
                <w:rFonts w:cs="Times New Roman"/>
                <w:noProof/>
              </w:rPr>
            </w:pPr>
            <w:r>
              <w:rPr>
                <w:noProof/>
              </w:rPr>
              <w:t>Objectif</w:t>
            </w:r>
          </w:p>
        </w:tc>
        <w:tc>
          <w:tcPr>
            <w:tcW w:w="184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7054B2" w14:textId="77777777" w:rsidR="00FA40E8" w:rsidRDefault="00E74AE8">
            <w:pPr>
              <w:pStyle w:val="P68B1DB1-Normal9"/>
              <w:spacing w:before="60" w:after="60"/>
              <w:jc w:val="center"/>
              <w:rPr>
                <w:rFonts w:eastAsia="Times New Roman" w:cs="Times New Roman"/>
                <w:noProof/>
              </w:rPr>
            </w:pPr>
            <w:r>
              <w:rPr>
                <w:noProof/>
              </w:rPr>
              <w:t>Titre</w:t>
            </w:r>
          </w:p>
        </w:tc>
        <w:tc>
          <w:tcPr>
            <w:tcW w:w="154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CB8B1B2" w14:textId="77777777" w:rsidR="00FA40E8" w:rsidRDefault="00E74AE8">
            <w:pPr>
              <w:pStyle w:val="P68B1DB1-Normal9"/>
              <w:spacing w:before="60" w:after="60"/>
              <w:jc w:val="center"/>
              <w:rPr>
                <w:rFonts w:eastAsia="Times New Roman" w:cs="Times New Roman"/>
                <w:noProof/>
              </w:rPr>
            </w:pPr>
            <w:r>
              <w:rPr>
                <w:noProof/>
              </w:rPr>
              <w:t>Indicateurs qualitatifs</w:t>
            </w:r>
          </w:p>
          <w:p w14:paraId="63C5A16D" w14:textId="485F2B8B" w:rsidR="00FA40E8" w:rsidRDefault="00E74AE8">
            <w:pPr>
              <w:pStyle w:val="P68B1DB1-Normal9"/>
              <w:spacing w:before="60" w:after="60"/>
              <w:jc w:val="center"/>
              <w:rPr>
                <w:rFonts w:eastAsia="Times New Roman" w:cs="Times New Roman"/>
                <w:noProof/>
              </w:rPr>
            </w:pPr>
            <w:r>
              <w:rPr>
                <w:noProof/>
              </w:rPr>
              <w:t>(pour les étapes)</w:t>
            </w:r>
          </w:p>
        </w:tc>
        <w:tc>
          <w:tcPr>
            <w:tcW w:w="3031"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FCEB2A8" w14:textId="77777777"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7A8ABA1" w14:textId="77777777" w:rsidR="00FA40E8" w:rsidRDefault="00E74AE8">
            <w:pPr>
              <w:pStyle w:val="P68B1DB1-Normal9"/>
              <w:spacing w:before="60" w:after="60"/>
              <w:jc w:val="center"/>
              <w:rPr>
                <w:rFonts w:cs="Times New Roman"/>
                <w:noProof/>
              </w:rPr>
            </w:pPr>
            <w:r>
              <w:rPr>
                <w:noProof/>
              </w:rPr>
              <w:t>Calendrier indicatif d’achèvement</w:t>
            </w:r>
          </w:p>
        </w:tc>
        <w:tc>
          <w:tcPr>
            <w:tcW w:w="351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CCCF5BD" w14:textId="77777777" w:rsidR="00FA40E8" w:rsidRDefault="00E74AE8">
            <w:pPr>
              <w:pStyle w:val="P68B1DB1-Normal9"/>
              <w:spacing w:before="60" w:after="60"/>
              <w:jc w:val="center"/>
              <w:rPr>
                <w:rFonts w:eastAsia="Times New Roman" w:cs="Times New Roman"/>
                <w:noProof/>
              </w:rPr>
            </w:pPr>
            <w:r>
              <w:rPr>
                <w:noProof/>
              </w:rPr>
              <w:t>Descrip</w:t>
            </w:r>
            <w:r>
              <w:rPr>
                <w:noProof/>
              </w:rPr>
              <w:t>tion et définition claire de chaque jalon et cible</w:t>
            </w:r>
          </w:p>
        </w:tc>
      </w:tr>
      <w:tr w:rsidR="00FA40E8" w14:paraId="73B0E28C" w14:textId="77777777">
        <w:trPr>
          <w:trHeight w:val="300"/>
          <w:tblHeader/>
          <w:jc w:val="center"/>
        </w:trPr>
        <w:tc>
          <w:tcPr>
            <w:tcW w:w="885" w:type="dxa"/>
            <w:vMerge/>
            <w:tcBorders>
              <w:top w:val="single" w:sz="4" w:space="0" w:color="auto"/>
              <w:left w:val="single" w:sz="4" w:space="0" w:color="auto"/>
              <w:bottom w:val="single" w:sz="4" w:space="0" w:color="auto"/>
              <w:right w:val="single" w:sz="4" w:space="0" w:color="auto"/>
            </w:tcBorders>
            <w:noWrap/>
          </w:tcPr>
          <w:p w14:paraId="3B95F9C3" w14:textId="77777777" w:rsidR="00FA40E8" w:rsidRDefault="00FA40E8">
            <w:pPr>
              <w:spacing w:before="60" w:after="60"/>
              <w:jc w:val="center"/>
              <w:rPr>
                <w:rFonts w:ascii="Times New Roman" w:hAnsi="Times New Roman" w:cs="Times New Roman"/>
                <w:noProof/>
                <w:sz w:val="20"/>
              </w:rPr>
            </w:pPr>
          </w:p>
        </w:tc>
        <w:tc>
          <w:tcPr>
            <w:tcW w:w="1384" w:type="dxa"/>
            <w:vMerge/>
            <w:tcBorders>
              <w:top w:val="single" w:sz="4" w:space="0" w:color="auto"/>
              <w:left w:val="single" w:sz="4" w:space="0" w:color="auto"/>
              <w:bottom w:val="single" w:sz="4" w:space="0" w:color="auto"/>
              <w:right w:val="single" w:sz="4" w:space="0" w:color="auto"/>
            </w:tcBorders>
          </w:tcPr>
          <w:p w14:paraId="039B89EE" w14:textId="77777777" w:rsidR="00FA40E8" w:rsidRDefault="00FA40E8">
            <w:pPr>
              <w:spacing w:before="60" w:after="60"/>
              <w:rPr>
                <w:rFonts w:ascii="Times New Roman" w:eastAsia="Calibri" w:hAnsi="Times New Roman" w:cs="Times New Roman"/>
                <w:noProof/>
                <w:sz w:val="20"/>
              </w:rPr>
            </w:pPr>
          </w:p>
        </w:tc>
        <w:tc>
          <w:tcPr>
            <w:tcW w:w="1165" w:type="dxa"/>
            <w:vMerge/>
            <w:tcBorders>
              <w:top w:val="single" w:sz="4" w:space="0" w:color="auto"/>
              <w:left w:val="single" w:sz="4" w:space="0" w:color="auto"/>
              <w:bottom w:val="single" w:sz="4" w:space="0" w:color="auto"/>
              <w:right w:val="single" w:sz="4" w:space="0" w:color="auto"/>
            </w:tcBorders>
            <w:noWrap/>
          </w:tcPr>
          <w:p w14:paraId="01072C02" w14:textId="77777777" w:rsidR="00FA40E8" w:rsidRDefault="00FA40E8">
            <w:pPr>
              <w:spacing w:before="60" w:after="60"/>
              <w:jc w:val="center"/>
              <w:rPr>
                <w:rFonts w:ascii="Times New Roman" w:hAnsi="Times New Roman" w:cs="Times New Roman"/>
                <w:noProof/>
                <w:sz w:val="20"/>
              </w:rPr>
            </w:pPr>
          </w:p>
        </w:tc>
        <w:tc>
          <w:tcPr>
            <w:tcW w:w="1845" w:type="dxa"/>
            <w:vMerge/>
            <w:tcBorders>
              <w:top w:val="single" w:sz="4" w:space="0" w:color="auto"/>
              <w:left w:val="single" w:sz="4" w:space="0" w:color="auto"/>
              <w:bottom w:val="single" w:sz="4" w:space="0" w:color="auto"/>
              <w:right w:val="single" w:sz="4" w:space="0" w:color="auto"/>
            </w:tcBorders>
          </w:tcPr>
          <w:p w14:paraId="0B2FF337" w14:textId="77777777" w:rsidR="00FA40E8" w:rsidRDefault="00FA40E8">
            <w:pPr>
              <w:spacing w:before="60" w:after="60"/>
              <w:rPr>
                <w:rFonts w:ascii="Times New Roman" w:hAnsi="Times New Roman" w:cs="Times New Roman"/>
                <w:noProof/>
                <w:sz w:val="20"/>
              </w:rPr>
            </w:pPr>
          </w:p>
        </w:tc>
        <w:tc>
          <w:tcPr>
            <w:tcW w:w="1541" w:type="dxa"/>
            <w:vMerge/>
            <w:tcBorders>
              <w:top w:val="single" w:sz="4" w:space="0" w:color="auto"/>
              <w:left w:val="single" w:sz="4" w:space="0" w:color="auto"/>
              <w:bottom w:val="single" w:sz="4" w:space="0" w:color="auto"/>
              <w:right w:val="single" w:sz="4" w:space="0" w:color="auto"/>
            </w:tcBorders>
          </w:tcPr>
          <w:p w14:paraId="49923815" w14:textId="77777777" w:rsidR="00FA40E8" w:rsidRDefault="00FA40E8">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097E5E54" w14:textId="77777777" w:rsidR="00FA40E8" w:rsidRDefault="00E74AE8">
            <w:pPr>
              <w:pStyle w:val="P68B1DB1-Normal9"/>
              <w:spacing w:before="60" w:after="60"/>
              <w:jc w:val="center"/>
              <w:rPr>
                <w:rFonts w:cs="Times New Roman"/>
                <w:noProof/>
              </w:rPr>
            </w:pPr>
            <w:r>
              <w:rPr>
                <w:noProof/>
              </w:rPr>
              <w:t>Unité</w:t>
            </w:r>
          </w:p>
        </w:tc>
        <w:tc>
          <w:tcPr>
            <w:tcW w:w="96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FF56C78" w14:textId="77777777" w:rsidR="00FA40E8" w:rsidRDefault="00E74AE8">
            <w:pPr>
              <w:pStyle w:val="P68B1DB1-Normal9"/>
              <w:spacing w:before="60" w:after="60"/>
              <w:jc w:val="center"/>
              <w:rPr>
                <w:rFonts w:cs="Times New Roman"/>
                <w:noProof/>
              </w:rPr>
            </w:pPr>
            <w:r>
              <w:rPr>
                <w:noProof/>
              </w:rPr>
              <w:t>Niveau de référence</w:t>
            </w:r>
          </w:p>
        </w:tc>
        <w:tc>
          <w:tcPr>
            <w:tcW w:w="102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4F1B07" w14:textId="77777777" w:rsidR="00FA40E8" w:rsidRDefault="00E74AE8">
            <w:pPr>
              <w:pStyle w:val="P68B1DB1-Normal9"/>
              <w:spacing w:before="60" w:after="60"/>
              <w:jc w:val="center"/>
              <w:rPr>
                <w:rFonts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16CC9072" w14:textId="77777777" w:rsidR="00FA40E8" w:rsidRDefault="00E74AE8">
            <w:pPr>
              <w:pStyle w:val="P68B1DB1-Normal9"/>
              <w:spacing w:before="60" w:after="60"/>
              <w:jc w:val="center"/>
              <w:rPr>
                <w:rFonts w:cs="Times New Roman"/>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0CE2208" w14:textId="77777777" w:rsidR="00FA40E8" w:rsidRDefault="00E74AE8">
            <w:pPr>
              <w:pStyle w:val="P68B1DB1-Normal9"/>
              <w:spacing w:before="60" w:after="60"/>
              <w:jc w:val="center"/>
              <w:rPr>
                <w:rFonts w:cs="Times New Roman"/>
                <w:noProof/>
              </w:rPr>
            </w:pPr>
            <w:r>
              <w:rPr>
                <w:noProof/>
              </w:rPr>
              <w:t>Année</w:t>
            </w:r>
          </w:p>
        </w:tc>
        <w:tc>
          <w:tcPr>
            <w:tcW w:w="3515" w:type="dxa"/>
            <w:vMerge/>
            <w:tcBorders>
              <w:top w:val="single" w:sz="4" w:space="0" w:color="auto"/>
              <w:left w:val="single" w:sz="4" w:space="0" w:color="auto"/>
              <w:bottom w:val="single" w:sz="4" w:space="0" w:color="auto"/>
              <w:right w:val="single" w:sz="4" w:space="0" w:color="auto"/>
            </w:tcBorders>
          </w:tcPr>
          <w:p w14:paraId="3EFC64B9" w14:textId="77777777" w:rsidR="00FA40E8" w:rsidRDefault="00FA40E8">
            <w:pPr>
              <w:spacing w:before="60" w:after="60"/>
              <w:rPr>
                <w:rFonts w:ascii="Times New Roman" w:hAnsi="Times New Roman" w:cs="Times New Roman"/>
                <w:b/>
                <w:noProof/>
                <w:sz w:val="20"/>
              </w:rPr>
            </w:pPr>
          </w:p>
        </w:tc>
      </w:tr>
      <w:tr w:rsidR="00FA40E8" w14:paraId="04EDDC06"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F010CA" w14:textId="57CD12FB" w:rsidR="00FA40E8" w:rsidRDefault="00E74AE8">
            <w:pPr>
              <w:pStyle w:val="P68B1DB1-Normal13"/>
              <w:spacing w:before="60" w:after="60"/>
              <w:jc w:val="center"/>
              <w:rPr>
                <w:noProof/>
              </w:rPr>
            </w:pPr>
            <w:r>
              <w:rPr>
                <w:noProof/>
              </w:rPr>
              <w:t>21</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C10002" w14:textId="715E02BE" w:rsidR="00FA40E8" w:rsidRDefault="00E74AE8">
            <w:pPr>
              <w:pStyle w:val="P68B1DB1-Normal13"/>
              <w:spacing w:before="60" w:after="60"/>
              <w:rPr>
                <w:rFonts w:eastAsia="Calibri"/>
                <w:noProof/>
              </w:rPr>
            </w:pPr>
            <w:r>
              <w:rPr>
                <w:noProof/>
              </w:rPr>
              <w:t>B.1.1 Production d’électricité plus durable dans le pays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2A126A" w14:textId="3E9C31E1" w:rsidR="00FA40E8" w:rsidRDefault="00E74AE8">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111D24" w14:textId="09324C26" w:rsidR="00FA40E8" w:rsidRDefault="00E74AE8">
            <w:pPr>
              <w:pStyle w:val="P68B1DB1-Normal13"/>
              <w:spacing w:before="60" w:after="60"/>
              <w:rPr>
                <w:noProof/>
              </w:rPr>
            </w:pPr>
            <w:r>
              <w:rPr>
                <w:noProof/>
              </w:rPr>
              <w:t xml:space="preserve">Entrée en vigueur de la législation visant à améliorer les mécanismes </w:t>
            </w:r>
            <w:r>
              <w:rPr>
                <w:noProof/>
              </w:rPr>
              <w:t>institutionnels et juridiques visant à promouvoir la production, le transport et la consommation d’électricité produite à partir de sources renouvelables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79D23" w14:textId="3AF651F9" w:rsidR="00FA40E8" w:rsidRDefault="00E74AE8">
            <w:pPr>
              <w:pStyle w:val="P68B1DB1-Normal13"/>
              <w:spacing w:before="60" w:after="60"/>
              <w:rPr>
                <w:noProof/>
              </w:rPr>
            </w:pPr>
            <w:r>
              <w:rPr>
                <w:noProof/>
              </w:rPr>
              <w:t>Disposition de la loi indiquant l’entrée en vigueur</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73FDE4" w14:textId="04721CC2"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DFD3D1" w14:textId="4B89DEB4" w:rsidR="00FA40E8" w:rsidRDefault="00FA40E8">
            <w:pPr>
              <w:spacing w:before="60" w:after="60"/>
              <w:jc w:val="center"/>
              <w:rPr>
                <w:rFonts w:ascii="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CDD769" w14:textId="1AB44D3D"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CDBE52" w14:textId="1203E5FF" w:rsidR="00FA40E8" w:rsidRDefault="00E74AE8">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0B2E47" w14:textId="3A9B2108" w:rsidR="00FA40E8" w:rsidRDefault="00E74AE8">
            <w:pPr>
              <w:pStyle w:val="P68B1DB1-Normal13"/>
              <w:spacing w:before="60" w:after="60"/>
              <w:jc w:val="center"/>
              <w:rPr>
                <w:noProof/>
              </w:rPr>
            </w:pPr>
            <w:r>
              <w:rPr>
                <w:noProof/>
              </w:rPr>
              <w:t>2021</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EFD817" w14:textId="3951A769" w:rsidR="00FA40E8" w:rsidRDefault="00E74AE8">
            <w:pPr>
              <w:pStyle w:val="P68B1DB1-Normal13"/>
              <w:spacing w:before="60" w:after="60"/>
              <w:textAlignment w:val="baseline"/>
              <w:rPr>
                <w:rFonts w:cs="Segoe UI"/>
                <w:noProof/>
              </w:rPr>
            </w:pPr>
            <w:r>
              <w:rPr>
                <w:noProof/>
              </w:rPr>
              <w:t>Entrée en vigueur des modifications con</w:t>
            </w:r>
            <w:r>
              <w:rPr>
                <w:noProof/>
              </w:rPr>
              <w:t>cernant la loi sur l’énergie produite à partir de sources renouvelables, la loi sur l’électricité et la loi sur l’énergie (en mer et sur terre).</w:t>
            </w:r>
          </w:p>
          <w:p w14:paraId="7241ADA3" w14:textId="2784261C" w:rsidR="00FA40E8" w:rsidRDefault="00E74AE8">
            <w:pPr>
              <w:pStyle w:val="P68B1DB1-Normal13"/>
              <w:spacing w:before="60" w:after="60"/>
              <w:jc w:val="both"/>
              <w:textAlignment w:val="baseline"/>
              <w:rPr>
                <w:rFonts w:cs="Segoe UI"/>
                <w:noProof/>
              </w:rPr>
            </w:pPr>
            <w:r>
              <w:rPr>
                <w:noProof/>
              </w:rPr>
              <w:t>Ces actes juridiques prévoient que l’institution publique, l’Agence lituanienne de l’énergie, consulte et fourn</w:t>
            </w:r>
            <w:r>
              <w:rPr>
                <w:noProof/>
              </w:rPr>
              <w:t>it une assistance méthodologique sur les questions liées aux activités dans le secteur de l’électricité, ce qui faciliterait les procédures pour les demandeurs et garantirait que les informations sont fournies en temps utile. En outre, ces actes:</w:t>
            </w:r>
          </w:p>
          <w:p w14:paraId="58BF3DD3" w14:textId="70F5F60F" w:rsidR="00FA40E8" w:rsidRDefault="00E74AE8">
            <w:pPr>
              <w:pStyle w:val="P68B1DB1-Normal13"/>
              <w:spacing w:before="60" w:after="60"/>
              <w:jc w:val="both"/>
              <w:textAlignment w:val="baseline"/>
              <w:rPr>
                <w:rFonts w:cs="Segoe UI"/>
                <w:noProof/>
              </w:rPr>
            </w:pPr>
            <w:r>
              <w:rPr>
                <w:noProof/>
              </w:rPr>
              <w:t>— régleme</w:t>
            </w:r>
            <w:r>
              <w:rPr>
                <w:noProof/>
              </w:rPr>
              <w:t>nter les conditions dans lesquelles les gagnants des enchères peuvent vendre de l’électricité dans le cadre d’accords bilatéraux, car cela apporterait davantage de clarté aux investisseurs sur la manière d’opérer sur le marché;</w:t>
            </w:r>
          </w:p>
          <w:p w14:paraId="3BB3BF17" w14:textId="69C6E364" w:rsidR="00FA40E8" w:rsidRDefault="00E74AE8">
            <w:pPr>
              <w:pStyle w:val="P68B1DB1-Normal13"/>
              <w:spacing w:before="60" w:after="60"/>
              <w:jc w:val="both"/>
              <w:textAlignment w:val="baseline"/>
              <w:rPr>
                <w:rFonts w:cs="Segoe UI"/>
                <w:noProof/>
              </w:rPr>
            </w:pPr>
            <w:r>
              <w:rPr>
                <w:noProof/>
              </w:rPr>
              <w:t>— fixer des objectifs à long</w:t>
            </w:r>
            <w:r>
              <w:rPr>
                <w:noProof/>
              </w:rPr>
              <w:t xml:space="preserve"> terme en matière d’énergies renouvelables pour tous les secteurs, c’est-à-dire fixer des objectifs nationaux à long terme au niveau législatif et créer une sécurité pour les investisseurs en ce qui concerne le développement des énergies renouvelables;</w:t>
            </w:r>
          </w:p>
          <w:p w14:paraId="45A92499" w14:textId="0E0E6838" w:rsidR="00FA40E8" w:rsidRDefault="00E74AE8">
            <w:pPr>
              <w:pStyle w:val="P68B1DB1-Normal13"/>
              <w:spacing w:before="60" w:after="60"/>
              <w:jc w:val="both"/>
              <w:rPr>
                <w:noProof/>
              </w:rPr>
            </w:pPr>
            <w:r>
              <w:rPr>
                <w:noProof/>
              </w:rPr>
              <w:t>— é</w:t>
            </w:r>
            <w:r>
              <w:rPr>
                <w:noProof/>
              </w:rPr>
              <w:t>tablir un nouveau type de permis — un permis pour moderniser (reconstruire) une centrale électrique ou une installation de production d’électricité, comme le prévoit la directive (UE) 2018/2001 du Parlement européen et du Conseil relative à la promotion de</w:t>
            </w:r>
            <w:r>
              <w:rPr>
                <w:noProof/>
              </w:rPr>
              <w:t xml:space="preserve"> l’utilisation de l’énergie produite à partir de sources renouvelables.</w:t>
            </w:r>
          </w:p>
        </w:tc>
      </w:tr>
      <w:tr w:rsidR="00FA40E8" w14:paraId="67912DFE"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1E8EDF" w14:textId="59C0ED9B" w:rsidR="00FA40E8" w:rsidRDefault="00E74AE8">
            <w:pPr>
              <w:pStyle w:val="P68B1DB1-Normal13"/>
              <w:spacing w:before="60" w:after="60"/>
              <w:jc w:val="center"/>
              <w:rPr>
                <w:noProof/>
              </w:rPr>
            </w:pPr>
            <w:r>
              <w:rPr>
                <w:noProof/>
              </w:rPr>
              <w:t>22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5BDFCD" w14:textId="16E06669" w:rsidR="00FA40E8" w:rsidRDefault="00E74AE8">
            <w:pPr>
              <w:pStyle w:val="P68B1DB1-Normal13"/>
              <w:spacing w:before="60" w:after="60"/>
              <w:rPr>
                <w:noProof/>
              </w:rPr>
            </w:pPr>
            <w:r>
              <w:rPr>
                <w:noProof/>
              </w:rPr>
              <w:t>B. 1.1 Production d’électricité plus durable dans le pays — B.1.1.1 Travaux préparatoires pour les centrales éoliennes en mer et les infrastructures connexes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A56655" w14:textId="76BD5002" w:rsidR="00FA40E8" w:rsidRDefault="00E74AE8">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53A0D2" w14:textId="284EC702" w:rsidR="00FA40E8" w:rsidRDefault="00E74AE8">
            <w:pPr>
              <w:pStyle w:val="P68B1DB1-Normal13"/>
              <w:spacing w:before="60" w:after="60"/>
              <w:rPr>
                <w:noProof/>
              </w:rPr>
            </w:pPr>
            <w:r>
              <w:rPr>
                <w:noProof/>
              </w:rPr>
              <w:t xml:space="preserve">Réalisation des </w:t>
            </w:r>
            <w:r>
              <w:rPr>
                <w:noProof/>
              </w:rPr>
              <w:t>travaux préparatoires pour les centrales éoliennes en mer et les infrastructures connexes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4D7F3D" w14:textId="6CB4C4D1" w:rsidR="00FA40E8" w:rsidRDefault="00E74AE8">
            <w:pPr>
              <w:pStyle w:val="P68B1DB1-Normal13"/>
              <w:spacing w:before="60" w:after="60"/>
              <w:rPr>
                <w:noProof/>
              </w:rPr>
            </w:pPr>
            <w:r>
              <w:rPr>
                <w:noProof/>
              </w:rPr>
              <w:t>Enquêtes, mesures et études réalisées ou réalisées</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173707" w14:textId="285F0B60"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A6E8BB" w14:textId="10521D10" w:rsidR="00FA40E8" w:rsidRDefault="00FA40E8">
            <w:pPr>
              <w:spacing w:before="60" w:after="60"/>
              <w:jc w:val="center"/>
              <w:rPr>
                <w:rFonts w:ascii="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3AF199" w14:textId="4153D53C"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53661B" w14:textId="6C166114" w:rsidR="00FA40E8" w:rsidRDefault="00E74AE8">
            <w:pPr>
              <w:pStyle w:val="P68B1DB1-Normal13"/>
              <w:spacing w:before="60" w:after="60"/>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80FD63" w14:textId="31971C53"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2334CB" w14:textId="6DEF8441" w:rsidR="00FA40E8" w:rsidRDefault="00E74AE8">
            <w:pPr>
              <w:pStyle w:val="P68B1DB1-Normal13"/>
              <w:spacing w:before="60" w:after="60"/>
              <w:jc w:val="both"/>
              <w:textAlignment w:val="baseline"/>
              <w:rPr>
                <w:rFonts w:cs="Segoe UI"/>
                <w:noProof/>
              </w:rPr>
            </w:pPr>
            <w:r>
              <w:rPr>
                <w:noProof/>
              </w:rPr>
              <w:t>Sont à exécuter ou à livrer:</w:t>
            </w:r>
          </w:p>
          <w:p w14:paraId="32ACFBBB" w14:textId="7BA218DB" w:rsidR="00FA40E8" w:rsidRDefault="00E74AE8">
            <w:pPr>
              <w:pStyle w:val="P68B1DB1-Normal13"/>
              <w:spacing w:before="60" w:after="60"/>
              <w:jc w:val="both"/>
              <w:textAlignment w:val="baseline"/>
              <w:rPr>
                <w:rFonts w:cs="Segoe UI"/>
                <w:noProof/>
              </w:rPr>
            </w:pPr>
            <w:r>
              <w:rPr>
                <w:noProof/>
              </w:rPr>
              <w:t>1) une étude portant sur: solutions techniques, valeur de l’installation de</w:t>
            </w:r>
            <w:r>
              <w:rPr>
                <w:noProof/>
              </w:rPr>
              <w:t xml:space="preserve"> l’infrastructure, analyse coûts-avantages.</w:t>
            </w:r>
          </w:p>
          <w:p w14:paraId="31420050" w14:textId="6F4A5EB8" w:rsidR="00FA40E8" w:rsidRDefault="00E74AE8">
            <w:pPr>
              <w:pStyle w:val="P68B1DB1-Normal13"/>
              <w:spacing w:before="60" w:after="60"/>
              <w:jc w:val="both"/>
              <w:textAlignment w:val="baseline"/>
              <w:rPr>
                <w:rFonts w:cs="Segoe UI"/>
                <w:noProof/>
              </w:rPr>
            </w:pPr>
            <w:r>
              <w:rPr>
                <w:noProof/>
              </w:rPr>
              <w:t>2) l’identification des emplacements possibles pour le raccordement des parcs éoliens en mer au réseau terrestre.</w:t>
            </w:r>
          </w:p>
          <w:p w14:paraId="4C12CC90" w14:textId="654322E6" w:rsidR="00FA40E8" w:rsidRDefault="00E74AE8">
            <w:pPr>
              <w:pStyle w:val="P68B1DB1-Normal13"/>
              <w:spacing w:before="60" w:after="60"/>
              <w:jc w:val="both"/>
              <w:textAlignment w:val="baseline"/>
              <w:rPr>
                <w:rFonts w:cs="Segoe UI"/>
                <w:noProof/>
              </w:rPr>
            </w:pPr>
            <w:r>
              <w:rPr>
                <w:noProof/>
              </w:rPr>
              <w:t>3) mesure de la vitesse du vent.</w:t>
            </w:r>
          </w:p>
          <w:p w14:paraId="083E7F71" w14:textId="28C166BE" w:rsidR="00FA40E8" w:rsidRDefault="00E74AE8">
            <w:pPr>
              <w:pStyle w:val="P68B1DB1-Normal13"/>
              <w:spacing w:before="60" w:after="60"/>
              <w:jc w:val="both"/>
              <w:textAlignment w:val="baseline"/>
              <w:rPr>
                <w:rFonts w:cs="Segoe UI"/>
                <w:noProof/>
              </w:rPr>
            </w:pPr>
            <w:r>
              <w:rPr>
                <w:noProof/>
              </w:rPr>
              <w:t>4) étude des fonds marins du territoire en vue d’un éventuel déve</w:t>
            </w:r>
            <w:r>
              <w:rPr>
                <w:noProof/>
              </w:rPr>
              <w:t>loppement d’un parc éolien en mer.</w:t>
            </w:r>
          </w:p>
          <w:p w14:paraId="60ABBE55" w14:textId="69EFE7E7" w:rsidR="00FA40E8" w:rsidRDefault="00E74AE8">
            <w:pPr>
              <w:pStyle w:val="P68B1DB1-Normal13"/>
              <w:spacing w:before="60" w:after="60"/>
              <w:jc w:val="both"/>
              <w:textAlignment w:val="baseline"/>
              <w:rPr>
                <w:rFonts w:cs="Segoe UI"/>
                <w:noProof/>
              </w:rPr>
            </w:pPr>
            <w:r>
              <w:rPr>
                <w:noProof/>
              </w:rPr>
              <w:t>5) études des fonds marins pour la connexion entre le parc éolien en mer et le sol.</w:t>
            </w:r>
          </w:p>
          <w:p w14:paraId="35D8995E" w14:textId="016CB4A5" w:rsidR="00FA40E8" w:rsidRDefault="00E74AE8">
            <w:pPr>
              <w:pStyle w:val="P68B1DB1-Normal13"/>
              <w:spacing w:before="60" w:after="60"/>
              <w:jc w:val="both"/>
              <w:textAlignment w:val="baseline"/>
              <w:rPr>
                <w:rFonts w:cs="Segoe UI"/>
                <w:noProof/>
              </w:rPr>
            </w:pPr>
            <w:r>
              <w:rPr>
                <w:noProof/>
              </w:rPr>
              <w:t>6) document d’aménagement du territoire pour le raccordement des parcs éoliens en mer au réseau terrestre.</w:t>
            </w:r>
          </w:p>
          <w:p w14:paraId="0985A82B" w14:textId="75C85A09" w:rsidR="00FA40E8" w:rsidRDefault="00E74AE8">
            <w:pPr>
              <w:pStyle w:val="P68B1DB1-Normal13"/>
              <w:spacing w:before="60" w:after="60"/>
              <w:jc w:val="both"/>
              <w:textAlignment w:val="baseline"/>
              <w:rPr>
                <w:noProof/>
              </w:rPr>
            </w:pPr>
            <w:r>
              <w:rPr>
                <w:noProof/>
              </w:rPr>
              <w:t>7) spécifications techniques p</w:t>
            </w:r>
            <w:r>
              <w:rPr>
                <w:noProof/>
              </w:rPr>
              <w:t>our le raccordement du parc éolien en mer au réseau terrestre.</w:t>
            </w:r>
          </w:p>
        </w:tc>
      </w:tr>
      <w:tr w:rsidR="00FA40E8" w14:paraId="2EAADBA4"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AA9D86" w14:textId="73383B4A" w:rsidR="00FA40E8" w:rsidRDefault="00E74AE8">
            <w:pPr>
              <w:pStyle w:val="P68B1DB1-Normal13"/>
              <w:spacing w:before="60" w:after="60"/>
              <w:jc w:val="center"/>
              <w:rPr>
                <w:noProof/>
              </w:rPr>
            </w:pPr>
            <w:r>
              <w:rPr>
                <w:noProof/>
              </w:rPr>
              <w:t>26</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6A07C7" w14:textId="6082D871" w:rsidR="00FA40E8" w:rsidRDefault="00E74AE8">
            <w:pPr>
              <w:pStyle w:val="P68B1DB1-Normal13"/>
              <w:spacing w:before="60" w:after="60"/>
              <w:rPr>
                <w:noProof/>
              </w:rPr>
            </w:pPr>
            <w:r>
              <w:rPr>
                <w:noProof/>
              </w:rPr>
              <w:t>B.1.1 Production d’électricité plus durable dans le pays — B.1.1.2</w:t>
            </w:r>
            <w:r>
              <w:rPr>
                <w:noProof/>
                <w:u w:val="single"/>
              </w:rPr>
              <w:t xml:space="preserve"> </w:t>
            </w:r>
            <w:r>
              <w:rPr>
                <w:noProof/>
              </w:rPr>
              <w:t>Soutien à la construction d’installations de stockage individuelles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B93EEC" w14:textId="0188FE70"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FD794" w14:textId="46AE5187" w:rsidR="00FA40E8" w:rsidRDefault="00E74AE8">
            <w:pPr>
              <w:pStyle w:val="P68B1DB1-Normal13"/>
              <w:spacing w:before="60" w:after="60"/>
              <w:rPr>
                <w:noProof/>
              </w:rPr>
            </w:pPr>
            <w:r>
              <w:rPr>
                <w:noProof/>
              </w:rPr>
              <w:t xml:space="preserve">Capacité de stockage d’énergie individuelle </w:t>
            </w:r>
            <w:r>
              <w:rPr>
                <w:noProof/>
              </w:rPr>
              <w:t>installée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EDF55A" w14:textId="5B6E33D4" w:rsidR="00FA40E8" w:rsidRDefault="00FA40E8">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EA3419" w14:textId="2DC72F5F" w:rsidR="00FA40E8" w:rsidRDefault="00E74AE8">
            <w:pPr>
              <w:pStyle w:val="P68B1DB1-Normal13"/>
              <w:spacing w:before="60" w:after="60"/>
              <w:jc w:val="center"/>
              <w:rPr>
                <w:noProof/>
              </w:rPr>
            </w:pPr>
            <w:r>
              <w:rPr>
                <w:noProof/>
              </w:rPr>
              <w:t>MWh</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DD519D" w14:textId="7B587223"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90C629" w14:textId="406C92BF" w:rsidR="00FA40E8" w:rsidRDefault="00E74AE8">
            <w:pPr>
              <w:pStyle w:val="P68B1DB1-Normal13"/>
              <w:spacing w:before="60" w:after="60"/>
              <w:jc w:val="center"/>
              <w:rPr>
                <w:noProof/>
              </w:rPr>
            </w:pPr>
            <w:r>
              <w:rPr>
                <w:noProof/>
              </w:rPr>
              <w:t>157.2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0EC95F" w14:textId="6B00DAA0"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4FF702" w14:textId="1AD02B5B"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3FC17" w14:textId="511955FB" w:rsidR="00FA40E8" w:rsidRDefault="00E74AE8">
            <w:pPr>
              <w:pStyle w:val="P68B1DB1-Normal13"/>
              <w:spacing w:before="60" w:after="60"/>
              <w:jc w:val="both"/>
              <w:textAlignment w:val="baseline"/>
              <w:rPr>
                <w:noProof/>
              </w:rPr>
            </w:pPr>
            <w:r>
              <w:rPr>
                <w:noProof/>
              </w:rPr>
              <w:t>Des certificats de réception des installations et des certificats de raccordement au réseau électrique des installations ont été délivrés pour 157,2 MWh de capacité individuelle de stockage d’énergie.</w:t>
            </w:r>
          </w:p>
        </w:tc>
      </w:tr>
      <w:tr w:rsidR="00FA40E8" w14:paraId="298447B5"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E263DE" w14:textId="29C87A63" w:rsidR="00FA40E8" w:rsidRDefault="00E74AE8">
            <w:pPr>
              <w:pStyle w:val="P68B1DB1-Normal13"/>
              <w:spacing w:before="60" w:after="60"/>
              <w:jc w:val="center"/>
              <w:rPr>
                <w:noProof/>
              </w:rPr>
            </w:pPr>
            <w:r>
              <w:rPr>
                <w:noProof/>
              </w:rPr>
              <w:t>27</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1E0BD3" w14:textId="0B0BFBE3" w:rsidR="00FA40E8" w:rsidRDefault="00E74AE8">
            <w:pPr>
              <w:pStyle w:val="P68B1DB1-Normal13"/>
              <w:spacing w:before="60" w:after="60"/>
              <w:rPr>
                <w:noProof/>
              </w:rPr>
            </w:pPr>
            <w:r>
              <w:rPr>
                <w:noProof/>
              </w:rPr>
              <w:t xml:space="preserve">B.1.1 Production </w:t>
            </w:r>
            <w:r>
              <w:rPr>
                <w:noProof/>
              </w:rPr>
              <w:t>d’électricité plus durable dans le pays — B.1.1.3 Installation d’autres infrastructures de stockage de l’électricité</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B85EC4" w14:textId="65CAF7B9"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185921" w14:textId="368E6041" w:rsidR="00FA40E8" w:rsidRDefault="00E74AE8">
            <w:pPr>
              <w:pStyle w:val="P68B1DB1-Normal13"/>
              <w:spacing w:before="60" w:after="60"/>
              <w:rPr>
                <w:noProof/>
              </w:rPr>
            </w:pPr>
            <w:r>
              <w:rPr>
                <w:noProof/>
              </w:rPr>
              <w:t>Capacité installée des nouvelles installations de stockage d’électricité (MW)</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FFBE3" w14:textId="5EF933BA" w:rsidR="00FA40E8" w:rsidRDefault="00FA40E8">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0F1672" w14:textId="1942431C" w:rsidR="00FA40E8" w:rsidRDefault="00E74AE8">
            <w:pPr>
              <w:pStyle w:val="P68B1DB1-Normal13"/>
              <w:spacing w:before="60" w:after="60"/>
              <w:jc w:val="center"/>
              <w:rPr>
                <w:noProof/>
              </w:rPr>
            </w:pPr>
            <w:r>
              <w:rPr>
                <w:noProof/>
              </w:rPr>
              <w:t>MW</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DCEB3C" w14:textId="1E15492A"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390BC8" w14:textId="31A48861" w:rsidR="00FA40E8" w:rsidRDefault="00E74AE8">
            <w:pPr>
              <w:pStyle w:val="P68B1DB1-Normal13"/>
              <w:spacing w:before="60" w:after="60"/>
              <w:jc w:val="center"/>
              <w:rPr>
                <w:noProof/>
              </w:rPr>
            </w:pPr>
            <w:r>
              <w:rPr>
                <w:noProof/>
              </w:rPr>
              <w:t>200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85A6DD" w14:textId="1010CCF4" w:rsidR="00FA40E8" w:rsidRDefault="00E74AE8">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5F3065" w14:textId="6F936CB4" w:rsidR="00FA40E8" w:rsidRDefault="00E74AE8">
            <w:pPr>
              <w:pStyle w:val="P68B1DB1-Normal13"/>
              <w:spacing w:before="60" w:after="60"/>
              <w:jc w:val="center"/>
              <w:rPr>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D070CC" w14:textId="05BE1AD9" w:rsidR="00FA40E8" w:rsidRDefault="00E74AE8">
            <w:pPr>
              <w:pStyle w:val="P68B1DB1-Normal13"/>
              <w:spacing w:before="60" w:after="60"/>
              <w:jc w:val="both"/>
              <w:textAlignment w:val="baseline"/>
              <w:rPr>
                <w:noProof/>
              </w:rPr>
            </w:pPr>
            <w:r>
              <w:rPr>
                <w:noProof/>
              </w:rPr>
              <w:t>Mise en service de quatre installa</w:t>
            </w:r>
            <w:r>
              <w:rPr>
                <w:noProof/>
              </w:rPr>
              <w:t>tions de stockage d’énergie de 50 MW chacune.</w:t>
            </w:r>
          </w:p>
        </w:tc>
      </w:tr>
      <w:tr w:rsidR="00FA40E8" w14:paraId="11F41AA6"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E9BE0A" w14:textId="6918A835" w:rsidR="00FA40E8" w:rsidRDefault="00E74AE8">
            <w:pPr>
              <w:pStyle w:val="P68B1DB1-Normal13"/>
              <w:spacing w:before="60" w:after="60"/>
              <w:jc w:val="center"/>
              <w:rPr>
                <w:noProof/>
              </w:rPr>
            </w:pPr>
            <w:r>
              <w:rPr>
                <w:noProof/>
              </w:rPr>
              <w:t>28</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2C6FBB" w14:textId="71F9EDFD" w:rsidR="00FA40E8" w:rsidRDefault="00E74AE8">
            <w:pPr>
              <w:pStyle w:val="P68B1DB1-Normal13"/>
              <w:spacing w:before="60" w:after="60"/>
              <w:rPr>
                <w:noProof/>
              </w:rPr>
            </w:pPr>
            <w:r>
              <w:rPr>
                <w:noProof/>
              </w:rPr>
              <w:t>B.1.2 Promouvoir sans polluer l’environnement</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C73A90" w14:textId="1C2C02F7" w:rsidR="00FA40E8" w:rsidRDefault="00E74AE8">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1E9A27" w14:textId="5F7A818A" w:rsidR="00FA40E8" w:rsidRDefault="00E74AE8">
            <w:pPr>
              <w:pStyle w:val="P68B1DB1-Normal13"/>
              <w:spacing w:before="60" w:after="60"/>
              <w:rPr>
                <w:noProof/>
              </w:rPr>
            </w:pPr>
            <w:r>
              <w:rPr>
                <w:noProof/>
              </w:rPr>
              <w:t>Entrée en vigueur d’un cadre législatif établissant une procédure pour déterminer les exigences en matière d’efficacité énergétique et de</w:t>
            </w:r>
            <w:r>
              <w:rPr>
                <w:noProof/>
              </w:rPr>
              <w:t xml:space="preserve"> protection de l’environnement applicables à l’achat de véhicules de transport routier et dans les cas où elles sont obligatoires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0C9D1D" w14:textId="79C873BB" w:rsidR="00FA40E8" w:rsidRDefault="00E74AE8">
            <w:pPr>
              <w:pStyle w:val="P68B1DB1-Normal13"/>
              <w:spacing w:before="60" w:after="60"/>
              <w:rPr>
                <w:noProof/>
              </w:rPr>
            </w:pPr>
            <w:r>
              <w:rPr>
                <w:noProof/>
              </w:rPr>
              <w:t>Entrée en vigueur de la législation</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F43E4D" w14:textId="1A0CBCA8" w:rsidR="00FA40E8" w:rsidRDefault="00FA40E8">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06BE80" w14:textId="75AE25E9" w:rsidR="00FA40E8" w:rsidRDefault="00FA40E8">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C72CFD" w14:textId="34F15448"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159C62" w14:textId="293B12B8" w:rsidR="00FA40E8" w:rsidRDefault="00E74AE8">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1D3776" w14:textId="5A49D809" w:rsidR="00FA40E8" w:rsidRDefault="00E74AE8">
            <w:pPr>
              <w:pStyle w:val="P68B1DB1-Normal13"/>
              <w:spacing w:before="60" w:after="60"/>
              <w:jc w:val="center"/>
              <w:rPr>
                <w:noProof/>
              </w:rPr>
            </w:pPr>
            <w:r>
              <w:rPr>
                <w:noProof/>
              </w:rPr>
              <w:t>2021</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E59E3B" w14:textId="5DF1BE24" w:rsidR="00FA40E8" w:rsidRDefault="00E74AE8">
            <w:pPr>
              <w:pStyle w:val="P68B1DB1-Normal13"/>
              <w:spacing w:before="60" w:after="60"/>
              <w:jc w:val="both"/>
              <w:textAlignment w:val="baseline"/>
              <w:rPr>
                <w:noProof/>
              </w:rPr>
            </w:pPr>
            <w:r>
              <w:rPr>
                <w:noProof/>
              </w:rPr>
              <w:t>Entrée en vigueur de la législation qui détermine les exigences en matière d’ef</w:t>
            </w:r>
            <w:r>
              <w:rPr>
                <w:noProof/>
              </w:rPr>
              <w:t>ficacité énergétique et de protection de l’environnement et les cas dans lesquels elles sont obligatoires pour les véhicules routiers des catégories M1, N1, N2, N3, M2 et M3 et qui est utilisée pour calculer les incidences énergétiques et environnementales</w:t>
            </w:r>
            <w:r>
              <w:rPr>
                <w:noProof/>
              </w:rPr>
              <w:t xml:space="preserve"> de ces véhicules tout au long de leur durée de vie.</w:t>
            </w:r>
          </w:p>
        </w:tc>
      </w:tr>
      <w:tr w:rsidR="00FA40E8" w14:paraId="26AAF96F"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F3399F" w14:textId="1E1841FF" w:rsidR="00FA40E8" w:rsidRDefault="00E74AE8">
            <w:pPr>
              <w:pStyle w:val="P68B1DB1-Normal13"/>
              <w:spacing w:before="60" w:after="60"/>
              <w:jc w:val="center"/>
              <w:rPr>
                <w:noProof/>
              </w:rPr>
            </w:pPr>
            <w:r>
              <w:rPr>
                <w:noProof/>
              </w:rPr>
              <w:t>29</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F67602" w14:textId="175F06A7" w:rsidR="00FA40E8" w:rsidRDefault="00E74AE8">
            <w:pPr>
              <w:pStyle w:val="P68B1DB1-Normal13"/>
              <w:spacing w:before="60" w:after="60"/>
              <w:rPr>
                <w:noProof/>
              </w:rPr>
            </w:pPr>
            <w:r>
              <w:rPr>
                <w:noProof/>
              </w:rPr>
              <w:t>B.1.2 Promouvoir sans polluer l’environnement</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19FE46" w14:textId="338EF448" w:rsidR="00FA40E8" w:rsidRDefault="00E74AE8">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3C8B37" w14:textId="07962537" w:rsidR="00FA40E8" w:rsidRDefault="00E74AE8">
            <w:pPr>
              <w:pStyle w:val="P68B1DB1-Normal13"/>
              <w:spacing w:before="60" w:after="60"/>
              <w:rPr>
                <w:noProof/>
              </w:rPr>
            </w:pPr>
            <w:r>
              <w:rPr>
                <w:noProof/>
              </w:rPr>
              <w:t xml:space="preserve">Création et mise en œuvre d’un Fonds pour la mobilité durable destiné à financer le développement de carburants de substitution et </w:t>
            </w:r>
            <w:r>
              <w:rPr>
                <w:noProof/>
              </w:rPr>
              <w:t>d’infrastructures pour les véhicules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B570E8" w14:textId="6CD21BFE" w:rsidR="00FA40E8" w:rsidRDefault="00E74AE8">
            <w:pPr>
              <w:pStyle w:val="P68B1DB1-Normal13"/>
              <w:spacing w:before="60" w:after="60"/>
              <w:rPr>
                <w:noProof/>
              </w:rPr>
            </w:pPr>
            <w:r>
              <w:rPr>
                <w:noProof/>
              </w:rPr>
              <w:t>Disposition de la convention/commande indiquant l’entrée en vigueur</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B94967" w14:textId="4BC05CE1" w:rsidR="00FA40E8" w:rsidRDefault="00FA40E8">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41B515" w14:textId="2DB810FC" w:rsidR="00FA40E8" w:rsidRDefault="00FA40E8">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CCB719" w14:textId="097066F2"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993D6E" w14:textId="382A0BC2" w:rsidR="00FA40E8" w:rsidRDefault="00E74AE8">
            <w:pPr>
              <w:pStyle w:val="P68B1DB1-Normal13"/>
              <w:spacing w:before="60" w:after="60"/>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2D68ED5" w14:textId="4011F402" w:rsidR="00FA40E8" w:rsidRDefault="00E74AE8">
            <w:pPr>
              <w:pStyle w:val="P68B1DB1-Normal13"/>
              <w:spacing w:before="60" w:after="60"/>
              <w:jc w:val="center"/>
              <w:rPr>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3BB36B" w14:textId="0F1F9F3A" w:rsidR="00FA40E8" w:rsidRDefault="00E74AE8">
            <w:pPr>
              <w:pStyle w:val="P68B1DB1-Normal13"/>
              <w:spacing w:before="60" w:after="60"/>
              <w:jc w:val="both"/>
              <w:textAlignment w:val="baseline"/>
              <w:rPr>
                <w:rFonts w:cs="Segoe UI"/>
                <w:noProof/>
              </w:rPr>
            </w:pPr>
            <w:r>
              <w:rPr>
                <w:noProof/>
              </w:rPr>
              <w:t>Le Fonds pour une mobilité durable est établi et opérationnel.</w:t>
            </w:r>
          </w:p>
          <w:p w14:paraId="2C327478" w14:textId="502499A1" w:rsidR="00FA40E8" w:rsidRDefault="00E74AE8">
            <w:pPr>
              <w:pStyle w:val="P68B1DB1-Normal13"/>
              <w:spacing w:before="60" w:after="60"/>
              <w:jc w:val="both"/>
              <w:textAlignment w:val="baseline"/>
              <w:rPr>
                <w:noProof/>
              </w:rPr>
            </w:pPr>
            <w:r>
              <w:rPr>
                <w:noProof/>
              </w:rPr>
              <w:t>Le Fonds est créé pour financer l’achat et l’utilisation de véhicules propres</w:t>
            </w:r>
            <w:r>
              <w:rPr>
                <w:noProof/>
              </w:rPr>
              <w:t xml:space="preserve">, l’installation, la modernisation et/ou le développement d’infrastructures pour carburants alternatifs pour les véhicules de manière ciblée et continue, jusqu’en 2030 au moins. Le fonds est également utilisé pour soutenir la mise en place de restrictions </w:t>
            </w:r>
            <w:r>
              <w:rPr>
                <w:noProof/>
              </w:rPr>
              <w:t>à l’utilisation des véhicules à moteur à combustion interne, à l’exception des véhicules à émission nulle et à faibles émissions.</w:t>
            </w:r>
          </w:p>
        </w:tc>
      </w:tr>
      <w:tr w:rsidR="00FA40E8" w14:paraId="13B5F851"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DEB35D" w14:textId="68990635" w:rsidR="00FA40E8" w:rsidRDefault="00E74AE8">
            <w:pPr>
              <w:pStyle w:val="P68B1DB1-Normal13"/>
              <w:spacing w:before="60" w:after="60"/>
              <w:jc w:val="center"/>
              <w:rPr>
                <w:noProof/>
              </w:rPr>
            </w:pPr>
            <w:r>
              <w:rPr>
                <w:noProof/>
              </w:rPr>
              <w:t>32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93DA11" w14:textId="5388E312" w:rsidR="00FA40E8" w:rsidRDefault="00E74AE8">
            <w:pPr>
              <w:pStyle w:val="P68B1DB1-Normal13"/>
              <w:spacing w:before="60" w:after="60"/>
              <w:rPr>
                <w:noProof/>
              </w:rPr>
            </w:pPr>
            <w:r>
              <w:rPr>
                <w:noProof/>
              </w:rPr>
              <w:t xml:space="preserve">B.1.2. Se déplacer sans polluer l’environnement — B.1.2.1. Soutien à la fourniture de véhicules propres et à la mobilité </w:t>
            </w:r>
            <w:r>
              <w:rPr>
                <w:noProof/>
              </w:rPr>
              <w:t>durable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218B80" w14:textId="1AE05386"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F198B8" w14:textId="11931A3D" w:rsidR="00FA40E8" w:rsidRDefault="00E74AE8">
            <w:pPr>
              <w:pStyle w:val="P68B1DB1-Normal13"/>
              <w:spacing w:before="60" w:after="60"/>
              <w:rPr>
                <w:noProof/>
              </w:rPr>
            </w:pPr>
            <w:r>
              <w:rPr>
                <w:noProof/>
              </w:rPr>
              <w:t>Nombre de véhicules de transport propres livrés et immatriculés en Lituanie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7CC85A" w14:textId="7A9A661A" w:rsidR="00FA40E8" w:rsidRDefault="00FA40E8">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1EE1C3" w14:textId="104BECAF" w:rsidR="00FA40E8" w:rsidRDefault="00E74AE8">
            <w:pPr>
              <w:pStyle w:val="P68B1DB1-Normal13"/>
              <w:spacing w:before="60" w:after="60"/>
              <w:jc w:val="center"/>
              <w:rPr>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7D11A" w14:textId="4949895B"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ADB56D" w14:textId="53624451" w:rsidR="00FA40E8" w:rsidRDefault="00E74AE8">
            <w:pPr>
              <w:pStyle w:val="P68B1DB1-Normal13"/>
              <w:spacing w:before="60" w:after="60"/>
              <w:jc w:val="center"/>
              <w:rPr>
                <w:noProof/>
              </w:rPr>
            </w:pPr>
            <w:r>
              <w:rPr>
                <w:noProof/>
              </w:rPr>
              <w:t>270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5EE6A" w14:textId="41A85EC4"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682DDA" w14:textId="7348664F"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B3D9C3" w14:textId="457C16DC" w:rsidR="00FA40E8" w:rsidRDefault="00E74AE8">
            <w:pPr>
              <w:pStyle w:val="P68B1DB1-Normal13"/>
              <w:spacing w:before="60" w:after="60"/>
              <w:jc w:val="both"/>
              <w:textAlignment w:val="baseline"/>
              <w:rPr>
                <w:noProof/>
              </w:rPr>
            </w:pPr>
            <w:r>
              <w:rPr>
                <w:noProof/>
              </w:rPr>
              <w:t>Nombre de véhicules de transport propres livrés et immatriculés en Lituanie: au moins 270 véhicules légers à émissions nulles (électriques et</w:t>
            </w:r>
            <w:r>
              <w:rPr>
                <w:noProof/>
              </w:rPr>
              <w:t xml:space="preserve"> à hydrogène) (classes M1 et N1) et véhicules utilitaires lourds à émissions nulles (électriques et à hydrogène) ou à faibles émissions (classes N3 et M3), tels que définis dans le règlement (UE) 2019/1242 (les véhicules fonctionnant au biométhane fonction</w:t>
            </w:r>
            <w:r>
              <w:rPr>
                <w:noProof/>
              </w:rPr>
              <w:t>nent uniquement avec du biométhane qui doit satisfaire aux critères de durabilité et de réduction des émissions de gaz à effet de serre énoncés à l’article 26, paragraphes 29 à 31, de la directive 2018/2001 relative à la promotion de l’utilisation de l’éne</w:t>
            </w:r>
            <w:r>
              <w:rPr>
                <w:noProof/>
              </w:rPr>
              <w:t>rgie produite à partir de sources renouvelables).</w:t>
            </w:r>
          </w:p>
        </w:tc>
      </w:tr>
      <w:tr w:rsidR="00FA40E8" w14:paraId="35B225E9"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FB5838" w14:textId="05AA4B0C" w:rsidR="00FA40E8" w:rsidRDefault="00E74AE8">
            <w:pPr>
              <w:pStyle w:val="P68B1DB1-Normal13"/>
              <w:spacing w:before="60" w:after="60"/>
              <w:jc w:val="center"/>
              <w:rPr>
                <w:noProof/>
              </w:rPr>
            </w:pPr>
            <w:r>
              <w:rPr>
                <w:noProof/>
              </w:rPr>
              <w:t>32a</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5AC526" w14:textId="7C99C9CE" w:rsidR="00FA40E8" w:rsidRDefault="00E74AE8">
            <w:pPr>
              <w:pStyle w:val="P68B1DB1-Normal13"/>
              <w:spacing w:before="60" w:after="60"/>
              <w:rPr>
                <w:noProof/>
              </w:rPr>
            </w:pPr>
            <w:r>
              <w:rPr>
                <w:noProof/>
              </w:rPr>
              <w:t>B.1.2. Se déplacer sans polluer l’environnement — B.1.2.1. Soutien à la fourniture de véhicules propres et à la mobilité durable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CA2102" w14:textId="712B21CD"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5DDB72" w14:textId="399B383A" w:rsidR="00FA40E8" w:rsidRDefault="00E74AE8">
            <w:pPr>
              <w:pStyle w:val="P68B1DB1-Normal14"/>
              <w:spacing w:before="60" w:after="60"/>
              <w:rPr>
                <w:noProof/>
              </w:rPr>
            </w:pPr>
            <w:r>
              <w:rPr>
                <w:noProof/>
              </w:rPr>
              <w:t xml:space="preserve">Longueur des pistes cyclables, des rues ou des voies </w:t>
            </w:r>
            <w:r>
              <w:rPr>
                <w:noProof/>
              </w:rPr>
              <w:t>nouvellement construites ou rénovées, ou des pistes cyclables et piétonnes combinées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B7EBE" w14:textId="3B016AEA" w:rsidR="00FA40E8" w:rsidRDefault="00FA40E8">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BF6078" w14:textId="29B1CB97" w:rsidR="00FA40E8" w:rsidRDefault="00E74AE8">
            <w:pPr>
              <w:pStyle w:val="P68B1DB1-Normal13"/>
              <w:spacing w:before="60" w:after="60"/>
              <w:jc w:val="center"/>
              <w:rPr>
                <w:noProof/>
              </w:rPr>
            </w:pPr>
            <w:r>
              <w:rPr>
                <w:noProof/>
              </w:rPr>
              <w:t>1,5 km</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C97EAA" w14:textId="511034AD"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EA106C" w14:textId="5172EE6F" w:rsidR="00FA40E8" w:rsidRDefault="00E74AE8">
            <w:pPr>
              <w:pStyle w:val="P68B1DB1-Normal13"/>
              <w:spacing w:before="60" w:after="60"/>
              <w:jc w:val="center"/>
              <w:rPr>
                <w:noProof/>
              </w:rPr>
            </w:pPr>
            <w:r>
              <w:rPr>
                <w:noProof/>
              </w:rPr>
              <w:t>119.23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9ACAA1" w14:textId="2FFDD311"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C3FC88" w14:textId="6F1E506B"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272E60" w14:textId="676EED3C" w:rsidR="00FA40E8" w:rsidRDefault="00E74AE8">
            <w:pPr>
              <w:pStyle w:val="P68B1DB1-Normal13"/>
              <w:spacing w:before="60" w:after="60"/>
              <w:jc w:val="both"/>
              <w:rPr>
                <w:noProof/>
              </w:rPr>
            </w:pPr>
            <w:r>
              <w:rPr>
                <w:noProof/>
              </w:rPr>
              <w:t>Construction ou rénovation de 119,23 km de pistes cyclables, de rues cyclables ou de pistes cyclables, ou de pistes cyclables et piétonnes combiné</w:t>
            </w:r>
            <w:r>
              <w:rPr>
                <w:noProof/>
              </w:rPr>
              <w:t>es.</w:t>
            </w:r>
          </w:p>
        </w:tc>
      </w:tr>
      <w:tr w:rsidR="00FA40E8" w14:paraId="6AF2A75E"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15C2A8" w14:textId="29E7F179" w:rsidR="00FA40E8" w:rsidRDefault="00E74AE8">
            <w:pPr>
              <w:pStyle w:val="P68B1DB1-Normal13"/>
              <w:spacing w:before="60" w:after="60" w:line="240" w:lineRule="auto"/>
              <w:jc w:val="center"/>
              <w:rPr>
                <w:noProof/>
              </w:rPr>
            </w:pPr>
            <w:r>
              <w:rPr>
                <w:noProof/>
              </w:rPr>
              <w:t>32b</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52037C" w14:textId="746475C9" w:rsidR="00FA40E8" w:rsidRDefault="00E74AE8">
            <w:pPr>
              <w:pStyle w:val="P68B1DB1-Normal13"/>
              <w:spacing w:before="60" w:after="60" w:line="240" w:lineRule="auto"/>
              <w:rPr>
                <w:noProof/>
              </w:rPr>
            </w:pPr>
            <w:r>
              <w:rPr>
                <w:noProof/>
              </w:rPr>
              <w:t>B.1.2. Se déplacer sans polluer l’environnement — B.1.2.1. Soutien à la fourniture de véhicules propres et à la mobilité durable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908EF2" w14:textId="09B6FC8C" w:rsidR="00FA40E8" w:rsidRDefault="00E74AE8">
            <w:pPr>
              <w:pStyle w:val="P68B1DB1-Normal13"/>
              <w:spacing w:before="60" w:after="60" w:line="240" w:lineRule="auto"/>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23CDB3" w14:textId="54480D90" w:rsidR="00FA40E8" w:rsidRDefault="00E74AE8">
            <w:pPr>
              <w:pStyle w:val="P68B1DB1-Normal13"/>
              <w:spacing w:before="60" w:after="60" w:line="240" w:lineRule="auto"/>
              <w:rPr>
                <w:noProof/>
              </w:rPr>
            </w:pPr>
            <w:r>
              <w:rPr>
                <w:noProof/>
              </w:rPr>
              <w:t>Électrification des segments ferroviaires entre Radviliškis et Klaipėda</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FAF303" w14:textId="36524960" w:rsidR="00FA40E8" w:rsidRDefault="00E74AE8">
            <w:pPr>
              <w:pStyle w:val="P68B1DB1-Normal13"/>
              <w:spacing w:before="60" w:after="60" w:line="240" w:lineRule="auto"/>
              <w:rPr>
                <w:noProof/>
              </w:rPr>
            </w:pPr>
            <w:r>
              <w:rPr>
                <w:noProof/>
              </w:rPr>
              <w:t xml:space="preserve">Installation d’un système de contact </w:t>
            </w:r>
            <w:r>
              <w:rPr>
                <w:noProof/>
              </w:rPr>
              <w:t>aérien et de sous-stations de traction</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0541C0" w14:textId="3208628B" w:rsidR="00FA40E8" w:rsidRDefault="00FA40E8">
            <w:pPr>
              <w:spacing w:before="60" w:after="60" w:line="240" w:lineRule="auto"/>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208834" w14:textId="41AE35DB" w:rsidR="00FA40E8" w:rsidRDefault="00FA40E8">
            <w:pPr>
              <w:spacing w:before="60" w:after="60" w:line="240" w:lineRule="auto"/>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14C525" w14:textId="09A97ABE" w:rsidR="00FA40E8" w:rsidRDefault="00FA40E8">
            <w:pPr>
              <w:spacing w:before="60" w:after="60" w:line="240" w:lineRule="auto"/>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BA33C8" w14:textId="428B1471" w:rsidR="00FA40E8" w:rsidRDefault="00E74AE8">
            <w:pPr>
              <w:pStyle w:val="P68B1DB1-Normal13"/>
              <w:spacing w:before="60" w:after="6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D5107A" w14:textId="03BBC8A4" w:rsidR="00FA40E8" w:rsidRDefault="00E74AE8">
            <w:pPr>
              <w:pStyle w:val="P68B1DB1-Normal13"/>
              <w:spacing w:before="60" w:after="60" w:line="240" w:lineRule="auto"/>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A9BC90" w14:textId="61B377D0" w:rsidR="00FA40E8" w:rsidRDefault="00E74AE8">
            <w:pPr>
              <w:pStyle w:val="P68B1DB1-Normal13"/>
              <w:spacing w:before="60" w:after="60" w:line="240" w:lineRule="auto"/>
              <w:jc w:val="both"/>
              <w:rPr>
                <w:noProof/>
              </w:rPr>
            </w:pPr>
            <w:r>
              <w:rPr>
                <w:noProof/>
              </w:rPr>
              <w:t>Installation d’un système de contact aérien le long d’une section de chemin de fer entre Radviliškis et Klaipėda, comprenant les segments suivants:</w:t>
            </w:r>
          </w:p>
          <w:p w14:paraId="27BD705A" w14:textId="6E9BCFF4" w:rsidR="00FA40E8" w:rsidRDefault="00E74AE8">
            <w:pPr>
              <w:pStyle w:val="P68B1DB1-ListParagraph20"/>
              <w:numPr>
                <w:ilvl w:val="0"/>
                <w:numId w:val="106"/>
              </w:numPr>
              <w:spacing w:before="60" w:after="60" w:line="240" w:lineRule="auto"/>
              <w:ind w:left="357" w:hanging="357"/>
              <w:jc w:val="both"/>
              <w:rPr>
                <w:noProof/>
              </w:rPr>
            </w:pPr>
            <w:r>
              <w:rPr>
                <w:noProof/>
              </w:rPr>
              <w:t>Radviliškis — Kužiai</w:t>
            </w:r>
          </w:p>
          <w:p w14:paraId="1B3735A7" w14:textId="2F43648B" w:rsidR="00FA40E8" w:rsidRDefault="00E74AE8">
            <w:pPr>
              <w:pStyle w:val="P68B1DB1-ListParagraph20"/>
              <w:numPr>
                <w:ilvl w:val="0"/>
                <w:numId w:val="106"/>
              </w:numPr>
              <w:spacing w:before="60" w:after="60" w:line="240" w:lineRule="auto"/>
              <w:ind w:left="357" w:hanging="357"/>
              <w:jc w:val="both"/>
              <w:rPr>
                <w:noProof/>
              </w:rPr>
            </w:pPr>
            <w:r>
              <w:rPr>
                <w:noProof/>
              </w:rPr>
              <w:t>Kužiai — Lieplaukė</w:t>
            </w:r>
          </w:p>
          <w:p w14:paraId="19522A93" w14:textId="4B64824D" w:rsidR="00FA40E8" w:rsidRDefault="00E74AE8">
            <w:pPr>
              <w:pStyle w:val="P68B1DB1-ListParagraph20"/>
              <w:numPr>
                <w:ilvl w:val="0"/>
                <w:numId w:val="106"/>
              </w:numPr>
              <w:spacing w:before="60" w:after="60" w:line="240" w:lineRule="auto"/>
              <w:ind w:left="357" w:hanging="357"/>
              <w:jc w:val="both"/>
              <w:rPr>
                <w:noProof/>
              </w:rPr>
            </w:pPr>
            <w:r>
              <w:rPr>
                <w:noProof/>
              </w:rPr>
              <w:t>Lieplaukė — Kretin</w:t>
            </w:r>
            <w:r>
              <w:rPr>
                <w:noProof/>
              </w:rPr>
              <w:t>ga</w:t>
            </w:r>
          </w:p>
          <w:p w14:paraId="7DF9DAD5" w14:textId="5A5A8CA4" w:rsidR="00FA40E8" w:rsidRDefault="00E74AE8">
            <w:pPr>
              <w:pStyle w:val="P68B1DB1-ListParagraph20"/>
              <w:numPr>
                <w:ilvl w:val="0"/>
                <w:numId w:val="106"/>
              </w:numPr>
              <w:spacing w:before="60" w:after="60" w:line="240" w:lineRule="auto"/>
              <w:ind w:left="357" w:hanging="357"/>
              <w:jc w:val="both"/>
              <w:rPr>
                <w:noProof/>
              </w:rPr>
            </w:pPr>
            <w:r>
              <w:rPr>
                <w:noProof/>
              </w:rPr>
              <w:t>Kretinga — Klaipėda (gare de Draugystė)</w:t>
            </w:r>
          </w:p>
          <w:p w14:paraId="5721204F" w14:textId="4C22DE69" w:rsidR="00FA40E8" w:rsidRDefault="00E74AE8">
            <w:pPr>
              <w:pStyle w:val="P68B1DB1-Normal13"/>
              <w:spacing w:before="60" w:after="60" w:line="240" w:lineRule="auto"/>
              <w:jc w:val="both"/>
              <w:rPr>
                <w:noProof/>
              </w:rPr>
            </w:pPr>
            <w:r>
              <w:rPr>
                <w:noProof/>
              </w:rPr>
              <w:t>En outre, des sous-stations de traction doivent être installées à Žasliai et à Kretinga.</w:t>
            </w:r>
          </w:p>
        </w:tc>
      </w:tr>
      <w:tr w:rsidR="00FA40E8" w14:paraId="7EA2AF5A"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625D48" w14:textId="4ACC664B" w:rsidR="00FA40E8" w:rsidRDefault="00E74AE8">
            <w:pPr>
              <w:pStyle w:val="P68B1DB1-Normal13"/>
              <w:spacing w:before="60" w:after="60"/>
              <w:jc w:val="center"/>
              <w:rPr>
                <w:noProof/>
              </w:rPr>
            </w:pPr>
            <w:r>
              <w:rPr>
                <w:noProof/>
              </w:rPr>
              <w:t>33</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A18BA4" w14:textId="47176377" w:rsidR="00FA40E8" w:rsidRDefault="00E74AE8">
            <w:pPr>
              <w:pStyle w:val="P68B1DB1-Normal13"/>
              <w:spacing w:before="60" w:after="60"/>
              <w:rPr>
                <w:noProof/>
              </w:rPr>
            </w:pPr>
            <w:r>
              <w:rPr>
                <w:noProof/>
              </w:rPr>
              <w:t>B.1.2. Se déplacer sans polluer l’environnement — B.1.2.1. Soutien à la fourniture de véhicules propres et à la mobilité</w:t>
            </w:r>
            <w:r>
              <w:rPr>
                <w:noProof/>
              </w:rPr>
              <w:t xml:space="preserve"> durable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76EF6B" w14:textId="555D450B"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CB915F" w14:textId="746C602D" w:rsidR="00FA40E8" w:rsidRDefault="00E74AE8">
            <w:pPr>
              <w:pStyle w:val="P68B1DB1-Normal13"/>
              <w:spacing w:before="60" w:after="60"/>
              <w:rPr>
                <w:noProof/>
              </w:rPr>
            </w:pPr>
            <w:r>
              <w:rPr>
                <w:noProof/>
              </w:rPr>
              <w:t>Nombre d’autobus rénovés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4B784" w14:textId="44EF294D" w:rsidR="00FA40E8" w:rsidRDefault="00FA40E8">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5110CE" w14:textId="7CB28ED0" w:rsidR="00FA40E8" w:rsidRDefault="00E74AE8">
            <w:pPr>
              <w:pStyle w:val="P68B1DB1-Normal13"/>
              <w:spacing w:before="60" w:after="60"/>
              <w:jc w:val="center"/>
              <w:rPr>
                <w:noProof/>
              </w:rPr>
            </w:pPr>
            <w:r>
              <w:rPr>
                <w:noProof/>
              </w:rPr>
              <w:t>Nombre d’autobus</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FE7E1C" w14:textId="5C8F0529"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38D8C1" w14:textId="5ECD9EC7" w:rsidR="00FA40E8" w:rsidRDefault="00E74AE8">
            <w:pPr>
              <w:pStyle w:val="P68B1DB1-Normal13"/>
              <w:spacing w:before="60" w:after="60"/>
              <w:jc w:val="center"/>
              <w:rPr>
                <w:noProof/>
              </w:rPr>
            </w:pPr>
            <w:r>
              <w:rPr>
                <w:noProof/>
              </w:rPr>
              <w:t>7</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E0431F" w14:textId="42BED9F3"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7BE264" w14:textId="2EBC1406"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CB33D9" w14:textId="3394257D" w:rsidR="00FA40E8" w:rsidRDefault="00E74AE8">
            <w:pPr>
              <w:pStyle w:val="P68B1DB1-Normal13"/>
              <w:spacing w:before="60" w:after="60"/>
              <w:jc w:val="both"/>
              <w:textAlignment w:val="baseline"/>
              <w:rPr>
                <w:rFonts w:cs="Segoe UI"/>
                <w:noProof/>
              </w:rPr>
            </w:pPr>
            <w:r>
              <w:rPr>
                <w:noProof/>
              </w:rPr>
              <w:t>7 autobus doivent être modernisés afin que les véhicules puissent être considérés comme des autobus à émissions nulles.</w:t>
            </w:r>
          </w:p>
          <w:p w14:paraId="19A8DFE9" w14:textId="1DB4896B" w:rsidR="00FA40E8" w:rsidRDefault="00FA40E8">
            <w:pPr>
              <w:spacing w:before="60" w:after="60"/>
              <w:jc w:val="both"/>
              <w:textAlignment w:val="baseline"/>
              <w:rPr>
                <w:rFonts w:ascii="Times New Roman" w:eastAsia="Times New Roman" w:hAnsi="Times New Roman" w:cs="Times New Roman"/>
                <w:noProof/>
                <w:sz w:val="20"/>
              </w:rPr>
            </w:pPr>
          </w:p>
        </w:tc>
      </w:tr>
      <w:tr w:rsidR="00FA40E8" w14:paraId="74294353"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505796" w14:textId="3B535F63" w:rsidR="00FA40E8" w:rsidRDefault="00E74AE8">
            <w:pPr>
              <w:pStyle w:val="P68B1DB1-Normal13"/>
              <w:spacing w:before="60" w:after="60"/>
              <w:jc w:val="center"/>
              <w:rPr>
                <w:noProof/>
              </w:rPr>
            </w:pPr>
            <w:r>
              <w:rPr>
                <w:noProof/>
              </w:rPr>
              <w:t>34</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3CC633" w14:textId="5AADE364" w:rsidR="00FA40E8" w:rsidRDefault="00E74AE8">
            <w:pPr>
              <w:pStyle w:val="P68B1DB1-Normal13"/>
              <w:spacing w:before="60" w:after="60"/>
              <w:rPr>
                <w:noProof/>
              </w:rPr>
            </w:pPr>
            <w:r>
              <w:rPr>
                <w:noProof/>
              </w:rPr>
              <w:t xml:space="preserve">B.1.2 Promouvoir sans polluer l’environnement — B.1.2.2. </w:t>
            </w:r>
            <w:r>
              <w:rPr>
                <w:noProof/>
              </w:rPr>
              <w:t>Aide à l’achat de véhicules de transport public à émissions nulles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8C488C" w14:textId="0F7720EC" w:rsidR="00FA40E8" w:rsidRDefault="00E74AE8">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821A4" w14:textId="4F4AE14F" w:rsidR="00FA40E8" w:rsidRDefault="00E74AE8">
            <w:pPr>
              <w:pStyle w:val="P68B1DB1-Normal13"/>
              <w:spacing w:before="60" w:after="60"/>
              <w:rPr>
                <w:noProof/>
              </w:rPr>
            </w:pPr>
            <w:r>
              <w:rPr>
                <w:noProof/>
              </w:rPr>
              <w:t>Réforme du système de mobilité interurbaine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F50F1" w14:textId="06B27170" w:rsidR="00FA40E8" w:rsidRDefault="00E74AE8">
            <w:pPr>
              <w:pStyle w:val="P68B1DB1-Normal13"/>
              <w:spacing w:before="60" w:after="60"/>
              <w:rPr>
                <w:noProof/>
              </w:rPr>
            </w:pPr>
            <w:r>
              <w:rPr>
                <w:noProof/>
              </w:rPr>
              <w:t>Entrée en vigueur de la législation</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910884" w14:textId="1B79707E" w:rsidR="00FA40E8" w:rsidRDefault="00FA40E8">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007710" w14:textId="1CDD4C25" w:rsidR="00FA40E8" w:rsidRDefault="00FA40E8">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E462C0" w14:textId="70BEEE05"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AD3398" w14:textId="06B69215"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A131E0" w14:textId="250EF28B"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03282E" w14:textId="283C7511" w:rsidR="00FA40E8" w:rsidRDefault="00E74AE8">
            <w:pPr>
              <w:pStyle w:val="P68B1DB1-Normal13"/>
              <w:spacing w:before="60" w:after="60"/>
              <w:jc w:val="both"/>
              <w:rPr>
                <w:noProof/>
              </w:rPr>
            </w:pPr>
            <w:r>
              <w:rPr>
                <w:noProof/>
              </w:rPr>
              <w:t xml:space="preserve">Entrée en vigueur de la législation visant à réformer le réseau de transport public </w:t>
            </w:r>
            <w:r>
              <w:rPr>
                <w:noProof/>
              </w:rPr>
              <w:t>interurbain longue distance, notamment: définir des critères pour les obligations de service public sur les liaisons longue distance en alignant les liaisons par autocar sur les liaisons ferroviaires et le système de transport local afin de garantir l’inte</w:t>
            </w:r>
            <w:r>
              <w:rPr>
                <w:noProof/>
              </w:rPr>
              <w:t>rconnectivité entre les plateformes régionales; et la mise en place d’itinéraires intercommunaux.</w:t>
            </w:r>
          </w:p>
        </w:tc>
      </w:tr>
      <w:tr w:rsidR="00FA40E8" w14:paraId="1C568EE7"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5013AC" w14:textId="290C4B0A" w:rsidR="00FA40E8" w:rsidRDefault="00E74AE8">
            <w:pPr>
              <w:pStyle w:val="P68B1DB1-Normal13"/>
              <w:spacing w:before="60" w:after="60"/>
              <w:jc w:val="center"/>
              <w:rPr>
                <w:noProof/>
              </w:rPr>
            </w:pPr>
            <w:r>
              <w:rPr>
                <w:noProof/>
              </w:rPr>
              <w:t>36</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0F9C9A" w14:textId="42549AB8" w:rsidR="00FA40E8" w:rsidRDefault="00E74AE8">
            <w:pPr>
              <w:pStyle w:val="P68B1DB1-Normal13"/>
              <w:spacing w:before="60" w:after="60"/>
              <w:rPr>
                <w:noProof/>
              </w:rPr>
            </w:pPr>
            <w:r>
              <w:rPr>
                <w:noProof/>
              </w:rPr>
              <w:t>B.1.2 Promouvoir sans polluer l’environnement — B.1.2.2. Aide à l’achat de véhicules de transport public à émissions nulles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F7A818" w14:textId="51D95F6A"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F88CFF" w14:textId="0C1C5EA3" w:rsidR="00FA40E8" w:rsidRDefault="00E74AE8">
            <w:pPr>
              <w:pStyle w:val="P68B1DB1-Normal13"/>
              <w:spacing w:before="60" w:after="60"/>
              <w:textAlignment w:val="baseline"/>
              <w:rPr>
                <w:rFonts w:cs="Segoe UI"/>
                <w:noProof/>
              </w:rPr>
            </w:pPr>
            <w:r>
              <w:rPr>
                <w:noProof/>
              </w:rPr>
              <w:t xml:space="preserve">Livraison de bus </w:t>
            </w:r>
            <w:r>
              <w:rPr>
                <w:noProof/>
              </w:rPr>
              <w:t>électriques ou fonctionnant à l’hydrogène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45B1CF" w14:textId="2D9CFC57" w:rsidR="00FA40E8" w:rsidRDefault="00FA40E8">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C31B42" w14:textId="37674E69" w:rsidR="00FA40E8" w:rsidRDefault="00E74AE8">
            <w:pPr>
              <w:pStyle w:val="P68B1DB1-Normal13"/>
              <w:spacing w:before="60" w:after="60"/>
              <w:jc w:val="center"/>
              <w:rPr>
                <w:noProof/>
              </w:rPr>
            </w:pPr>
            <w:r>
              <w:rPr>
                <w:noProof/>
              </w:rPr>
              <w:t>Nombre d’autobus</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F98146" w14:textId="10C33536"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E15383" w14:textId="1137D8A8" w:rsidR="00FA40E8" w:rsidRDefault="00E74AE8">
            <w:pPr>
              <w:pStyle w:val="P68B1DB1-Normal13"/>
              <w:spacing w:before="60" w:after="60"/>
              <w:jc w:val="center"/>
              <w:rPr>
                <w:noProof/>
              </w:rPr>
            </w:pPr>
            <w:r>
              <w:rPr>
                <w:noProof/>
              </w:rPr>
              <w:t>218</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4DB6D0" w14:textId="6D89E76A"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6B0475" w14:textId="5E7FBE80"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96CD81" w14:textId="1E554E62" w:rsidR="00FA40E8" w:rsidRDefault="00E74AE8">
            <w:pPr>
              <w:pStyle w:val="P68B1DB1-Normal13"/>
              <w:spacing w:before="60" w:after="60"/>
              <w:jc w:val="both"/>
              <w:textAlignment w:val="baseline"/>
              <w:rPr>
                <w:noProof/>
              </w:rPr>
            </w:pPr>
            <w:r>
              <w:rPr>
                <w:noProof/>
              </w:rPr>
              <w:t>Livraison de 218 autobus électriques ou fonctionnant à l’hydrogène (classes M2 et M3).</w:t>
            </w:r>
          </w:p>
        </w:tc>
      </w:tr>
      <w:tr w:rsidR="00FA40E8" w14:paraId="0B135206"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C38F20" w14:textId="7A0076F7" w:rsidR="00FA40E8" w:rsidRDefault="00E74AE8">
            <w:pPr>
              <w:pStyle w:val="P68B1DB1-Normal13"/>
              <w:spacing w:before="60" w:after="60"/>
              <w:jc w:val="center"/>
              <w:rPr>
                <w:noProof/>
                <w:highlight w:val="cyan"/>
              </w:rPr>
            </w:pPr>
            <w:r>
              <w:rPr>
                <w:noProof/>
              </w:rPr>
              <w:t>37</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5690D3" w14:textId="49ACCF2E" w:rsidR="00FA40E8" w:rsidRDefault="00E74AE8">
            <w:pPr>
              <w:pStyle w:val="P68B1DB1-Normal13"/>
              <w:spacing w:before="60" w:after="60"/>
              <w:rPr>
                <w:noProof/>
              </w:rPr>
            </w:pPr>
            <w:r>
              <w:rPr>
                <w:noProof/>
              </w:rPr>
              <w:t xml:space="preserve">B.1.2 Promouvoir sans polluer l’environnement — B.1.2.3. Installation d’infrastructures de </w:t>
            </w:r>
            <w:r>
              <w:rPr>
                <w:noProof/>
              </w:rPr>
              <w:t>recharge des véhicules et de remplissage des carburants alternatifs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FEAC19" w14:textId="12A4B275" w:rsidR="00FA40E8" w:rsidRDefault="00E74AE8">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CEC76" w14:textId="79D4E96C" w:rsidR="00FA40E8" w:rsidRDefault="00E74AE8">
            <w:pPr>
              <w:pStyle w:val="P68B1DB1-Normal13"/>
              <w:spacing w:before="60" w:after="60"/>
              <w:textAlignment w:val="baseline"/>
              <w:rPr>
                <w:noProof/>
              </w:rPr>
            </w:pPr>
            <w:r>
              <w:rPr>
                <w:noProof/>
              </w:rPr>
              <w:t>Mise en service d’un système d’information pour les points de recharge pour véhicules électriques ouverts au public</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A8393F" w14:textId="780BD209" w:rsidR="00FA40E8" w:rsidRDefault="00E74AE8">
            <w:pPr>
              <w:pStyle w:val="P68B1DB1-Normal13"/>
              <w:spacing w:before="60" w:after="60"/>
              <w:rPr>
                <w:noProof/>
              </w:rPr>
            </w:pPr>
            <w:r>
              <w:rPr>
                <w:noProof/>
              </w:rPr>
              <w:t>Mise en service d’un système d’information pour les points de rech</w:t>
            </w:r>
            <w:r>
              <w:rPr>
                <w:noProof/>
              </w:rPr>
              <w:t>arge pour véhicules électriques ouverts au public</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A8D936" w14:textId="7885A292" w:rsidR="00FA40E8" w:rsidRDefault="00FA40E8">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A1D6B7" w14:textId="39BAAC42" w:rsidR="00FA40E8" w:rsidRDefault="00FA40E8">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B70C1D" w14:textId="496F2523"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588204" w14:textId="47F07C4B" w:rsidR="00FA40E8" w:rsidRDefault="00E74AE8">
            <w:pPr>
              <w:pStyle w:val="P68B1DB1-Normal13"/>
              <w:spacing w:before="60" w:after="60"/>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807FE3" w14:textId="6FDD1525" w:rsidR="00FA40E8" w:rsidRDefault="00E74AE8">
            <w:pPr>
              <w:pStyle w:val="P68B1DB1-Normal13"/>
              <w:spacing w:before="60" w:after="60"/>
              <w:jc w:val="center"/>
              <w:rPr>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A59B94" w14:textId="77777777" w:rsidR="00FA40E8" w:rsidRDefault="00E74AE8">
            <w:pPr>
              <w:pStyle w:val="P68B1DB1-Normal21"/>
              <w:spacing w:before="60" w:after="60"/>
              <w:jc w:val="both"/>
              <w:textAlignment w:val="baseline"/>
              <w:rPr>
                <w:rFonts w:cs="Calibri"/>
                <w:noProof/>
              </w:rPr>
            </w:pPr>
            <w:r>
              <w:rPr>
                <w:noProof/>
              </w:rPr>
              <w:t xml:space="preserve">Mise en service d’un système d’information qui: </w:t>
            </w:r>
          </w:p>
          <w:p w14:paraId="27857670" w14:textId="51AB8CDD" w:rsidR="00FA40E8" w:rsidRDefault="00E74AE8">
            <w:pPr>
              <w:pStyle w:val="P68B1DB1-Normal21"/>
              <w:spacing w:before="60" w:after="60"/>
              <w:jc w:val="both"/>
              <w:textAlignment w:val="baseline"/>
              <w:rPr>
                <w:rFonts w:cs="Calibri"/>
                <w:noProof/>
              </w:rPr>
            </w:pPr>
            <w:r>
              <w:rPr>
                <w:noProof/>
              </w:rPr>
              <w:t>1. Fournir et enregistrer les codes d’identification uniques des points de recharge pour véhicules électriques ouverts au public et de leurs explo</w:t>
            </w:r>
            <w:r>
              <w:rPr>
                <w:noProof/>
              </w:rPr>
              <w:t xml:space="preserve">itants. </w:t>
            </w:r>
          </w:p>
          <w:p w14:paraId="49B6F64A" w14:textId="0D50F456" w:rsidR="00FA40E8" w:rsidRDefault="00E74AE8">
            <w:pPr>
              <w:pStyle w:val="P68B1DB1-Normal13"/>
              <w:spacing w:before="60" w:after="60"/>
              <w:jc w:val="both"/>
              <w:textAlignment w:val="baseline"/>
              <w:rPr>
                <w:noProof/>
              </w:rPr>
            </w:pPr>
            <w:r>
              <w:rPr>
                <w:noProof/>
              </w:rPr>
              <w:t>2. Fournir des données statiques/dynamiques en temps réel provenant de bornes de recharge accessibles au public pour les véhicules électriques circulant en Lituanie.</w:t>
            </w:r>
          </w:p>
        </w:tc>
      </w:tr>
      <w:tr w:rsidR="00FA40E8" w14:paraId="217D9F3F"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1C8E72" w14:textId="66F34021" w:rsidR="00FA40E8" w:rsidRDefault="00E74AE8">
            <w:pPr>
              <w:pStyle w:val="P68B1DB1-Normal13"/>
              <w:spacing w:before="60" w:after="60"/>
              <w:jc w:val="center"/>
              <w:rPr>
                <w:noProof/>
              </w:rPr>
            </w:pPr>
            <w:r>
              <w:rPr>
                <w:noProof/>
              </w:rPr>
              <w:t>39</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919D01" w14:textId="532D8DDE" w:rsidR="00FA40E8" w:rsidRDefault="00E74AE8">
            <w:pPr>
              <w:pStyle w:val="P68B1DB1-Normal13"/>
              <w:spacing w:before="60" w:after="60"/>
              <w:rPr>
                <w:noProof/>
              </w:rPr>
            </w:pPr>
            <w:r>
              <w:rPr>
                <w:noProof/>
              </w:rPr>
              <w:t xml:space="preserve">B.1.2 Promouvoir sans polluer l’environnement — B.1.2.3. Installation </w:t>
            </w:r>
            <w:r>
              <w:rPr>
                <w:noProof/>
              </w:rPr>
              <w:t>d’infrastructures de recharge des véhicules et de remplissage des carburants alternatifs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41174A" w14:textId="42AEB6E8"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27493F" w14:textId="7BA21E08" w:rsidR="00FA40E8" w:rsidRDefault="00E74AE8">
            <w:pPr>
              <w:pStyle w:val="P68B1DB1-Normal13"/>
              <w:spacing w:before="60" w:after="60"/>
              <w:textAlignment w:val="baseline"/>
              <w:rPr>
                <w:noProof/>
              </w:rPr>
            </w:pPr>
            <w:r>
              <w:rPr>
                <w:noProof/>
              </w:rPr>
              <w:t xml:space="preserve">Installation de points de recharge privés et ouverts au public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31EE25" w14:textId="43187C99" w:rsidR="00FA40E8" w:rsidRDefault="00FA40E8">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89EFCF" w14:textId="5E6A278A" w:rsidR="00FA40E8" w:rsidRDefault="00E74AE8">
            <w:pPr>
              <w:pStyle w:val="P68B1DB1-Normal13"/>
              <w:spacing w:before="60" w:after="60"/>
              <w:rPr>
                <w:noProof/>
              </w:rPr>
            </w:pPr>
            <w:r>
              <w:rPr>
                <w:noProof/>
              </w:rPr>
              <w:t>Nombre de points de recharge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C1C779" w14:textId="10923994"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0E1652" w14:textId="47794063" w:rsidR="00FA40E8" w:rsidRDefault="00E74AE8">
            <w:pPr>
              <w:pStyle w:val="P68B1DB1-Normal12"/>
              <w:spacing w:before="60" w:after="60"/>
              <w:jc w:val="center"/>
              <w:rPr>
                <w:rFonts w:eastAsia="Times New Roman" w:cs="Times New Roman"/>
                <w:noProof/>
              </w:rPr>
            </w:pPr>
            <w:r>
              <w:rPr>
                <w:noProof/>
              </w:rPr>
              <w:t>19 710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B0574" w14:textId="1A0EB8A3"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8D1FC9" w14:textId="41CE146A"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094A8C" w14:textId="33A25E40" w:rsidR="00FA40E8" w:rsidRDefault="00E74AE8">
            <w:pPr>
              <w:pStyle w:val="P68B1DB1-Normal12"/>
              <w:spacing w:before="60" w:after="60"/>
              <w:jc w:val="both"/>
              <w:textAlignment w:val="baseline"/>
              <w:rPr>
                <w:rFonts w:eastAsia="Times New Roman" w:cs="Times New Roman"/>
                <w:noProof/>
              </w:rPr>
            </w:pPr>
            <w:r>
              <w:rPr>
                <w:noProof/>
              </w:rPr>
              <w:t>800 points de recharge pour véhicules électriqu</w:t>
            </w:r>
            <w:r>
              <w:rPr>
                <w:noProof/>
              </w:rPr>
              <w:t>es ouverts au public et 18 910 points de recharge pour véhicules électriques privés sont installés.</w:t>
            </w:r>
          </w:p>
        </w:tc>
      </w:tr>
      <w:tr w:rsidR="00FA40E8" w14:paraId="7ACCD8D8"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91BAEF" w14:textId="6F7EDDF7" w:rsidR="00FA40E8" w:rsidRDefault="00E74AE8">
            <w:pPr>
              <w:pStyle w:val="P68B1DB1-Normal13"/>
              <w:spacing w:before="60" w:after="60"/>
              <w:jc w:val="center"/>
              <w:rPr>
                <w:noProof/>
              </w:rPr>
            </w:pPr>
            <w:r>
              <w:rPr>
                <w:noProof/>
              </w:rPr>
              <w:t>42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D25E2" w14:textId="59375BAF" w:rsidR="00FA40E8" w:rsidRDefault="00E74AE8">
            <w:pPr>
              <w:pStyle w:val="P68B1DB1-Normal13"/>
              <w:spacing w:before="60" w:after="60"/>
              <w:rPr>
                <w:noProof/>
              </w:rPr>
            </w:pPr>
            <w:r>
              <w:rPr>
                <w:noProof/>
              </w:rPr>
              <w:t xml:space="preserve">B.1.2 Promouvoir sans polluer l’environnement — B.1.2.3. Installation d’infrastructures de recharge des véhicules et de remplissage des carburants </w:t>
            </w:r>
            <w:r>
              <w:rPr>
                <w:noProof/>
              </w:rPr>
              <w:t>alternatifs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633EC0" w14:textId="7D9B4C34"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6AF197" w14:textId="188902DC" w:rsidR="00FA40E8" w:rsidRDefault="00E74AE8">
            <w:pPr>
              <w:pStyle w:val="P68B1DB1-Normal13"/>
              <w:spacing w:before="60" w:after="60"/>
              <w:textAlignment w:val="baseline"/>
              <w:rPr>
                <w:noProof/>
              </w:rPr>
            </w:pPr>
            <w:r>
              <w:rPr>
                <w:noProof/>
              </w:rPr>
              <w:t>Installation d’une station hydrogène accessible au public</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C2FD48" w14:textId="4803D575" w:rsidR="00FA40E8" w:rsidRDefault="00FA40E8">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7B7B50" w14:textId="42C63492" w:rsidR="00FA40E8" w:rsidRDefault="00E74AE8">
            <w:pPr>
              <w:pStyle w:val="P68B1DB1-Normal13"/>
              <w:spacing w:before="60" w:after="60"/>
              <w:rPr>
                <w:noProof/>
              </w:rPr>
            </w:pPr>
            <w:r>
              <w:rPr>
                <w:noProof/>
              </w:rPr>
              <w:t>Nombre de stations hydrogène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3682D5" w14:textId="437415B3"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45E5E4" w14:textId="5B3F6579" w:rsidR="00FA40E8" w:rsidRDefault="00E74AE8">
            <w:pPr>
              <w:pStyle w:val="P68B1DB1-Normal13"/>
              <w:spacing w:before="60" w:after="60"/>
              <w:jc w:val="center"/>
              <w:rPr>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9144BA" w14:textId="2DB73280"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0678CC" w14:textId="681913EB"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551329" w14:textId="7F3DFF56" w:rsidR="00FA40E8" w:rsidRDefault="00E74AE8">
            <w:pPr>
              <w:pStyle w:val="P68B1DB1-Normal13"/>
              <w:spacing w:before="60" w:after="60"/>
              <w:jc w:val="both"/>
              <w:rPr>
                <w:noProof/>
              </w:rPr>
            </w:pPr>
            <w:r>
              <w:rPr>
                <w:noProof/>
              </w:rPr>
              <w:t>Un certificat de réception de transfert pour l’installation d’une station d’hydrogène accessible au public a été délivré.</w:t>
            </w:r>
          </w:p>
        </w:tc>
      </w:tr>
      <w:tr w:rsidR="00FA40E8" w14:paraId="03C6142A"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F4DBB3" w14:textId="5B71D8E9" w:rsidR="00FA40E8" w:rsidRDefault="00E74AE8">
            <w:pPr>
              <w:pStyle w:val="P68B1DB1-Normal13"/>
              <w:spacing w:before="60" w:after="60"/>
              <w:jc w:val="center"/>
              <w:rPr>
                <w:noProof/>
              </w:rPr>
            </w:pPr>
            <w:r>
              <w:rPr>
                <w:noProof/>
              </w:rPr>
              <w:t>43</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9D058A" w14:textId="08798F5D" w:rsidR="00FA40E8" w:rsidRDefault="00E74AE8">
            <w:pPr>
              <w:pStyle w:val="P68B1DB1-Normal13"/>
              <w:spacing w:before="60" w:after="60"/>
              <w:rPr>
                <w:noProof/>
              </w:rPr>
            </w:pPr>
            <w:r>
              <w:rPr>
                <w:noProof/>
              </w:rPr>
              <w:t xml:space="preserve">B.1.2 </w:t>
            </w:r>
            <w:r>
              <w:rPr>
                <w:noProof/>
              </w:rPr>
              <w:t>Promouvoir sans polluer l’environnement — B.1.2.3. Installation d’infrastructures de recharge des véhicules et de remplissage des carburants alternatifs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EA8314" w14:textId="1779E409" w:rsidR="00FA40E8" w:rsidRDefault="00E74AE8">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B39185" w14:textId="0E476339" w:rsidR="00FA40E8" w:rsidRDefault="00E74AE8">
            <w:pPr>
              <w:pStyle w:val="P68B1DB1-Normal13"/>
              <w:spacing w:before="60" w:after="60"/>
              <w:textAlignment w:val="baseline"/>
              <w:rPr>
                <w:noProof/>
              </w:rPr>
            </w:pPr>
            <w:r>
              <w:rPr>
                <w:noProof/>
              </w:rPr>
              <w:t>Adoption du plan d’action pour l’intégration du réseau d’infrastructures de recharge électrique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E293DF" w14:textId="3C8FAF3D" w:rsidR="00FA40E8" w:rsidRDefault="00E74AE8">
            <w:pPr>
              <w:pStyle w:val="P68B1DB1-Normal13"/>
              <w:spacing w:before="60" w:after="60"/>
              <w:textAlignment w:val="baseline"/>
              <w:rPr>
                <w:noProof/>
              </w:rPr>
            </w:pPr>
            <w:r>
              <w:rPr>
                <w:noProof/>
              </w:rPr>
              <w:t>A</w:t>
            </w:r>
            <w:r>
              <w:rPr>
                <w:noProof/>
              </w:rPr>
              <w:t>doption d’un plan d’action sur les infrastructures de recharge électrique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4FDC2E" w14:textId="39CFA81D" w:rsidR="00FA40E8" w:rsidRDefault="00FA40E8">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BEA874" w14:textId="6E7140D1" w:rsidR="00FA40E8" w:rsidRDefault="00FA40E8">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0513884" w14:textId="09D07B6E"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F1F9A5" w14:textId="1E1BD4D9" w:rsidR="00FA40E8" w:rsidRDefault="00E74AE8">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02F2AE" w14:textId="2CC150EA" w:rsidR="00FA40E8" w:rsidRDefault="00E74AE8">
            <w:pPr>
              <w:pStyle w:val="P68B1DB1-Normal13"/>
              <w:spacing w:before="60" w:after="60"/>
              <w:jc w:val="center"/>
              <w:rPr>
                <w:noProof/>
              </w:rPr>
            </w:pPr>
            <w:r>
              <w:rPr>
                <w:noProof/>
              </w:rPr>
              <w:t>2021</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4B87C" w14:textId="22A7F9D6" w:rsidR="00FA40E8" w:rsidRDefault="00E74AE8">
            <w:pPr>
              <w:pStyle w:val="P68B1DB1-Normal13"/>
              <w:spacing w:before="60" w:after="60"/>
              <w:jc w:val="both"/>
              <w:textAlignment w:val="baseline"/>
              <w:rPr>
                <w:noProof/>
              </w:rPr>
            </w:pPr>
            <w:r>
              <w:rPr>
                <w:noProof/>
              </w:rPr>
              <w:t xml:space="preserve">Adoption d’un plan d’action qui définit les orientations prioritaires en matière de développement et fixe des exigences pour l’installation de points de recharge pour les </w:t>
            </w:r>
            <w:r>
              <w:rPr>
                <w:noProof/>
              </w:rPr>
              <w:t>véhicules électriques afin de garantir un développement aussi efficace que possible des infrastructures de recharge pour les véhicules électriques.</w:t>
            </w:r>
          </w:p>
        </w:tc>
      </w:tr>
      <w:tr w:rsidR="00FA40E8" w14:paraId="2C6C7B22"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8EAEF1" w14:textId="212848E8" w:rsidR="00FA40E8" w:rsidRDefault="00E74AE8">
            <w:pPr>
              <w:pStyle w:val="P68B1DB1-Normal13"/>
              <w:spacing w:before="60" w:after="60"/>
              <w:jc w:val="center"/>
              <w:rPr>
                <w:noProof/>
              </w:rPr>
            </w:pPr>
            <w:r>
              <w:rPr>
                <w:noProof/>
              </w:rPr>
              <w:t>44</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DA186A" w14:textId="01503F1E" w:rsidR="00FA40E8" w:rsidRDefault="00E74AE8">
            <w:pPr>
              <w:pStyle w:val="P68B1DB1-Normal13"/>
              <w:spacing w:before="60" w:after="60"/>
              <w:rPr>
                <w:noProof/>
              </w:rPr>
            </w:pPr>
            <w:r>
              <w:rPr>
                <w:noProof/>
              </w:rPr>
              <w:t>B.1.2 Promouvoir sans polluer l’environnement — B.1.2.4. Soutien au secteur des carburants SER</w:t>
            </w:r>
            <w:r>
              <w:rPr>
                <w:noProof/>
                <w:u w:val="single"/>
              </w:rPr>
              <w:t xml:space="preserve"> </w:t>
            </w:r>
            <w:r>
              <w:rPr>
                <w:noProof/>
              </w:rPr>
              <w:t xml:space="preserve">(gaz </w:t>
            </w:r>
            <w:r>
              <w:rPr>
                <w:noProof/>
              </w:rPr>
              <w:t>biométhane, biocarburants liquides de deuxième génération pour les transports et hydrogène renouvelable)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E74B36" w14:textId="0716AD6B" w:rsidR="00FA40E8" w:rsidRDefault="00E74AE8">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3D3301" w14:textId="0C078671" w:rsidR="00FA40E8" w:rsidRDefault="00E74AE8">
            <w:pPr>
              <w:pStyle w:val="P68B1DB1-Normal13"/>
              <w:spacing w:before="60" w:after="60"/>
              <w:textAlignment w:val="baseline"/>
              <w:rPr>
                <w:noProof/>
              </w:rPr>
            </w:pPr>
            <w:r>
              <w:rPr>
                <w:noProof/>
              </w:rPr>
              <w:t>Mise en service d’un système informatique d’unités de comptabilisation des carburants renouvelables destinés aux transports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DA85C7" w14:textId="17BD42BE" w:rsidR="00FA40E8" w:rsidRDefault="00E74AE8">
            <w:pPr>
              <w:pStyle w:val="P68B1DB1-Normal13"/>
              <w:spacing w:before="60" w:after="60"/>
              <w:textAlignment w:val="baseline"/>
              <w:rPr>
                <w:noProof/>
              </w:rPr>
            </w:pPr>
            <w:r>
              <w:rPr>
                <w:noProof/>
              </w:rPr>
              <w:t xml:space="preserve">Système informatique </w:t>
            </w:r>
            <w:r>
              <w:rPr>
                <w:noProof/>
              </w:rPr>
              <w:t>d’unités comptables pour les carburants produits à partir de sources renouvelables opérationnel</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4B0A06" w14:textId="52B63483" w:rsidR="00FA40E8" w:rsidRDefault="00FA40E8">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CC3CC8" w14:textId="330955FD" w:rsidR="00FA40E8" w:rsidRDefault="00FA40E8">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448BC4" w14:textId="0834A0EE"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2B2A024" w14:textId="660E9204" w:rsidR="00FA40E8" w:rsidRDefault="00E74AE8">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B658ED" w14:textId="58048F33" w:rsidR="00FA40E8" w:rsidRDefault="00E74AE8">
            <w:pPr>
              <w:pStyle w:val="P68B1DB1-Normal13"/>
              <w:spacing w:before="60" w:after="60"/>
              <w:jc w:val="center"/>
              <w:rPr>
                <w:noProof/>
              </w:rPr>
            </w:pPr>
            <w:r>
              <w:rPr>
                <w:noProof/>
              </w:rPr>
              <w:t>2021</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7E3963" w14:textId="278D27A1" w:rsidR="00FA40E8" w:rsidRDefault="00E74AE8">
            <w:pPr>
              <w:pStyle w:val="P68B1DB1-Normal13"/>
              <w:spacing w:before="60" w:after="60"/>
              <w:jc w:val="both"/>
              <w:textAlignment w:val="baseline"/>
              <w:rPr>
                <w:noProof/>
              </w:rPr>
            </w:pPr>
            <w:r>
              <w:rPr>
                <w:noProof/>
              </w:rPr>
              <w:t>Afin de garantir le niveau de consommation de gaz biométhane dans le secteur des transports, une plateforme informatique appropriée est mise en place</w:t>
            </w:r>
            <w:r>
              <w:rPr>
                <w:noProof/>
              </w:rPr>
              <w:t xml:space="preserve"> pour enregistrer les quantités de gaz biométhane et d’autres carburants renouvelables fournies au secteur des transports et les certificats délivrés aux producteurs pour lesquels le gaz obtenu est utilisé pour remplir les obligations en matière de carbura</w:t>
            </w:r>
            <w:r>
              <w:rPr>
                <w:noProof/>
              </w:rPr>
              <w:t>nts.</w:t>
            </w:r>
          </w:p>
        </w:tc>
      </w:tr>
      <w:tr w:rsidR="00FA40E8" w14:paraId="7D218992" w14:textId="77777777">
        <w:trPr>
          <w:trHeight w:val="384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C021CD" w14:textId="6D362686" w:rsidR="00FA40E8" w:rsidRDefault="00E74AE8">
            <w:pPr>
              <w:pStyle w:val="P68B1DB1-Normal13"/>
              <w:spacing w:before="60" w:after="60"/>
              <w:jc w:val="center"/>
              <w:rPr>
                <w:noProof/>
              </w:rPr>
            </w:pPr>
            <w:r>
              <w:rPr>
                <w:noProof/>
              </w:rPr>
              <w:t>45</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DDBB4B" w14:textId="57CD1334" w:rsidR="00FA40E8" w:rsidRDefault="00E74AE8">
            <w:pPr>
              <w:pStyle w:val="P68B1DB1-Normal13"/>
              <w:spacing w:before="60" w:after="60"/>
              <w:rPr>
                <w:noProof/>
              </w:rPr>
            </w:pPr>
            <w:r>
              <w:rPr>
                <w:noProof/>
              </w:rPr>
              <w:t>B.1.2 Promouvoir sans polluer l’environnement — B.1.2.4. Soutien au secteur des carburants SER</w:t>
            </w:r>
            <w:r>
              <w:rPr>
                <w:noProof/>
                <w:u w:val="single"/>
              </w:rPr>
              <w:t xml:space="preserve"> </w:t>
            </w:r>
            <w:r>
              <w:rPr>
                <w:noProof/>
              </w:rPr>
              <w:t>(gaz biométhane, biocarburants liquides de deuxième génération pour les transports et hydrogène renouvelable)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6715F9" w14:textId="70F97E3A"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2B040" w14:textId="7CDFF8AF" w:rsidR="00FA40E8" w:rsidRDefault="00E74AE8">
            <w:pPr>
              <w:pStyle w:val="P68B1DB1-Normal13"/>
              <w:spacing w:before="60" w:after="60"/>
              <w:textAlignment w:val="baseline"/>
              <w:rPr>
                <w:noProof/>
              </w:rPr>
            </w:pPr>
            <w:r>
              <w:rPr>
                <w:noProof/>
              </w:rPr>
              <w:t xml:space="preserve">Capacité totale installée des </w:t>
            </w:r>
            <w:r>
              <w:rPr>
                <w:noProof/>
              </w:rPr>
              <w:t>nouvelles installations de production de gaz biométhane et d’hydrogène renouvelable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F042F8" w14:textId="7C00C26B" w:rsidR="00FA40E8" w:rsidRDefault="00FA40E8">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45F503" w14:textId="442F7270" w:rsidR="00FA40E8" w:rsidRDefault="00E74AE8">
            <w:pPr>
              <w:pStyle w:val="P68B1DB1-Normal13"/>
              <w:spacing w:before="60" w:after="60"/>
              <w:jc w:val="center"/>
              <w:rPr>
                <w:noProof/>
              </w:rPr>
            </w:pPr>
            <w:r>
              <w:rPr>
                <w:noProof/>
              </w:rPr>
              <w:t>MW</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D57AE2" w14:textId="6B461E5B"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D8279C" w14:textId="4BB4FEC9" w:rsidR="00FA40E8" w:rsidRDefault="00E74AE8">
            <w:pPr>
              <w:pStyle w:val="P68B1DB1-Normal13"/>
              <w:spacing w:before="60" w:after="60"/>
              <w:jc w:val="center"/>
              <w:rPr>
                <w:noProof/>
              </w:rPr>
            </w:pPr>
            <w:r>
              <w:rPr>
                <w:noProof/>
              </w:rPr>
              <w:t>21.84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748103" w14:textId="3DDB04F6"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8614CC" w14:textId="165A3194"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883830" w14:textId="0F7AF20E" w:rsidR="00FA40E8" w:rsidRDefault="00E74AE8">
            <w:pPr>
              <w:pStyle w:val="P68B1DB1-Normal13"/>
              <w:spacing w:before="60" w:after="60"/>
              <w:jc w:val="both"/>
              <w:textAlignment w:val="baseline"/>
              <w:rPr>
                <w:rFonts w:cs="Segoe UI"/>
                <w:noProof/>
              </w:rPr>
            </w:pPr>
            <w:r>
              <w:rPr>
                <w:noProof/>
              </w:rPr>
              <w:t>2 nouvelles installations de production de gaz de biométhane sont installées et 2 nouvelles installations de production de gaz de biométhane sont instal</w:t>
            </w:r>
            <w:r>
              <w:rPr>
                <w:noProof/>
              </w:rPr>
              <w:t>lées et raccordées au réseau de gaz naturel, pour une capacité combinée de 17,84 MW. En outre, 4 MW d’installations de production d’hydrogène renouvelable sont installés et connectés au réseau électrique.</w:t>
            </w:r>
          </w:p>
          <w:p w14:paraId="1ED8C59B" w14:textId="0DD5CA7C" w:rsidR="00FA40E8" w:rsidRDefault="00E74AE8">
            <w:pPr>
              <w:pStyle w:val="P68B1DB1-Normal13"/>
              <w:spacing w:before="60" w:after="60"/>
              <w:jc w:val="both"/>
              <w:textAlignment w:val="baseline"/>
              <w:rPr>
                <w:noProof/>
              </w:rPr>
            </w:pPr>
            <w:r>
              <w:rPr>
                <w:noProof/>
              </w:rPr>
              <w:t>L’investissement respecte les critères de durabilit</w:t>
            </w:r>
            <w:r>
              <w:rPr>
                <w:noProof/>
              </w:rPr>
              <w:t>é et de réduction des émissions de gaz à effet de serre énoncés à l’article 26, paragraphes 29 à 31, de la directive 2018/2001 relative à la promotion de l’utilisation de l’énergie produite à partir de sources renouvelables.</w:t>
            </w:r>
          </w:p>
        </w:tc>
      </w:tr>
      <w:tr w:rsidR="00FA40E8" w14:paraId="7648BB18"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482334" w14:textId="763C740B" w:rsidR="00FA40E8" w:rsidRDefault="00E74AE8">
            <w:pPr>
              <w:pStyle w:val="P68B1DB1-Normal13"/>
              <w:spacing w:before="60" w:after="60"/>
              <w:jc w:val="center"/>
              <w:rPr>
                <w:noProof/>
              </w:rPr>
            </w:pPr>
            <w:r>
              <w:rPr>
                <w:noProof/>
              </w:rPr>
              <w:t>46</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7B6EC3" w14:textId="27ADB667" w:rsidR="00FA40E8" w:rsidRDefault="00E74AE8">
            <w:pPr>
              <w:pStyle w:val="P68B1DB1-Normal13"/>
              <w:spacing w:before="60" w:after="60"/>
              <w:rPr>
                <w:noProof/>
              </w:rPr>
            </w:pPr>
            <w:r>
              <w:rPr>
                <w:noProof/>
              </w:rPr>
              <w:t xml:space="preserve">B.1.2 Promouvoir sans </w:t>
            </w:r>
            <w:r>
              <w:rPr>
                <w:noProof/>
              </w:rPr>
              <w:t>polluer l’environnement — B.1.2.4. Soutien au secteur des carburants SER</w:t>
            </w:r>
            <w:r>
              <w:rPr>
                <w:noProof/>
                <w:u w:val="single"/>
              </w:rPr>
              <w:t xml:space="preserve"> </w:t>
            </w:r>
            <w:r>
              <w:rPr>
                <w:noProof/>
              </w:rPr>
              <w:t>(gaz biométhane, biocarburants liquides de deuxième génération pour les transports et hydrogène renouvelable)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5505C1" w14:textId="1D850B1B"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CAB1ED" w14:textId="1407BB84" w:rsidR="00FA40E8" w:rsidRDefault="00E74AE8">
            <w:pPr>
              <w:pStyle w:val="P68B1DB1-Normal13"/>
              <w:spacing w:before="60" w:after="60"/>
              <w:textAlignment w:val="baseline"/>
              <w:rPr>
                <w:noProof/>
              </w:rPr>
            </w:pPr>
            <w:r>
              <w:rPr>
                <w:noProof/>
              </w:rPr>
              <w:t xml:space="preserve">Production annuelle supplémentaire de biocarburants liquides de </w:t>
            </w:r>
            <w:r>
              <w:rPr>
                <w:noProof/>
              </w:rPr>
              <w:t>deuxième génération</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18B1C2" w14:textId="07B16CFB" w:rsidR="00FA40E8" w:rsidRDefault="00FA40E8">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681F17" w14:textId="3CAE8B3C" w:rsidR="00FA40E8" w:rsidRDefault="00E74AE8">
            <w:pPr>
              <w:pStyle w:val="P68B1DB1-Normal13"/>
              <w:spacing w:before="60" w:after="60"/>
              <w:jc w:val="center"/>
              <w:rPr>
                <w:noProof/>
              </w:rPr>
            </w:pPr>
            <w:r>
              <w:rPr>
                <w:noProof/>
              </w:rPr>
              <w:t>KTEP</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7D975D" w14:textId="0F206387"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2494BE" w14:textId="4E3B56B3" w:rsidR="00FA40E8" w:rsidRDefault="00E74AE8">
            <w:pPr>
              <w:pStyle w:val="P68B1DB1-Normal13"/>
              <w:spacing w:before="60" w:after="60"/>
              <w:jc w:val="center"/>
              <w:rPr>
                <w:noProof/>
              </w:rPr>
            </w:pPr>
            <w:r>
              <w:rPr>
                <w:noProof/>
              </w:rPr>
              <w:t>12.4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6AFB37" w14:textId="001B0F0D"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C343DAE" w14:textId="291D27A9"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BB1962" w14:textId="3F28EFDC" w:rsidR="00FA40E8" w:rsidRDefault="00E74AE8">
            <w:pPr>
              <w:pStyle w:val="P68B1DB1-Normal13"/>
              <w:spacing w:before="60" w:after="60"/>
              <w:jc w:val="both"/>
              <w:textAlignment w:val="baseline"/>
              <w:rPr>
                <w:noProof/>
              </w:rPr>
            </w:pPr>
            <w:r>
              <w:rPr>
                <w:noProof/>
              </w:rPr>
              <w:t>12.4 ktep supplémentaires de biocarburants liquides de deuxième génération sont produits dans la capacité de production installée.</w:t>
            </w:r>
          </w:p>
          <w:p w14:paraId="1B2F07BE" w14:textId="17634909" w:rsidR="00FA40E8" w:rsidRDefault="00E74AE8">
            <w:pPr>
              <w:pStyle w:val="P68B1DB1-Normal13"/>
              <w:spacing w:before="60" w:after="60"/>
              <w:jc w:val="both"/>
              <w:textAlignment w:val="baseline"/>
              <w:rPr>
                <w:noProof/>
              </w:rPr>
            </w:pPr>
            <w:r>
              <w:rPr>
                <w:noProof/>
              </w:rPr>
              <w:t>Afin de se conformer aux orientations techniques «Ne pas causer de préjudice importa</w:t>
            </w:r>
            <w:r>
              <w:rPr>
                <w:noProof/>
              </w:rPr>
              <w:t>nt» (2021/C58/01), le biocarburant liquide de deuxième génération est produit à partir des stocks d’aliments pour animaux énumérés à l’annexe IX de la directive sur les énergies renouvelables.</w:t>
            </w:r>
          </w:p>
        </w:tc>
      </w:tr>
      <w:tr w:rsidR="00FA40E8" w14:paraId="36F2AAD5"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12AE53" w14:textId="0373E7BA" w:rsidR="00FA40E8" w:rsidRDefault="00E74AE8">
            <w:pPr>
              <w:pStyle w:val="P68B1DB1-Normal13"/>
              <w:spacing w:before="60" w:after="60"/>
              <w:jc w:val="center"/>
              <w:rPr>
                <w:noProof/>
              </w:rPr>
            </w:pPr>
            <w:r>
              <w:rPr>
                <w:noProof/>
              </w:rPr>
              <w:t>48</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B68936" w14:textId="7014B06A" w:rsidR="00FA40E8" w:rsidRDefault="00E74AE8">
            <w:pPr>
              <w:pStyle w:val="P68B1DB1-Normal13"/>
              <w:spacing w:before="60" w:after="60"/>
              <w:rPr>
                <w:noProof/>
              </w:rPr>
            </w:pPr>
            <w:r>
              <w:rPr>
                <w:noProof/>
              </w:rPr>
              <w:t xml:space="preserve">B.1.3 Accélérer la rénovation des bâtiments et un </w:t>
            </w:r>
            <w:r>
              <w:rPr>
                <w:noProof/>
              </w:rPr>
              <w:t>environnement urbain durable — B.1.3.1. Mise à jour des trains de mesures et des normes en matière de rénovation des bâtiments et création d’une méthodologie pour le développement de villes durables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BA9509" w14:textId="2048D71A" w:rsidR="00FA40E8" w:rsidRDefault="00E74AE8">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784D14" w14:textId="2570BD5D" w:rsidR="00FA40E8" w:rsidRDefault="00E74AE8">
            <w:pPr>
              <w:pStyle w:val="P68B1DB1-Normal13"/>
              <w:spacing w:before="60" w:after="60"/>
              <w:textAlignment w:val="baseline"/>
              <w:rPr>
                <w:rFonts w:cs="Segoe UI"/>
                <w:noProof/>
              </w:rPr>
            </w:pPr>
            <w:r>
              <w:rPr>
                <w:noProof/>
              </w:rPr>
              <w:t>Entrée en vigueur des actes législatifs suivants:</w:t>
            </w:r>
          </w:p>
          <w:p w14:paraId="2B31C1C6" w14:textId="036525C5" w:rsidR="00FA40E8" w:rsidRDefault="00E74AE8">
            <w:pPr>
              <w:pStyle w:val="P68B1DB1-Normal13"/>
              <w:spacing w:before="60" w:after="60"/>
              <w:textAlignment w:val="baseline"/>
              <w:rPr>
                <w:rFonts w:cs="Segoe UI"/>
                <w:noProof/>
              </w:rPr>
            </w:pPr>
            <w:r>
              <w:rPr>
                <w:noProof/>
              </w:rPr>
              <w:t>a</w:t>
            </w:r>
            <w:r>
              <w:rPr>
                <w:noProof/>
              </w:rPr>
              <w:t>) le plan de mise en œuvre de la stratégie à long terme de rénovation des bâtiments</w:t>
            </w:r>
          </w:p>
          <w:p w14:paraId="2EE383AD" w14:textId="606806BB" w:rsidR="00FA40E8" w:rsidRDefault="00E74AE8">
            <w:pPr>
              <w:pStyle w:val="P68B1DB1-Normal13"/>
              <w:spacing w:before="60" w:after="60"/>
              <w:textAlignment w:val="baseline"/>
              <w:rPr>
                <w:rFonts w:cs="Segoe UI"/>
                <w:noProof/>
              </w:rPr>
            </w:pPr>
            <w:r>
              <w:rPr>
                <w:noProof/>
              </w:rPr>
              <w:t xml:space="preserve">b) Modification du règlement technique de construction «Conception et certification de la performance énergétique des bâtiments», approuvée par l’ordonnance no D2016-11 du </w:t>
            </w:r>
            <w:r>
              <w:rPr>
                <w:noProof/>
              </w:rPr>
              <w:t>ministre de l’environnement no 11-1 du 754—</w:t>
            </w:r>
          </w:p>
          <w:p w14:paraId="693F46E8" w14:textId="11D72E98" w:rsidR="00FA40E8" w:rsidRDefault="00E74AE8">
            <w:pPr>
              <w:pStyle w:val="P68B1DB1-Normal13"/>
              <w:spacing w:before="60" w:after="60"/>
              <w:textAlignment w:val="baseline"/>
              <w:rPr>
                <w:rFonts w:cs="Segoe UI"/>
                <w:noProof/>
              </w:rPr>
            </w:pPr>
            <w:r>
              <w:rPr>
                <w:noProof/>
              </w:rPr>
              <w:t>c) Lignes directrices pour le développement urbain durable approuvées par arrêté du ministre de l’environnement</w:t>
            </w:r>
          </w:p>
          <w:p w14:paraId="7BF471DA" w14:textId="07233DF6" w:rsidR="00FA40E8" w:rsidRDefault="00E74AE8">
            <w:pPr>
              <w:pStyle w:val="P68B1DB1-Normal13"/>
              <w:spacing w:before="60" w:after="60"/>
              <w:textAlignment w:val="baseline"/>
              <w:rPr>
                <w:noProof/>
              </w:rPr>
            </w:pPr>
            <w:r>
              <w:rPr>
                <w:noProof/>
              </w:rPr>
              <w:t xml:space="preserve">d) Modification du règlement technique de construction CTR 2.05.07: 2005 «Conception des structures </w:t>
            </w:r>
            <w:r>
              <w:rPr>
                <w:noProof/>
              </w:rPr>
              <w:t>en bois», approuvé par 2005-02-10 ordonnance no D1-79 du ministre de l’environnement</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C0B480" w14:textId="6E0CB771" w:rsidR="00FA40E8" w:rsidRDefault="00E74AE8">
            <w:pPr>
              <w:pStyle w:val="P68B1DB1-Normal13"/>
              <w:spacing w:before="60" w:after="60"/>
              <w:textAlignment w:val="baseline"/>
              <w:rPr>
                <w:noProof/>
              </w:rPr>
            </w:pPr>
            <w:r>
              <w:rPr>
                <w:noProof/>
              </w:rPr>
              <w:t>Entrée en vigueur de la législation</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D97986" w14:textId="78E66947" w:rsidR="00FA40E8" w:rsidRDefault="00FA40E8">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180097" w14:textId="3A61B31E" w:rsidR="00FA40E8" w:rsidRDefault="00FA40E8">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DB84D0" w14:textId="51215625"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B82DEE1" w14:textId="31B7DC1A" w:rsidR="00FA40E8" w:rsidRDefault="00E74AE8">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AD23DF" w14:textId="28854F44" w:rsidR="00FA40E8" w:rsidRDefault="00E74AE8">
            <w:pPr>
              <w:pStyle w:val="P68B1DB1-Normal13"/>
              <w:spacing w:before="60" w:after="60"/>
              <w:jc w:val="center"/>
              <w:rPr>
                <w:noProof/>
              </w:rPr>
            </w:pPr>
            <w:r>
              <w:rPr>
                <w:noProof/>
              </w:rPr>
              <w:t>2023</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1C9DC7" w14:textId="07CCD3C5" w:rsidR="00FA40E8" w:rsidRDefault="00E74AE8">
            <w:pPr>
              <w:pStyle w:val="P68B1DB1-Normal13"/>
              <w:spacing w:before="60" w:after="60"/>
              <w:jc w:val="both"/>
              <w:textAlignment w:val="baseline"/>
              <w:rPr>
                <w:rFonts w:cs="Segoe UI"/>
                <w:noProof/>
              </w:rPr>
            </w:pPr>
            <w:r>
              <w:rPr>
                <w:noProof/>
              </w:rPr>
              <w:t>Les actes législatifs suivants ont été approuvés et sont entrés en vigueur:</w:t>
            </w:r>
          </w:p>
          <w:p w14:paraId="597B5910" w14:textId="69E1E4C0" w:rsidR="00FA40E8" w:rsidRDefault="00E74AE8">
            <w:pPr>
              <w:pStyle w:val="P68B1DB1-Normal13"/>
              <w:spacing w:before="60" w:after="60"/>
              <w:jc w:val="both"/>
              <w:textAlignment w:val="baseline"/>
              <w:rPr>
                <w:rFonts w:cs="Segoe UI"/>
                <w:noProof/>
              </w:rPr>
            </w:pPr>
            <w:r>
              <w:rPr>
                <w:noProof/>
              </w:rPr>
              <w:t>1. Le plan de mise en œuvre de la stratégie à lo</w:t>
            </w:r>
            <w:r>
              <w:rPr>
                <w:noProof/>
              </w:rPr>
              <w:t>ng terme de rénovation des bâtiments, qui prévoit:</w:t>
            </w:r>
          </w:p>
          <w:p w14:paraId="6DEACD14" w14:textId="5DC5AC05" w:rsidR="00FA40E8" w:rsidRDefault="00E74AE8">
            <w:pPr>
              <w:pStyle w:val="P68B1DB1-Normal13"/>
              <w:spacing w:before="60" w:after="60"/>
              <w:jc w:val="both"/>
              <w:textAlignment w:val="baseline"/>
              <w:rPr>
                <w:rFonts w:cs="Segoe UI"/>
                <w:noProof/>
              </w:rPr>
            </w:pPr>
            <w:r>
              <w:rPr>
                <w:noProof/>
              </w:rPr>
              <w:t>1.1. un plan législatif visant à accélérer la conversion des sites résidentiels, à formaliser l’utilisation des techniques de modélisation des informations relatives aux bâtiments (BIM), ainsi qu’à évaluer</w:t>
            </w:r>
            <w:r>
              <w:rPr>
                <w:noProof/>
              </w:rPr>
              <w:t xml:space="preserve"> les modèles possibles de conversion de sites, de reconstruction ou de rénovation de bâtiments existants;</w:t>
            </w:r>
          </w:p>
          <w:p w14:paraId="658892DC" w14:textId="52895F01" w:rsidR="00FA40E8" w:rsidRDefault="00E74AE8">
            <w:pPr>
              <w:pStyle w:val="P68B1DB1-Normal13"/>
              <w:spacing w:before="60" w:after="60"/>
              <w:jc w:val="both"/>
              <w:textAlignment w:val="baseline"/>
              <w:rPr>
                <w:rFonts w:cs="Segoe UI"/>
                <w:noProof/>
              </w:rPr>
            </w:pPr>
            <w:r>
              <w:rPr>
                <w:noProof/>
              </w:rPr>
              <w:t>1.2. recommandations pour la préparation de projets de rénovation trimestriels.</w:t>
            </w:r>
          </w:p>
          <w:p w14:paraId="477F7876" w14:textId="608668C1" w:rsidR="00FA40E8" w:rsidRDefault="00E74AE8">
            <w:pPr>
              <w:pStyle w:val="P68B1DB1-Normal13"/>
              <w:spacing w:before="60" w:after="60"/>
              <w:jc w:val="both"/>
              <w:textAlignment w:val="baseline"/>
              <w:rPr>
                <w:rFonts w:cs="Segoe UI"/>
                <w:noProof/>
              </w:rPr>
            </w:pPr>
            <w:r>
              <w:rPr>
                <w:noProof/>
              </w:rPr>
              <w:t>2. Règlement technique de construction modifié «Conception et certific</w:t>
            </w:r>
            <w:r>
              <w:rPr>
                <w:noProof/>
              </w:rPr>
              <w:t>ation de la performance énergétique des bâtiments», approuvé le 2016-11-11 par l’arrêté no D1-754 du ministre de l’environnement, légitimant la classe de performance énergétique du bâtiment rénové au moins B.</w:t>
            </w:r>
          </w:p>
          <w:p w14:paraId="43DA7466" w14:textId="5C88CCE0" w:rsidR="00FA40E8" w:rsidRDefault="00E74AE8">
            <w:pPr>
              <w:pStyle w:val="P68B1DB1-Normal13"/>
              <w:spacing w:before="60" w:after="60"/>
              <w:jc w:val="both"/>
              <w:textAlignment w:val="baseline"/>
              <w:rPr>
                <w:rFonts w:cs="Segoe UI"/>
                <w:noProof/>
              </w:rPr>
            </w:pPr>
            <w:r>
              <w:rPr>
                <w:noProof/>
              </w:rPr>
              <w:t xml:space="preserve">3. Lignes directrices pour le développement </w:t>
            </w:r>
            <w:r>
              <w:rPr>
                <w:noProof/>
              </w:rPr>
              <w:t>urbain durable, qui définissent les indicateurs pour les villes durables et la méthode de calcul de ces indicateurs.</w:t>
            </w:r>
          </w:p>
          <w:p w14:paraId="2B45FC74" w14:textId="3D4A6771" w:rsidR="00FA40E8" w:rsidRDefault="00E74AE8">
            <w:pPr>
              <w:pStyle w:val="P68B1DB1-Normal13"/>
              <w:spacing w:before="60" w:after="60"/>
              <w:jc w:val="both"/>
              <w:textAlignment w:val="baseline"/>
              <w:rPr>
                <w:noProof/>
              </w:rPr>
            </w:pPr>
            <w:r>
              <w:rPr>
                <w:noProof/>
              </w:rPr>
              <w:t xml:space="preserve">4. Modification du règlement technique de construction CTR 2.05.07: 2005 «Conception des structures en bois», approuvé par l’ordonnance no </w:t>
            </w:r>
            <w:r>
              <w:rPr>
                <w:noProof/>
              </w:rPr>
              <w:t>D2005-02 du ministre de l’environnement du 10-1-79, étendant l’utilisation des produits de construction en bois dans les bâtiments polyvalents.</w:t>
            </w:r>
          </w:p>
        </w:tc>
      </w:tr>
      <w:tr w:rsidR="00FA40E8" w14:paraId="7ED8ED81"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9DFE23" w14:textId="6A6F1EC2" w:rsidR="00FA40E8" w:rsidRDefault="00E74AE8">
            <w:pPr>
              <w:pStyle w:val="P68B1DB1-Normal13"/>
              <w:spacing w:before="60" w:after="60"/>
              <w:jc w:val="center"/>
              <w:rPr>
                <w:noProof/>
              </w:rPr>
            </w:pPr>
            <w:r>
              <w:rPr>
                <w:noProof/>
              </w:rPr>
              <w:t>50</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2B4F0A" w14:textId="43FBE7F8" w:rsidR="00FA40E8" w:rsidRDefault="00E74AE8">
            <w:pPr>
              <w:pStyle w:val="P68B1DB1-Normal13"/>
              <w:spacing w:before="60" w:after="60"/>
              <w:rPr>
                <w:noProof/>
              </w:rPr>
            </w:pPr>
            <w:r>
              <w:rPr>
                <w:noProof/>
              </w:rPr>
              <w:t xml:space="preserve">B.1.3 Accélérer la rénovation des bâtiments et un environnement urbain durable — B.1.3.2. Outils pour </w:t>
            </w:r>
            <w:r>
              <w:rPr>
                <w:noProof/>
              </w:rPr>
              <w:t>faciliter la coordination de la rénovation des bâtiments et l’assistance technique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843A08" w14:textId="31FEF9B9" w:rsidR="00FA40E8" w:rsidRDefault="00E74AE8">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B30114" w14:textId="1DBF05E0" w:rsidR="00FA40E8" w:rsidRDefault="00E74AE8">
            <w:pPr>
              <w:pStyle w:val="P68B1DB1-Normal13"/>
              <w:spacing w:before="60" w:after="60"/>
              <w:textAlignment w:val="baseline"/>
              <w:rPr>
                <w:noProof/>
              </w:rPr>
            </w:pPr>
            <w:r>
              <w:rPr>
                <w:noProof/>
              </w:rPr>
              <w:t>Création et mise en service d’un centre de compétences pour la rénovation des bâtiments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3D0A45" w14:textId="445129C8" w:rsidR="00FA40E8" w:rsidRDefault="00E74AE8">
            <w:pPr>
              <w:pStyle w:val="P68B1DB1-Normal13"/>
              <w:spacing w:before="60" w:after="60"/>
              <w:textAlignment w:val="baseline"/>
              <w:rPr>
                <w:noProof/>
              </w:rPr>
            </w:pPr>
            <w:r>
              <w:rPr>
                <w:noProof/>
              </w:rPr>
              <w:t>Entrée en vigueur de la législation</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BFE723" w14:textId="78BCBB77" w:rsidR="00FA40E8" w:rsidRDefault="00FA40E8">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1308A5" w14:textId="7B70ADF3" w:rsidR="00FA40E8" w:rsidRDefault="00FA40E8">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3FA777" w14:textId="2CCE4EDF"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084E15" w14:textId="01B483C7" w:rsidR="00FA40E8" w:rsidRDefault="00E74AE8">
            <w:pPr>
              <w:pStyle w:val="P68B1DB1-Normal13"/>
              <w:spacing w:before="60" w:after="6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A84AE8" w14:textId="053016B4" w:rsidR="00FA40E8" w:rsidRDefault="00E74AE8">
            <w:pPr>
              <w:pStyle w:val="P68B1DB1-Normal13"/>
              <w:spacing w:before="60" w:after="60"/>
              <w:jc w:val="center"/>
              <w:rPr>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F645E" w14:textId="598C2A66" w:rsidR="00FA40E8" w:rsidRDefault="00E74AE8">
            <w:pPr>
              <w:pStyle w:val="P68B1DB1-Normal13"/>
              <w:spacing w:before="60" w:after="60"/>
              <w:jc w:val="both"/>
              <w:textAlignment w:val="baseline"/>
              <w:rPr>
                <w:rFonts w:cs="Segoe UI"/>
                <w:noProof/>
              </w:rPr>
            </w:pPr>
            <w:r>
              <w:rPr>
                <w:noProof/>
              </w:rPr>
              <w:t>1. Statuts de l’agence de gestio</w:t>
            </w:r>
            <w:r>
              <w:rPr>
                <w:noProof/>
              </w:rPr>
              <w:t xml:space="preserve">n de projets environnementaux établissant les fonctions d’administration du programme de rénovation (modernisation) des immeubles à appartements ainsi que la gestion des financements provenant de diverses sources, tels qu’ils sont actuellement exercés par </w:t>
            </w:r>
            <w:r>
              <w:rPr>
                <w:noProof/>
              </w:rPr>
              <w:t>l’agence pour l’efficacité énergétique du logement, modifiés par l’arrêté du ministre de l’environnement adopté et entré en vigueur.</w:t>
            </w:r>
          </w:p>
          <w:p w14:paraId="694E6080" w14:textId="5C76F95B" w:rsidR="00FA40E8" w:rsidRDefault="00E74AE8">
            <w:pPr>
              <w:pStyle w:val="P68B1DB1-Normal13"/>
              <w:spacing w:before="60" w:after="60"/>
              <w:jc w:val="both"/>
              <w:textAlignment w:val="baseline"/>
              <w:rPr>
                <w:noProof/>
              </w:rPr>
            </w:pPr>
            <w:r>
              <w:rPr>
                <w:noProof/>
              </w:rPr>
              <w:t>2. Le Centre de compétences pour la rénovation des bâtiments (unité EPMA), guichet unique (50 % des postes vacants au Centr</w:t>
            </w:r>
            <w:r>
              <w:rPr>
                <w:noProof/>
              </w:rPr>
              <w:t>e de compétences sont pourvus), est opérationnel.</w:t>
            </w:r>
          </w:p>
        </w:tc>
      </w:tr>
      <w:tr w:rsidR="00FA40E8" w14:paraId="113CACF1"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802C36" w14:textId="5B49054D" w:rsidR="00FA40E8" w:rsidRDefault="00E74AE8">
            <w:pPr>
              <w:pStyle w:val="P68B1DB1-Normal13"/>
              <w:spacing w:before="60" w:after="60"/>
              <w:jc w:val="center"/>
              <w:rPr>
                <w:noProof/>
              </w:rPr>
            </w:pPr>
            <w:r>
              <w:rPr>
                <w:noProof/>
              </w:rPr>
              <w:t>51</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2CFB04" w14:textId="1B5D54BC" w:rsidR="00FA40E8" w:rsidRDefault="00E74AE8">
            <w:pPr>
              <w:pStyle w:val="P68B1DB1-Normal13"/>
              <w:spacing w:before="60" w:after="60"/>
              <w:rPr>
                <w:noProof/>
              </w:rPr>
            </w:pPr>
            <w:r>
              <w:rPr>
                <w:noProof/>
              </w:rPr>
              <w:t>B.1.3 Accélérer la rénovation des bâtiments et un environnement urbain durable — B.1.3.2. Outils pour faciliter la coordination de la rénovation des bâtiments et l’assistance technique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1A6BBC5" w14:textId="66886A24"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7E3CF3" w14:textId="3AF13982" w:rsidR="00FA40E8" w:rsidRDefault="00E74AE8">
            <w:pPr>
              <w:pStyle w:val="P68B1DB1-Normal13"/>
              <w:spacing w:before="60" w:after="60"/>
              <w:textAlignment w:val="baseline"/>
              <w:rPr>
                <w:noProof/>
              </w:rPr>
            </w:pPr>
            <w:r>
              <w:rPr>
                <w:noProof/>
              </w:rPr>
              <w:t xml:space="preserve">Fourniture d’outils numériques liés à la rénovation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F4FB96" w14:textId="54F9EFC9" w:rsidR="00FA40E8" w:rsidRDefault="00FA40E8">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6648401" w14:textId="1370D23B" w:rsidR="00FA40E8" w:rsidRDefault="00E74AE8">
            <w:pPr>
              <w:pStyle w:val="P68B1DB1-Normal13"/>
              <w:spacing w:before="60" w:after="60"/>
              <w:jc w:val="center"/>
              <w:rPr>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290462" w14:textId="6A3DE910"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9A24A0" w14:textId="6422FD87" w:rsidR="00FA40E8" w:rsidRDefault="00E74AE8">
            <w:pPr>
              <w:pStyle w:val="P68B1DB1-Normal13"/>
              <w:spacing w:before="60" w:after="60"/>
              <w:jc w:val="center"/>
              <w:rPr>
                <w:noProof/>
              </w:rPr>
            </w:pPr>
            <w:r>
              <w:rPr>
                <w:noProof/>
              </w:rPr>
              <w:t>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7C0615" w14:textId="2D650168" w:rsidR="00FA40E8" w:rsidRDefault="00E74AE8">
            <w:pPr>
              <w:pStyle w:val="P68B1DB1-Normal13"/>
              <w:spacing w:before="60" w:after="60"/>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024C69" w14:textId="16F3B2B3" w:rsidR="00FA40E8" w:rsidRDefault="00E74AE8">
            <w:pPr>
              <w:pStyle w:val="P68B1DB1-Normal13"/>
              <w:spacing w:before="60" w:after="60"/>
              <w:jc w:val="center"/>
              <w:rPr>
                <w:noProof/>
              </w:rPr>
            </w:pPr>
            <w:r>
              <w:rPr>
                <w:noProof/>
              </w:rPr>
              <w:t>2025</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E260CA" w14:textId="265A51B2" w:rsidR="00FA40E8" w:rsidRDefault="00E74AE8">
            <w:pPr>
              <w:pStyle w:val="P68B1DB1-Normal13"/>
              <w:spacing w:after="0"/>
              <w:jc w:val="both"/>
              <w:textAlignment w:val="baseline"/>
              <w:rPr>
                <w:rFonts w:cs="Segoe UI"/>
                <w:noProof/>
              </w:rPr>
            </w:pPr>
            <w:r>
              <w:rPr>
                <w:noProof/>
              </w:rPr>
              <w:t>Des outils numériques couvrant deux systèmes d’information sont fournis, couvrant:</w:t>
            </w:r>
          </w:p>
          <w:p w14:paraId="7B2FFA69" w14:textId="71FCEC4F" w:rsidR="00FA40E8" w:rsidRDefault="00E74AE8">
            <w:pPr>
              <w:pStyle w:val="P68B1DB1-Normal13"/>
              <w:spacing w:after="0"/>
              <w:jc w:val="both"/>
              <w:textAlignment w:val="baseline"/>
              <w:rPr>
                <w:noProof/>
              </w:rPr>
            </w:pPr>
            <w:r>
              <w:rPr>
                <w:noProof/>
              </w:rPr>
              <w:t>1. Outil méthodologique numérique pour la préparation de projets d’investissement, spécifications te</w:t>
            </w:r>
            <w:r>
              <w:rPr>
                <w:noProof/>
              </w:rPr>
              <w:t>chniques standard pour la conception et les travaux sous-traités;</w:t>
            </w:r>
          </w:p>
          <w:p w14:paraId="5FF25DA2" w14:textId="1EAC1286" w:rsidR="00FA40E8" w:rsidRDefault="00E74AE8">
            <w:pPr>
              <w:pStyle w:val="P68B1DB1-Normal13"/>
              <w:spacing w:after="0"/>
              <w:jc w:val="both"/>
              <w:textAlignment w:val="baseline"/>
              <w:rPr>
                <w:noProof/>
              </w:rPr>
            </w:pPr>
            <w:r>
              <w:rPr>
                <w:noProof/>
              </w:rPr>
              <w:t>2. Outil numérique d’administration des projets de rénovation des bâtiments;</w:t>
            </w:r>
          </w:p>
          <w:p w14:paraId="0D3A50DC" w14:textId="4A4F688F" w:rsidR="00FA40E8" w:rsidRDefault="00E74AE8">
            <w:pPr>
              <w:pStyle w:val="P68B1DB1-Normal13"/>
              <w:spacing w:after="0"/>
              <w:jc w:val="both"/>
              <w:textAlignment w:val="baseline"/>
              <w:rPr>
                <w:noProof/>
              </w:rPr>
            </w:pPr>
            <w:r>
              <w:rPr>
                <w:noProof/>
              </w:rPr>
              <w:t>3. Banque lituanienne de données immobilières.</w:t>
            </w:r>
          </w:p>
        </w:tc>
      </w:tr>
      <w:tr w:rsidR="00FA40E8" w14:paraId="18F44891"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9DBE53" w14:textId="5DDED8ED" w:rsidR="00FA40E8" w:rsidRDefault="00E74AE8">
            <w:pPr>
              <w:pStyle w:val="P68B1DB1-Normal13"/>
              <w:spacing w:before="60" w:after="60"/>
              <w:jc w:val="center"/>
              <w:rPr>
                <w:noProof/>
              </w:rPr>
            </w:pPr>
            <w:r>
              <w:rPr>
                <w:noProof/>
              </w:rPr>
              <w:t>52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B6D4A" w14:textId="636B1388" w:rsidR="00FA40E8" w:rsidRDefault="00E74AE8">
            <w:pPr>
              <w:pStyle w:val="P68B1DB1-Normal13"/>
              <w:spacing w:before="60" w:after="60"/>
              <w:rPr>
                <w:noProof/>
              </w:rPr>
            </w:pPr>
            <w:r>
              <w:rPr>
                <w:noProof/>
              </w:rPr>
              <w:t xml:space="preserve">B.1.3 Accélérer la rénovation des bâtiments et un </w:t>
            </w:r>
            <w:r>
              <w:rPr>
                <w:noProof/>
              </w:rPr>
              <w:t>environnement urbain durable — B.1.3.3. Fourniture de produits et de services de construction qui accélèrent la rénovation des bâtiments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BC8262" w14:textId="0BD7C02A"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E29C8E" w14:textId="1F6DA8EE" w:rsidR="00FA40E8" w:rsidRDefault="00E74AE8">
            <w:pPr>
              <w:pStyle w:val="P68B1DB1-Normal13"/>
              <w:spacing w:before="60" w:after="60"/>
              <w:textAlignment w:val="baseline"/>
              <w:rPr>
                <w:noProof/>
              </w:rPr>
            </w:pPr>
            <w:r>
              <w:rPr>
                <w:noProof/>
              </w:rPr>
              <w:t>Capacité de production installée de structures modulaires à partir de matériaux organiques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9CBAD8" w14:textId="4DA9A062" w:rsidR="00FA40E8" w:rsidRDefault="00FA40E8">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B8D759" w14:textId="7F7ABE0B" w:rsidR="00FA40E8" w:rsidRDefault="00E74AE8">
            <w:pPr>
              <w:pStyle w:val="P68B1DB1-Normal13"/>
              <w:spacing w:before="60" w:after="60"/>
              <w:jc w:val="center"/>
              <w:rPr>
                <w:noProof/>
              </w:rPr>
            </w:pPr>
            <w:r>
              <w:rPr>
                <w:noProof/>
              </w:rPr>
              <w:t>m²/an</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2A33DF" w14:textId="22D9A229"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14B0E0" w14:textId="644E2569" w:rsidR="00FA40E8" w:rsidRDefault="00E74AE8">
            <w:pPr>
              <w:pStyle w:val="P68B1DB1-Normal12"/>
              <w:spacing w:before="60" w:after="60"/>
              <w:jc w:val="center"/>
              <w:rPr>
                <w:rFonts w:eastAsia="Times New Roman" w:cs="Times New Roman"/>
                <w:noProof/>
              </w:rPr>
            </w:pPr>
            <w:r>
              <w:rPr>
                <w:noProof/>
              </w:rPr>
              <w:t>273 600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D26A6C" w14:textId="1DA46A5D"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49A48C" w14:textId="47913BBD"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3A7DAF" w14:textId="41C3332F" w:rsidR="00FA40E8" w:rsidRDefault="00E74AE8">
            <w:pPr>
              <w:pStyle w:val="P68B1DB1-Normal12"/>
              <w:spacing w:before="60" w:after="60"/>
              <w:jc w:val="both"/>
              <w:textAlignment w:val="baseline"/>
              <w:rPr>
                <w:rFonts w:eastAsia="Times New Roman" w:cs="Times New Roman"/>
                <w:noProof/>
              </w:rPr>
            </w:pPr>
            <w:r>
              <w:rPr>
                <w:noProof/>
              </w:rPr>
              <w:t>Nouvelles lignes de production installées de structures modulaires à partir de matériaux organiques d’une capacité de 273 600 m²/an.</w:t>
            </w:r>
          </w:p>
        </w:tc>
      </w:tr>
      <w:tr w:rsidR="00FA40E8" w14:paraId="459252DC"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CAE4EB" w14:textId="1E3FCE92" w:rsidR="00FA40E8" w:rsidRDefault="00E74AE8">
            <w:pPr>
              <w:pStyle w:val="P68B1DB1-Normal13"/>
              <w:spacing w:before="60" w:after="60"/>
              <w:jc w:val="center"/>
              <w:rPr>
                <w:noProof/>
              </w:rPr>
            </w:pPr>
            <w:r>
              <w:rPr>
                <w:noProof/>
              </w:rPr>
              <w:t>54</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BCB3AF" w14:textId="123F3AEC" w:rsidR="00FA40E8" w:rsidRDefault="00E74AE8">
            <w:pPr>
              <w:pStyle w:val="P68B1DB1-Normal13"/>
              <w:spacing w:before="60" w:after="60"/>
              <w:rPr>
                <w:noProof/>
              </w:rPr>
            </w:pPr>
            <w:r>
              <w:rPr>
                <w:noProof/>
              </w:rPr>
              <w:t xml:space="preserve">B.1.3 Accélérer la rénovation des bâtiments et un environnement urbain durable — B.1.3.4. Soutien à la rénovation des bâtiments </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460FC7" w14:textId="2804C28A"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D80F8C" w14:textId="59A7E14D" w:rsidR="00FA40E8" w:rsidRDefault="00E74AE8">
            <w:pPr>
              <w:pStyle w:val="P68B1DB1-Normal13"/>
              <w:spacing w:before="60" w:after="60"/>
              <w:textAlignment w:val="baseline"/>
              <w:rPr>
                <w:noProof/>
              </w:rPr>
            </w:pPr>
            <w:r>
              <w:rPr>
                <w:noProof/>
              </w:rPr>
              <w:t>Surface des immeubles comprenant plusieurs appartements rénovés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D947ED" w14:textId="4A0D960C" w:rsidR="00FA40E8" w:rsidRDefault="00FA40E8">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A90F50" w14:textId="06423510" w:rsidR="00FA40E8" w:rsidRDefault="00E74AE8">
            <w:pPr>
              <w:pStyle w:val="P68B1DB1-Normal13"/>
              <w:spacing w:before="60" w:after="60"/>
              <w:jc w:val="center"/>
              <w:rPr>
                <w:noProof/>
              </w:rPr>
            </w:pPr>
            <w:r>
              <w:rPr>
                <w:noProof/>
              </w:rPr>
              <w:t>m</w:t>
            </w:r>
            <w:r>
              <w:rPr>
                <w:noProof/>
                <w:vertAlign w:val="superscript"/>
              </w:rPr>
              <w:t xml:space="preserve"> 2</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BD3D16" w14:textId="1EA09BD9"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DD6AB4" w14:textId="36B08C13" w:rsidR="00FA40E8" w:rsidRDefault="00E74AE8">
            <w:pPr>
              <w:pStyle w:val="P68B1DB1-Normal12"/>
              <w:spacing w:before="60" w:after="60"/>
              <w:jc w:val="center"/>
              <w:rPr>
                <w:rFonts w:eastAsia="Times New Roman" w:cs="Times New Roman"/>
                <w:noProof/>
              </w:rPr>
            </w:pPr>
            <w:r>
              <w:rPr>
                <w:noProof/>
              </w:rPr>
              <w:t>880 000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5362F1" w14:textId="41DB4638"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079270" w14:textId="1421AB5D"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89B931" w14:textId="716A8CEB" w:rsidR="00FA40E8" w:rsidRDefault="00E74AE8">
            <w:pPr>
              <w:pStyle w:val="P68B1DB1-Normal10"/>
              <w:spacing w:before="60" w:after="60"/>
              <w:jc w:val="both"/>
              <w:rPr>
                <w:rFonts w:ascii="Times New Roman" w:eastAsia="Times New Roman" w:hAnsi="Times New Roman" w:cs="Times New Roman"/>
                <w:noProof/>
              </w:rPr>
            </w:pPr>
            <w:r>
              <w:rPr>
                <w:rFonts w:ascii="Times New Roman" w:hAnsi="Times New Roman"/>
                <w:noProof/>
              </w:rPr>
              <w:t>880 000 m</w:t>
            </w:r>
            <w:r>
              <w:rPr>
                <w:rFonts w:ascii="Times New Roman" w:eastAsia="Times New Roman" w:hAnsi="Times New Roman" w:cs="Times New Roman"/>
                <w:noProof/>
                <w:vertAlign w:val="superscript"/>
              </w:rPr>
              <w:t xml:space="preserve"> 2</w:t>
            </w:r>
            <w:r>
              <w:rPr>
                <w:rFonts w:ascii="Times New Roman" w:hAnsi="Times New Roman"/>
                <w:noProof/>
              </w:rPr>
              <w:t>des immeubles compre</w:t>
            </w:r>
            <w:r>
              <w:rPr>
                <w:rFonts w:ascii="Times New Roman" w:hAnsi="Times New Roman"/>
                <w:noProof/>
              </w:rPr>
              <w:t xml:space="preserve">nant plusieurs appartements sont rénovés (avec une compensation d’au moins 30 % en moyenne des dépenses liées aux travaux de rénovation et une compensation pour la part des intérêts payés sur les prêts contractés pour financer ces rénovations dépassant un </w:t>
            </w:r>
            <w:r>
              <w:rPr>
                <w:rFonts w:ascii="Times New Roman" w:hAnsi="Times New Roman"/>
                <w:noProof/>
              </w:rPr>
              <w:t>taux d’intérêt de 3 %) afin de parvenir en moyenne à une réduction d’au moins 30 % de la consommation d’énergie primaire et de la classe d’efficacité énergétique B. 163 Les immeubles comprenant plusieurs appartements rénovés bénéficient d’une assistance te</w:t>
            </w:r>
            <w:r>
              <w:rPr>
                <w:rFonts w:ascii="Times New Roman" w:hAnsi="Times New Roman"/>
                <w:noProof/>
              </w:rPr>
              <w:t>chnique.</w:t>
            </w:r>
            <w:r>
              <w:rPr>
                <w:rFonts w:ascii="Times New Roman" w:eastAsia="Times New Roman" w:hAnsi="Times New Roman" w:cs="Times New Roman"/>
                <w:noProof/>
              </w:rPr>
              <w:t xml:space="preserve"> </w:t>
            </w:r>
          </w:p>
        </w:tc>
      </w:tr>
      <w:tr w:rsidR="00FA40E8" w14:paraId="1463B353"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9CAE7E" w14:textId="6BE5278F" w:rsidR="00FA40E8" w:rsidRDefault="00E74AE8">
            <w:pPr>
              <w:pStyle w:val="P68B1DB1-Normal13"/>
              <w:spacing w:before="60" w:after="60"/>
              <w:jc w:val="center"/>
              <w:rPr>
                <w:noProof/>
              </w:rPr>
            </w:pPr>
            <w:r>
              <w:rPr>
                <w:noProof/>
              </w:rPr>
              <w:t>55</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DF0731" w14:textId="76EE4D80" w:rsidR="00FA40E8" w:rsidRDefault="00E74AE8">
            <w:pPr>
              <w:pStyle w:val="P68B1DB1-Normal13"/>
              <w:spacing w:before="60" w:after="60"/>
              <w:rPr>
                <w:noProof/>
              </w:rPr>
            </w:pPr>
            <w:r>
              <w:rPr>
                <w:noProof/>
              </w:rPr>
              <w:t>B.1.4 Maintien et augmentation de la capacité d’absorption des GES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23C089" w14:textId="0BA8B815" w:rsidR="00FA40E8" w:rsidRDefault="00E74AE8">
            <w:pPr>
              <w:pStyle w:val="P68B1DB1-Normal13"/>
              <w:spacing w:before="60" w:after="60"/>
              <w:jc w:val="center"/>
              <w:rPr>
                <w:noProof/>
              </w:rPr>
            </w:pPr>
            <w:r>
              <w:rPr>
                <w:noProof/>
              </w:rPr>
              <w:t>Objectif</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E2A87" w14:textId="7CD71635" w:rsidR="00FA40E8" w:rsidRDefault="00E74AE8">
            <w:pPr>
              <w:pStyle w:val="P68B1DB1-Normal13"/>
              <w:spacing w:before="60" w:after="60"/>
              <w:rPr>
                <w:noProof/>
              </w:rPr>
            </w:pPr>
            <w:r>
              <w:rPr>
                <w:noProof/>
              </w:rPr>
              <w:t>Acquisition de zones forestières riches en biodiversité</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D2401B" w14:textId="4756A1A1" w:rsidR="00FA40E8" w:rsidRDefault="00FA40E8">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F21516" w14:textId="61837FA5" w:rsidR="00FA40E8" w:rsidRDefault="00E74AE8">
            <w:pPr>
              <w:pStyle w:val="P68B1DB1-Normal13"/>
              <w:spacing w:before="60" w:after="60"/>
              <w:jc w:val="center"/>
              <w:rPr>
                <w:noProof/>
              </w:rPr>
            </w:pPr>
            <w:r>
              <w:rPr>
                <w:noProof/>
              </w:rPr>
              <w:t>ha</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FDF8F" w14:textId="0CC4B4D6" w:rsidR="00FA40E8" w:rsidRDefault="00E74AE8">
            <w:pPr>
              <w:pStyle w:val="P68B1DB1-Normal13"/>
              <w:spacing w:before="60" w:after="60"/>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D04060" w14:textId="09A1E5D5" w:rsidR="00FA40E8" w:rsidRDefault="00E74AE8">
            <w:pPr>
              <w:pStyle w:val="P68B1DB1-Normal13"/>
              <w:spacing w:before="60" w:after="60"/>
              <w:jc w:val="center"/>
              <w:rPr>
                <w:noProof/>
              </w:rPr>
            </w:pPr>
            <w:r>
              <w:rPr>
                <w:noProof/>
              </w:rPr>
              <w:t>266</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426B08" w14:textId="22FAE523" w:rsidR="00FA40E8" w:rsidRDefault="00E74AE8">
            <w:pPr>
              <w:pStyle w:val="P68B1DB1-Normal13"/>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0E8AC" w14:textId="0E353181" w:rsidR="00FA40E8" w:rsidRDefault="00E74AE8">
            <w:pPr>
              <w:pStyle w:val="P68B1DB1-Normal13"/>
              <w:spacing w:before="60" w:after="60"/>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BAF55C" w14:textId="237F702F" w:rsidR="00FA40E8" w:rsidRDefault="00E74AE8">
            <w:pPr>
              <w:pStyle w:val="P68B1DB1-Normal13"/>
              <w:spacing w:before="60" w:after="60"/>
              <w:jc w:val="both"/>
              <w:textAlignment w:val="baseline"/>
              <w:rPr>
                <w:noProof/>
              </w:rPr>
            </w:pPr>
            <w:r>
              <w:rPr>
                <w:noProof/>
              </w:rPr>
              <w:t xml:space="preserve">Au moins 266 ha de zones forestières privées riches en biodiversité sont achetés et </w:t>
            </w:r>
            <w:r>
              <w:rPr>
                <w:noProof/>
              </w:rPr>
              <w:t>enregistrés dans un état de conservation.</w:t>
            </w:r>
          </w:p>
        </w:tc>
      </w:tr>
      <w:tr w:rsidR="00FA40E8" w14:paraId="1EF097F4"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61AB39" w14:textId="7ED289F3" w:rsidR="00FA40E8" w:rsidRDefault="00E74AE8">
            <w:pPr>
              <w:pStyle w:val="P68B1DB1-Normal13"/>
              <w:spacing w:before="60" w:after="60"/>
              <w:jc w:val="center"/>
              <w:rPr>
                <w:noProof/>
              </w:rPr>
            </w:pPr>
            <w:r>
              <w:rPr>
                <w:noProof/>
              </w:rPr>
              <w:t>57</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F27277" w14:textId="22D2F63D" w:rsidR="00FA40E8" w:rsidRDefault="00E74AE8">
            <w:pPr>
              <w:pStyle w:val="P68B1DB1-Normal13"/>
              <w:spacing w:before="60" w:after="60"/>
              <w:rPr>
                <w:noProof/>
              </w:rPr>
            </w:pPr>
            <w:r>
              <w:rPr>
                <w:noProof/>
              </w:rPr>
              <w:t>B.1.4 Maintien et augmentation de la capacité d’absorption des GES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1E0104" w14:textId="08A9513C" w:rsidR="00FA40E8" w:rsidRDefault="00E74AE8">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19E2BA" w14:textId="629E16C7" w:rsidR="00FA40E8" w:rsidRDefault="00E74AE8">
            <w:pPr>
              <w:pStyle w:val="P68B1DB1-Normal13"/>
              <w:spacing w:before="60" w:after="60"/>
              <w:textAlignment w:val="baseline"/>
              <w:rPr>
                <w:noProof/>
              </w:rPr>
            </w:pPr>
            <w:r>
              <w:rPr>
                <w:noProof/>
              </w:rPr>
              <w:t>Entrée en vigueur de la législation réglementant la restauration des zones humides (tourbières) ainsi que la poursuite de leur protection</w:t>
            </w:r>
            <w:r>
              <w:rPr>
                <w:noProof/>
              </w:rPr>
              <w:t xml:space="preserve"> et de leur utilisation durable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1BBF1B" w14:textId="610CA2C4" w:rsidR="00FA40E8" w:rsidRDefault="00E74AE8">
            <w:pPr>
              <w:pStyle w:val="P68B1DB1-Normal13"/>
              <w:spacing w:before="60" w:after="60"/>
              <w:textAlignment w:val="baseline"/>
              <w:rPr>
                <w:noProof/>
              </w:rPr>
            </w:pPr>
            <w:r>
              <w:rPr>
                <w:noProof/>
              </w:rPr>
              <w:t>Entrée en vigueur de la législation</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7F37DE" w14:textId="3CCD2EB1" w:rsidR="00FA40E8" w:rsidRDefault="00FA40E8">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8EF6F1" w14:textId="26850EF3" w:rsidR="00FA40E8" w:rsidRDefault="00FA40E8">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A47DB3" w14:textId="599B412A"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77297F" w14:textId="341FCDA3" w:rsidR="00FA40E8" w:rsidRDefault="00E74AE8">
            <w:pPr>
              <w:pStyle w:val="P68B1DB1-Normal13"/>
              <w:spacing w:before="60" w:after="60"/>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FD582" w14:textId="4320B6D6" w:rsidR="00FA40E8" w:rsidRDefault="00E74AE8">
            <w:pPr>
              <w:pStyle w:val="P68B1DB1-Normal13"/>
              <w:spacing w:before="60" w:after="60"/>
              <w:jc w:val="center"/>
              <w:rPr>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2EDD68" w14:textId="4CF2CD50" w:rsidR="00FA40E8" w:rsidRDefault="00E74AE8">
            <w:pPr>
              <w:pStyle w:val="P68B1DB1-Normal13"/>
              <w:spacing w:before="60" w:after="60"/>
              <w:jc w:val="both"/>
              <w:textAlignment w:val="baseline"/>
              <w:rPr>
                <w:noProof/>
              </w:rPr>
            </w:pPr>
            <w:r>
              <w:rPr>
                <w:noProof/>
              </w:rPr>
              <w:t>Entrée en vigueur de la législation réglementant la restauration des zones humides (tourbières) ainsi que la poursuite de leur protection et de leur utilisation durable.</w:t>
            </w:r>
          </w:p>
        </w:tc>
      </w:tr>
      <w:tr w:rsidR="00FA40E8" w14:paraId="2227E800"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6AC903" w14:textId="19BB62F0" w:rsidR="00FA40E8" w:rsidRDefault="00E74AE8">
            <w:pPr>
              <w:pStyle w:val="P68B1DB1-Normal13"/>
              <w:spacing w:before="60" w:after="60"/>
              <w:jc w:val="center"/>
              <w:rPr>
                <w:noProof/>
              </w:rPr>
            </w:pPr>
            <w:r>
              <w:rPr>
                <w:noProof/>
              </w:rPr>
              <w:t>58</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E63D6" w14:textId="44CF41BE" w:rsidR="00FA40E8" w:rsidRDefault="00E74AE8">
            <w:pPr>
              <w:pStyle w:val="P68B1DB1-Normal13"/>
              <w:spacing w:before="60" w:after="60"/>
              <w:rPr>
                <w:noProof/>
              </w:rPr>
            </w:pPr>
            <w:r>
              <w:rPr>
                <w:noProof/>
              </w:rPr>
              <w:t>B.1.5 Vers une économie circulaire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38EA39" w14:textId="5E19E479" w:rsidR="00FA40E8" w:rsidRDefault="00E74AE8">
            <w:pPr>
              <w:pStyle w:val="P68B1DB1-Normal13"/>
              <w:spacing w:before="60" w:after="60"/>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E729C" w14:textId="52F46C3A" w:rsidR="00FA40E8" w:rsidRDefault="00E74AE8">
            <w:pPr>
              <w:pStyle w:val="P68B1DB1-Normal13"/>
              <w:spacing w:before="60" w:after="60"/>
              <w:textAlignment w:val="baseline"/>
              <w:rPr>
                <w:noProof/>
              </w:rPr>
            </w:pPr>
            <w:r>
              <w:rPr>
                <w:noProof/>
              </w:rPr>
              <w:t>Approbation du plan d’action pour la transition vers une économie circulaire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FFA5B5" w14:textId="05E8E03D" w:rsidR="00FA40E8" w:rsidRDefault="00E74AE8">
            <w:pPr>
              <w:pStyle w:val="P68B1DB1-Normal13"/>
              <w:spacing w:before="60" w:after="60"/>
              <w:textAlignment w:val="baseline"/>
              <w:rPr>
                <w:noProof/>
              </w:rPr>
            </w:pPr>
            <w:r>
              <w:rPr>
                <w:noProof/>
              </w:rPr>
              <w:t>Plan d’action approuvé par le protocole gouvernemental</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C850532" w14:textId="300396D3" w:rsidR="00FA40E8" w:rsidRDefault="00FA40E8">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250CFB" w14:textId="55476139" w:rsidR="00FA40E8" w:rsidRDefault="00FA40E8">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6FCD67" w14:textId="25F14353"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27C88D" w14:textId="33B09A8C" w:rsidR="00FA40E8" w:rsidRDefault="00E74AE8">
            <w:pPr>
              <w:pStyle w:val="P68B1DB1-Normal13"/>
              <w:spacing w:before="60" w:after="60"/>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45A4C8" w14:textId="1925CD12" w:rsidR="00FA40E8" w:rsidRDefault="00E74AE8">
            <w:pPr>
              <w:pStyle w:val="P68B1DB1-Normal13"/>
              <w:spacing w:before="60" w:after="60"/>
              <w:jc w:val="center"/>
              <w:rPr>
                <w:noProof/>
              </w:rPr>
            </w:pPr>
            <w:r>
              <w:rPr>
                <w:noProof/>
              </w:rPr>
              <w:t>2023</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CF8B82" w14:textId="3A518D17" w:rsidR="00FA40E8" w:rsidRDefault="00E74AE8">
            <w:pPr>
              <w:pStyle w:val="P68B1DB1-Normal13"/>
              <w:spacing w:before="60" w:after="60"/>
              <w:jc w:val="both"/>
              <w:textAlignment w:val="baseline"/>
              <w:rPr>
                <w:noProof/>
              </w:rPr>
            </w:pPr>
            <w:r>
              <w:rPr>
                <w:noProof/>
              </w:rPr>
              <w:t>Approbation par le protocole gouvernemental du plan d’action de la Litua</w:t>
            </w:r>
            <w:r>
              <w:rPr>
                <w:noProof/>
              </w:rPr>
              <w:t>nie pour la transition vers une économie circulaire d’ici à 2035, élaboré avec la participation des institutions et des partenaires socio-économiques intéressés, dans le but d’associer toutes les autorités compétentes et de coordonner la mise en œuvre et l</w:t>
            </w:r>
            <w:r>
              <w:rPr>
                <w:noProof/>
              </w:rPr>
              <w:t>e développement de l’économie circulaire dans le pays.</w:t>
            </w:r>
          </w:p>
        </w:tc>
      </w:tr>
      <w:tr w:rsidR="00FA40E8" w14:paraId="02A25CDD" w14:textId="7777777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615043" w14:textId="6CEF4D48" w:rsidR="00FA40E8" w:rsidRDefault="00E74AE8">
            <w:pPr>
              <w:pStyle w:val="P68B1DB1-Normal13"/>
              <w:jc w:val="center"/>
              <w:rPr>
                <w:noProof/>
              </w:rPr>
            </w:pPr>
            <w:r>
              <w:rPr>
                <w:noProof/>
              </w:rPr>
              <w:t>58c</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4EC11D" w14:textId="6536233E" w:rsidR="00FA40E8" w:rsidRDefault="00E74AE8">
            <w:pPr>
              <w:pStyle w:val="P68B1DB1-Normal13"/>
              <w:rPr>
                <w:noProof/>
              </w:rPr>
            </w:pPr>
            <w:r>
              <w:rPr>
                <w:noProof/>
              </w:rPr>
              <w:t>B.1.6. Transparence des informations relatives au raccordement au réseau électrique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267CF8" w14:textId="64B0A1BE" w:rsidR="00FA40E8" w:rsidRDefault="00E74AE8">
            <w:pPr>
              <w:pStyle w:val="P68B1DB1-Normal13"/>
              <w:jc w:val="center"/>
              <w:rPr>
                <w:noProof/>
              </w:rPr>
            </w:pPr>
            <w:r>
              <w:rPr>
                <w:noProof/>
              </w:rPr>
              <w:t>Étape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A98C84" w14:textId="4B534E76" w:rsidR="00FA40E8" w:rsidRDefault="00E74AE8">
            <w:pPr>
              <w:pStyle w:val="P68B1DB1-Normal13"/>
              <w:rPr>
                <w:noProof/>
              </w:rPr>
            </w:pPr>
            <w:r>
              <w:rPr>
                <w:noProof/>
              </w:rPr>
              <w:t>Entrée en vigueur de la législation</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A6A08E" w14:textId="6641B80A" w:rsidR="00FA40E8" w:rsidRDefault="00E74AE8">
            <w:pPr>
              <w:pStyle w:val="P68B1DB1-Normal13"/>
              <w:rPr>
                <w:noProof/>
              </w:rPr>
            </w:pPr>
            <w:r>
              <w:rPr>
                <w:noProof/>
              </w:rPr>
              <w:t>Entrée en vigueur de la législation</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F9DAE4" w14:textId="6B7A4378" w:rsidR="00FA40E8" w:rsidRDefault="00FA40E8">
            <w:pPr>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F6D874" w14:textId="60DB3464" w:rsidR="00FA40E8" w:rsidRDefault="00FA40E8">
            <w:pPr>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2457067" w14:textId="7CCF015F" w:rsidR="00FA40E8" w:rsidRDefault="00FA40E8">
            <w:pPr>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1D19D5" w14:textId="081C1B97" w:rsidR="00FA40E8" w:rsidRDefault="00E74AE8">
            <w:pPr>
              <w:pStyle w:val="P68B1DB1-Normal13"/>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691636" w14:textId="2F6D9CAA" w:rsidR="00FA40E8" w:rsidRDefault="00E74AE8">
            <w:pPr>
              <w:pStyle w:val="P68B1DB1-Normal13"/>
              <w:jc w:val="center"/>
              <w:rPr>
                <w:noProof/>
              </w:rPr>
            </w:pPr>
            <w:r>
              <w:rPr>
                <w:noProof/>
              </w:rPr>
              <w:t>2025</w:t>
            </w:r>
          </w:p>
        </w:tc>
        <w:tc>
          <w:tcPr>
            <w:tcW w:w="351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3D3B35" w14:textId="52021C85" w:rsidR="00FA40E8" w:rsidRDefault="00E74AE8">
            <w:pPr>
              <w:pStyle w:val="P68B1DB1-Normal13"/>
              <w:jc w:val="both"/>
              <w:rPr>
                <w:noProof/>
              </w:rPr>
            </w:pPr>
            <w:r>
              <w:rPr>
                <w:noProof/>
              </w:rPr>
              <w:t>Entrée en vigueur de la</w:t>
            </w:r>
            <w:r>
              <w:rPr>
                <w:noProof/>
              </w:rPr>
              <w:t xml:space="preserve"> législation exigeant:</w:t>
            </w:r>
          </w:p>
          <w:p w14:paraId="23DE1E5F" w14:textId="411FFE1A" w:rsidR="00FA40E8" w:rsidRDefault="00E74AE8">
            <w:pPr>
              <w:pStyle w:val="P68B1DB1-ListParagraph20"/>
              <w:numPr>
                <w:ilvl w:val="0"/>
                <w:numId w:val="123"/>
              </w:numPr>
              <w:ind w:left="209" w:hanging="209"/>
              <w:jc w:val="both"/>
              <w:rPr>
                <w:noProof/>
              </w:rPr>
            </w:pPr>
            <w:r>
              <w:rPr>
                <w:noProof/>
              </w:rPr>
              <w:t>Le gestionnaire de réseau de transport (GRT) et le gestionnaire de réseau de distribution (GRD) à publier des informations sur les modifications potentielles de la capacité du réseau sur la base de leurs plans décennaux de développem</w:t>
            </w:r>
            <w:r>
              <w:rPr>
                <w:noProof/>
              </w:rPr>
              <w:t xml:space="preserve">ent du réseau. </w:t>
            </w:r>
          </w:p>
          <w:p w14:paraId="5D00F0DB" w14:textId="54D6C90B" w:rsidR="00FA40E8" w:rsidRDefault="00E74AE8">
            <w:pPr>
              <w:pStyle w:val="P68B1DB1-ListParagraph20"/>
              <w:numPr>
                <w:ilvl w:val="0"/>
                <w:numId w:val="123"/>
              </w:numPr>
              <w:ind w:left="209" w:hanging="209"/>
              <w:jc w:val="both"/>
              <w:rPr>
                <w:noProof/>
              </w:rPr>
            </w:pPr>
            <w:r>
              <w:rPr>
                <w:noProof/>
              </w:rPr>
              <w:t xml:space="preserve">Le GRT publie des informations sur les raccordements prévus des installations de production et de stockage d’électricité. </w:t>
            </w:r>
          </w:p>
          <w:p w14:paraId="5BEF44A7" w14:textId="4AA7431E" w:rsidR="00FA40E8" w:rsidRDefault="00E74AE8">
            <w:pPr>
              <w:pStyle w:val="P68B1DB1-ListParagraph20"/>
              <w:numPr>
                <w:ilvl w:val="0"/>
                <w:numId w:val="123"/>
              </w:numPr>
              <w:ind w:left="209" w:hanging="209"/>
              <w:jc w:val="both"/>
              <w:rPr>
                <w:noProof/>
              </w:rPr>
            </w:pPr>
            <w:r>
              <w:rPr>
                <w:noProof/>
              </w:rPr>
              <w:t>Le GRT doit mettre à jour les informations disponibles sur la capacité dans sa carte des possibilités de raccordement</w:t>
            </w:r>
            <w:r>
              <w:rPr>
                <w:noProof/>
              </w:rPr>
              <w:t xml:space="preserve"> au réseau dans un délai de cinq jours ouvrables à compter de l’annulation ou de la publication d’une réservation temporaire de capacité du réseau. </w:t>
            </w:r>
          </w:p>
          <w:p w14:paraId="59F2D5B9" w14:textId="1FA16793" w:rsidR="00FA40E8" w:rsidRDefault="00E74AE8">
            <w:pPr>
              <w:pStyle w:val="P68B1DB1-ListParagraph20"/>
              <w:numPr>
                <w:ilvl w:val="0"/>
                <w:numId w:val="123"/>
              </w:numPr>
              <w:ind w:left="209" w:hanging="209"/>
              <w:jc w:val="both"/>
              <w:rPr>
                <w:noProof/>
              </w:rPr>
            </w:pPr>
            <w:r>
              <w:rPr>
                <w:noProof/>
              </w:rPr>
              <w:t>Le GRD à mettre à jour les informations disponibles sur la capacité dans sa carte des possibilités de racco</w:t>
            </w:r>
            <w:r>
              <w:rPr>
                <w:noProof/>
              </w:rPr>
              <w:t>rdement au réseau dans un délai de dix jours ouvrables à compter de la publication par le GRT de la liste des utilisateurs du réseau pouvant faire l’objet d’une réservation.</w:t>
            </w:r>
          </w:p>
        </w:tc>
      </w:tr>
    </w:tbl>
    <w:p w14:paraId="43ACBABD" w14:textId="77777777" w:rsidR="00FA40E8" w:rsidRDefault="00FA40E8">
      <w:pPr>
        <w:jc w:val="both"/>
        <w:rPr>
          <w:rFonts w:ascii="Times New Roman" w:hAnsi="Times New Roman"/>
          <w:noProof/>
          <w:sz w:val="24"/>
        </w:rPr>
      </w:pPr>
    </w:p>
    <w:p w14:paraId="001B85A3" w14:textId="24B7F12E" w:rsidR="00FA40E8" w:rsidRDefault="00FA40E8">
      <w:pPr>
        <w:jc w:val="both"/>
        <w:rPr>
          <w:rFonts w:ascii="Times New Roman" w:hAnsi="Times New Roman" w:cs="Times New Roman"/>
          <w:noProof/>
        </w:rPr>
        <w:sectPr w:rsidR="00FA40E8" w:rsidSect="0074650A">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2DCDF7BF" w14:textId="1CC62AB8" w:rsidR="00FA40E8" w:rsidRDefault="00E74AE8">
      <w:pPr>
        <w:pStyle w:val="P68B1DB1-Text15"/>
        <w:keepNext/>
        <w:keepLines/>
        <w:spacing w:before="0" w:after="200" w:line="276" w:lineRule="auto"/>
        <w:ind w:left="0"/>
        <w:outlineLvl w:val="1"/>
        <w:rPr>
          <w:i/>
          <w:noProof/>
        </w:rPr>
      </w:pPr>
      <w:r>
        <w:rPr>
          <w:noProof/>
        </w:rPr>
        <w:t xml:space="preserve">B.3. Description </w:t>
      </w:r>
      <w:r>
        <w:rPr>
          <w:noProof/>
        </w:rPr>
        <w:t>des réformes et des investissements en vue d’un soutien sous forme de prêt</w:t>
      </w:r>
    </w:p>
    <w:p w14:paraId="2DFE173F" w14:textId="2B7CF148" w:rsidR="00FA40E8" w:rsidRDefault="00E74AE8">
      <w:pPr>
        <w:pStyle w:val="P68B1DB1-Normal6"/>
        <w:keepNext/>
        <w:keepLines/>
        <w:jc w:val="both"/>
        <w:rPr>
          <w:rFonts w:eastAsia="Times New Roman" w:cs="Times New Roman"/>
          <w:noProof/>
          <w:szCs w:val="24"/>
        </w:rPr>
      </w:pPr>
      <w:r>
        <w:rPr>
          <w:noProof/>
        </w:rPr>
        <w:t>B.3.1. Réforme 1 «Développement de produits financiers verts»</w:t>
      </w:r>
    </w:p>
    <w:p w14:paraId="392AC46C" w14:textId="77777777" w:rsidR="00FA40E8" w:rsidRDefault="00E74AE8">
      <w:pPr>
        <w:pStyle w:val="P68B1DB1-Normal4"/>
        <w:jc w:val="both"/>
        <w:rPr>
          <w:rFonts w:eastAsia="Times New Roman" w:cs="Times New Roman"/>
          <w:noProof/>
          <w:szCs w:val="24"/>
        </w:rPr>
      </w:pPr>
      <w:r>
        <w:rPr>
          <w:noProof/>
        </w:rPr>
        <w:t>L’objectif de la réforme est l’entrée en vigueur de l’arrêté du ministre des finances approuvant le plan d’action litua</w:t>
      </w:r>
      <w:r>
        <w:rPr>
          <w:noProof/>
        </w:rPr>
        <w:t xml:space="preserve">nien en matière de finance verte 2023-2026, qui vise à mobiliser des fonds publics et privés pour atteindre les objectifs d’atténuation du changement climatique et d’adaptation à celui-ci et à accroître l’attractivité de la Lituanie pour les investisseurs </w:t>
      </w:r>
      <w:r>
        <w:rPr>
          <w:noProof/>
        </w:rPr>
        <w:t>dans les produits financiers verts.</w:t>
      </w:r>
    </w:p>
    <w:p w14:paraId="38BE2925" w14:textId="77777777" w:rsidR="00FA40E8" w:rsidRDefault="00E74AE8">
      <w:pPr>
        <w:pStyle w:val="P68B1DB1-Normal4"/>
        <w:jc w:val="both"/>
        <w:rPr>
          <w:rFonts w:eastAsia="Times New Roman" w:cs="Times New Roman"/>
          <w:noProof/>
          <w:szCs w:val="24"/>
        </w:rPr>
      </w:pPr>
      <w:r>
        <w:rPr>
          <w:noProof/>
        </w:rPr>
        <w:t>Le plan d’action comprend les éléments suivants:</w:t>
      </w:r>
    </w:p>
    <w:p w14:paraId="723D35F9" w14:textId="77777777" w:rsidR="00FA40E8" w:rsidRDefault="00E74AE8">
      <w:pPr>
        <w:pStyle w:val="P68B1DB1-ListParagraph16"/>
        <w:numPr>
          <w:ilvl w:val="0"/>
          <w:numId w:val="61"/>
        </w:numPr>
        <w:spacing w:after="200"/>
        <w:ind w:left="714" w:hanging="357"/>
        <w:jc w:val="both"/>
        <w:rPr>
          <w:rFonts w:eastAsia="Times New Roman" w:cs="Times New Roman"/>
          <w:noProof/>
          <w:szCs w:val="24"/>
        </w:rPr>
      </w:pPr>
      <w:r>
        <w:rPr>
          <w:noProof/>
        </w:rPr>
        <w:t>la mise en place d’un centre de compétences et de connaissances en matière de finance verte;</w:t>
      </w:r>
    </w:p>
    <w:p w14:paraId="314C80E0" w14:textId="77777777" w:rsidR="00FA40E8" w:rsidRDefault="00E74AE8">
      <w:pPr>
        <w:pStyle w:val="P68B1DB1-ListParagraph16"/>
        <w:numPr>
          <w:ilvl w:val="0"/>
          <w:numId w:val="61"/>
        </w:numPr>
        <w:spacing w:after="200"/>
        <w:ind w:left="714" w:hanging="357"/>
        <w:jc w:val="both"/>
        <w:rPr>
          <w:rFonts w:eastAsia="Times New Roman" w:cs="Times New Roman"/>
          <w:noProof/>
          <w:szCs w:val="24"/>
        </w:rPr>
      </w:pPr>
      <w:r>
        <w:rPr>
          <w:noProof/>
        </w:rPr>
        <w:t>promouvoir le développement de la finance verte publique;</w:t>
      </w:r>
    </w:p>
    <w:p w14:paraId="5EF8EF1C" w14:textId="77777777" w:rsidR="00FA40E8" w:rsidRDefault="00E74AE8">
      <w:pPr>
        <w:pStyle w:val="P68B1DB1-ListParagraph16"/>
        <w:numPr>
          <w:ilvl w:val="0"/>
          <w:numId w:val="61"/>
        </w:numPr>
        <w:spacing w:after="200"/>
        <w:ind w:left="714" w:hanging="357"/>
        <w:jc w:val="both"/>
        <w:rPr>
          <w:rFonts w:eastAsia="Times New Roman" w:cs="Times New Roman"/>
          <w:noProof/>
          <w:szCs w:val="24"/>
        </w:rPr>
      </w:pPr>
      <w:r>
        <w:rPr>
          <w:noProof/>
        </w:rPr>
        <w:t>créer les conditions</w:t>
      </w:r>
      <w:r>
        <w:rPr>
          <w:noProof/>
        </w:rPr>
        <w:t xml:space="preserve"> préalables pour attirer les investissements du secteur privé en vue d’atteindre les objectifs écologiques;</w:t>
      </w:r>
    </w:p>
    <w:p w14:paraId="0EF9E7EE" w14:textId="77777777" w:rsidR="00FA40E8" w:rsidRDefault="00E74AE8">
      <w:pPr>
        <w:pStyle w:val="P68B1DB1-ListParagraph16"/>
        <w:numPr>
          <w:ilvl w:val="0"/>
          <w:numId w:val="61"/>
        </w:numPr>
        <w:spacing w:after="200"/>
        <w:ind w:left="714" w:hanging="357"/>
        <w:jc w:val="both"/>
        <w:rPr>
          <w:rFonts w:eastAsia="Times New Roman" w:cs="Times New Roman"/>
          <w:noProof/>
          <w:szCs w:val="24"/>
        </w:rPr>
      </w:pPr>
      <w:r>
        <w:rPr>
          <w:noProof/>
        </w:rPr>
        <w:t>garantir l’accès aux données relatives à la durabilité;</w:t>
      </w:r>
    </w:p>
    <w:p w14:paraId="24435860" w14:textId="77777777" w:rsidR="00FA40E8" w:rsidRDefault="00E74AE8">
      <w:pPr>
        <w:pStyle w:val="P68B1DB1-ListParagraph16"/>
        <w:numPr>
          <w:ilvl w:val="0"/>
          <w:numId w:val="61"/>
        </w:numPr>
        <w:spacing w:after="200"/>
        <w:ind w:left="714" w:hanging="357"/>
        <w:jc w:val="both"/>
        <w:rPr>
          <w:rFonts w:eastAsia="Times New Roman" w:cs="Times New Roman"/>
          <w:noProof/>
          <w:szCs w:val="24"/>
        </w:rPr>
      </w:pPr>
      <w:r>
        <w:rPr>
          <w:noProof/>
        </w:rPr>
        <w:t>développer les compétences en matière de finance verte et d’éducation publique.</w:t>
      </w:r>
    </w:p>
    <w:p w14:paraId="46A21638" w14:textId="77777777" w:rsidR="00FA40E8" w:rsidRDefault="00E74AE8">
      <w:pPr>
        <w:pStyle w:val="P68B1DB1-Normal4"/>
        <w:jc w:val="both"/>
        <w:rPr>
          <w:rFonts w:eastAsia="Times New Roman" w:cs="Times New Roman"/>
          <w:noProof/>
          <w:szCs w:val="24"/>
        </w:rPr>
      </w:pPr>
      <w:r>
        <w:rPr>
          <w:noProof/>
        </w:rPr>
        <w:t>Dans le cadr</w:t>
      </w:r>
      <w:r>
        <w:rPr>
          <w:noProof/>
        </w:rPr>
        <w:t>e de cette réforme, un soutien est fourni pour mettre en place et rendre opérationnel le centre de compétences et de connaissances en matière de finance verte, contribuer au développement d’un écosystème d’étiquetage durable en Lituanie sur la base des pra</w:t>
      </w:r>
      <w:r>
        <w:rPr>
          <w:noProof/>
        </w:rPr>
        <w:t xml:space="preserve">tiques internationales, assurer la diffusion d’informations pertinentes en matière de durabilité, coordonner la coopération entre les secteurs public et privé et le monde universitaire et promouvoir la Lituanie dans le domaine de la finance durable. </w:t>
      </w:r>
    </w:p>
    <w:p w14:paraId="533B36C9" w14:textId="77777777" w:rsidR="00FA40E8" w:rsidRDefault="00E74AE8">
      <w:pPr>
        <w:pStyle w:val="P68B1DB1-Normal4"/>
        <w:jc w:val="both"/>
        <w:rPr>
          <w:rFonts w:eastAsia="Calibri" w:cs="Times New Roman"/>
          <w:noProof/>
        </w:rPr>
      </w:pPr>
      <w:r>
        <w:rPr>
          <w:noProof/>
        </w:rPr>
        <w:t>La mi</w:t>
      </w:r>
      <w:r>
        <w:rPr>
          <w:noProof/>
        </w:rPr>
        <w:t>se en œuvre de la mesure est achevée au plus tard le 31 décembre 2023.</w:t>
      </w:r>
    </w:p>
    <w:p w14:paraId="6BBDABA0" w14:textId="77777777" w:rsidR="00FA40E8" w:rsidRDefault="00FA40E8">
      <w:pPr>
        <w:spacing w:before="120" w:after="120" w:line="240" w:lineRule="auto"/>
        <w:jc w:val="both"/>
        <w:rPr>
          <w:rFonts w:ascii="Times New Roman" w:eastAsia="Times New Roman" w:hAnsi="Times New Roman" w:cs="Times New Roman"/>
          <w:noProof/>
          <w:sz w:val="24"/>
        </w:rPr>
        <w:sectPr w:rsidR="00FA40E8" w:rsidSect="0074650A">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372DC204" w14:textId="796190EF" w:rsidR="00FA40E8" w:rsidRDefault="00E74AE8">
      <w:pPr>
        <w:pStyle w:val="P68B1DB1-Text15"/>
        <w:keepNext/>
        <w:keepLines/>
        <w:spacing w:before="0" w:after="200" w:line="276" w:lineRule="auto"/>
        <w:ind w:left="0"/>
        <w:outlineLvl w:val="1"/>
        <w:rPr>
          <w:i/>
          <w:noProof/>
        </w:rPr>
      </w:pPr>
      <w:r>
        <w:rPr>
          <w:noProof/>
        </w:rPr>
        <w:t>B.4. Valeurs intermédiaires, valeurs cibles, indicateurs et calendrier de suivi et de mise en œuvre du prêt</w:t>
      </w:r>
    </w:p>
    <w:tbl>
      <w:tblPr>
        <w:tblpPr w:leftFromText="141" w:rightFromText="141"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16"/>
        <w:gridCol w:w="1334"/>
        <w:gridCol w:w="1228"/>
        <w:gridCol w:w="1845"/>
        <w:gridCol w:w="1541"/>
        <w:gridCol w:w="781"/>
        <w:gridCol w:w="1112"/>
        <w:gridCol w:w="627"/>
        <w:gridCol w:w="971"/>
        <w:gridCol w:w="696"/>
        <w:gridCol w:w="4060"/>
      </w:tblGrid>
      <w:tr w:rsidR="00FA40E8" w14:paraId="4911D7B4" w14:textId="77777777">
        <w:trPr>
          <w:tblHeader/>
          <w:jc w:val="center"/>
        </w:trPr>
        <w:tc>
          <w:tcPr>
            <w:tcW w:w="52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2989778" w14:textId="4570D169" w:rsidR="00FA40E8" w:rsidRDefault="00E74AE8">
            <w:pPr>
              <w:pStyle w:val="P68B1DB1-Normal9"/>
              <w:spacing w:after="0"/>
              <w:jc w:val="center"/>
              <w:rPr>
                <w:rFonts w:cs="Times New Roman"/>
                <w:noProof/>
              </w:rPr>
            </w:pPr>
            <w:r>
              <w:rPr>
                <w:noProof/>
              </w:rPr>
              <w:t>Non.</w:t>
            </w:r>
          </w:p>
        </w:tc>
        <w:tc>
          <w:tcPr>
            <w:tcW w:w="136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2F7A4AB" w14:textId="77777777" w:rsidR="00FA40E8" w:rsidRDefault="00E74AE8">
            <w:pPr>
              <w:pStyle w:val="P68B1DB1-Normal9"/>
              <w:spacing w:after="0"/>
              <w:jc w:val="center"/>
              <w:rPr>
                <w:rFonts w:eastAsia="Calibri" w:cs="Times New Roman"/>
                <w:noProof/>
              </w:rPr>
            </w:pPr>
            <w:r>
              <w:rPr>
                <w:noProof/>
              </w:rPr>
              <w:t xml:space="preserve">Mesure </w:t>
            </w:r>
            <w:r>
              <w:rPr>
                <w:noProof/>
              </w:rPr>
              <w:t>connexe (réforme ou investissement)</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782EEC7" w14:textId="77777777" w:rsidR="00FA40E8" w:rsidRDefault="00E74AE8">
            <w:pPr>
              <w:pStyle w:val="P68B1DB1-Normal9"/>
              <w:spacing w:after="0"/>
              <w:jc w:val="center"/>
              <w:rPr>
                <w:noProof/>
              </w:rPr>
            </w:pPr>
            <w:r>
              <w:rPr>
                <w:noProof/>
              </w:rPr>
              <w:t>Milestone/</w:t>
            </w:r>
          </w:p>
          <w:p w14:paraId="04321632" w14:textId="3F3AA2C3" w:rsidR="00FA40E8" w:rsidRDefault="00E74AE8">
            <w:pPr>
              <w:pStyle w:val="P68B1DB1-Normal9"/>
              <w:spacing w:after="0"/>
              <w:jc w:val="center"/>
              <w:rPr>
                <w:rFonts w:cs="Times New Roman"/>
                <w:noProof/>
              </w:rPr>
            </w:pPr>
            <w:r>
              <w:rPr>
                <w:noProof/>
              </w:rPr>
              <w:t>Objectif</w:t>
            </w:r>
          </w:p>
        </w:tc>
        <w:tc>
          <w:tcPr>
            <w:tcW w:w="188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08A35F0" w14:textId="77777777" w:rsidR="00FA40E8" w:rsidRDefault="00E74AE8">
            <w:pPr>
              <w:pStyle w:val="P68B1DB1-Normal9"/>
              <w:spacing w:after="0"/>
              <w:jc w:val="center"/>
              <w:rPr>
                <w:rFonts w:eastAsia="Times New Roman" w:cs="Times New Roman"/>
                <w:noProof/>
              </w:rPr>
            </w:pPr>
            <w:r>
              <w:rPr>
                <w:noProof/>
              </w:rPr>
              <w:t>Titre</w:t>
            </w:r>
          </w:p>
        </w:tc>
        <w:tc>
          <w:tcPr>
            <w:tcW w:w="157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7AFD59E" w14:textId="5993D27C" w:rsidR="00FA40E8" w:rsidRDefault="00E74AE8">
            <w:pPr>
              <w:pStyle w:val="P68B1DB1-Normal9"/>
              <w:spacing w:after="0"/>
              <w:jc w:val="center"/>
              <w:rPr>
                <w:rFonts w:eastAsia="Times New Roman" w:cs="Times New Roman"/>
                <w:noProof/>
              </w:rPr>
            </w:pPr>
            <w:r>
              <w:rPr>
                <w:noProof/>
              </w:rPr>
              <w:t>Indicateurs qualitatifs (pour les jalons)</w:t>
            </w:r>
          </w:p>
        </w:tc>
        <w:tc>
          <w:tcPr>
            <w:tcW w:w="2357"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3FA2E072" w14:textId="77777777" w:rsidR="00FA40E8" w:rsidRDefault="00E74AE8">
            <w:pPr>
              <w:pStyle w:val="P68B1DB1-Normal10"/>
              <w:spacing w:after="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699"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66894B48" w14:textId="0C178C6B" w:rsidR="00FA40E8" w:rsidRDefault="00E74AE8">
            <w:pPr>
              <w:pStyle w:val="P68B1DB1-Normal9"/>
              <w:spacing w:after="0"/>
              <w:jc w:val="center"/>
              <w:rPr>
                <w:rFonts w:cs="Times New Roman"/>
                <w:noProof/>
              </w:rPr>
            </w:pPr>
            <w:r>
              <w:rPr>
                <w:noProof/>
              </w:rPr>
              <w:t>Calendrier indicatif d’achèvement</w:t>
            </w:r>
          </w:p>
        </w:tc>
        <w:tc>
          <w:tcPr>
            <w:tcW w:w="415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C19E924" w14:textId="77777777" w:rsidR="00FA40E8" w:rsidRDefault="00E74AE8">
            <w:pPr>
              <w:pStyle w:val="P68B1DB1-Normal9"/>
              <w:spacing w:after="0"/>
              <w:jc w:val="center"/>
              <w:rPr>
                <w:rFonts w:eastAsia="Times New Roman" w:cs="Times New Roman"/>
                <w:noProof/>
              </w:rPr>
            </w:pPr>
            <w:r>
              <w:rPr>
                <w:noProof/>
              </w:rPr>
              <w:t>Description et définition claire de chaque jalon et cible</w:t>
            </w:r>
          </w:p>
        </w:tc>
      </w:tr>
      <w:tr w:rsidR="00FA40E8" w14:paraId="572C9B7C" w14:textId="77777777">
        <w:trPr>
          <w:tblHeader/>
          <w:jc w:val="center"/>
        </w:trPr>
        <w:tc>
          <w:tcPr>
            <w:tcW w:w="525" w:type="dxa"/>
            <w:vMerge/>
            <w:tcBorders>
              <w:top w:val="single" w:sz="4" w:space="0" w:color="auto"/>
              <w:left w:val="single" w:sz="4" w:space="0" w:color="auto"/>
              <w:bottom w:val="single" w:sz="4" w:space="0" w:color="auto"/>
              <w:right w:val="single" w:sz="4" w:space="0" w:color="auto"/>
            </w:tcBorders>
            <w:noWrap/>
          </w:tcPr>
          <w:p w14:paraId="4C8CF51F" w14:textId="77777777" w:rsidR="00FA40E8" w:rsidRDefault="00FA40E8">
            <w:pPr>
              <w:spacing w:after="0"/>
              <w:jc w:val="center"/>
              <w:rPr>
                <w:rFonts w:ascii="Times New Roman" w:hAnsi="Times New Roman" w:cs="Times New Roman"/>
                <w:noProof/>
                <w:sz w:val="20"/>
              </w:rPr>
            </w:pPr>
          </w:p>
        </w:tc>
        <w:tc>
          <w:tcPr>
            <w:tcW w:w="1361" w:type="dxa"/>
            <w:vMerge/>
            <w:tcBorders>
              <w:top w:val="single" w:sz="4" w:space="0" w:color="auto"/>
              <w:left w:val="single" w:sz="4" w:space="0" w:color="auto"/>
              <w:bottom w:val="single" w:sz="4" w:space="0" w:color="auto"/>
              <w:right w:val="single" w:sz="4" w:space="0" w:color="auto"/>
            </w:tcBorders>
          </w:tcPr>
          <w:p w14:paraId="56A49335" w14:textId="77777777" w:rsidR="00FA40E8" w:rsidRDefault="00FA40E8">
            <w:pPr>
              <w:spacing w:after="0"/>
              <w:rPr>
                <w:rFonts w:ascii="Times New Roman" w:eastAsia="Calibri" w:hAnsi="Times New Roman" w:cs="Times New Roman"/>
                <w:noProof/>
                <w:sz w:val="20"/>
              </w:rPr>
            </w:pPr>
          </w:p>
        </w:tc>
        <w:tc>
          <w:tcPr>
            <w:tcW w:w="1253" w:type="dxa"/>
            <w:vMerge/>
            <w:tcBorders>
              <w:top w:val="single" w:sz="4" w:space="0" w:color="auto"/>
              <w:left w:val="single" w:sz="4" w:space="0" w:color="auto"/>
              <w:bottom w:val="single" w:sz="4" w:space="0" w:color="auto"/>
              <w:right w:val="single" w:sz="4" w:space="0" w:color="auto"/>
            </w:tcBorders>
            <w:noWrap/>
          </w:tcPr>
          <w:p w14:paraId="02B03625" w14:textId="77777777" w:rsidR="00FA40E8" w:rsidRDefault="00FA40E8">
            <w:pPr>
              <w:spacing w:after="0"/>
              <w:rPr>
                <w:rFonts w:ascii="Times New Roman" w:hAnsi="Times New Roman" w:cs="Times New Roman"/>
                <w:noProof/>
                <w:sz w:val="20"/>
              </w:rPr>
            </w:pPr>
          </w:p>
        </w:tc>
        <w:tc>
          <w:tcPr>
            <w:tcW w:w="1884" w:type="dxa"/>
            <w:vMerge/>
            <w:tcBorders>
              <w:top w:val="single" w:sz="4" w:space="0" w:color="auto"/>
              <w:left w:val="single" w:sz="4" w:space="0" w:color="auto"/>
              <w:bottom w:val="single" w:sz="4" w:space="0" w:color="auto"/>
              <w:right w:val="single" w:sz="4" w:space="0" w:color="auto"/>
            </w:tcBorders>
          </w:tcPr>
          <w:p w14:paraId="3D19CD68" w14:textId="77777777" w:rsidR="00FA40E8" w:rsidRDefault="00FA40E8">
            <w:pPr>
              <w:spacing w:after="0"/>
              <w:rPr>
                <w:rFonts w:ascii="Times New Roman" w:hAnsi="Times New Roman" w:cs="Times New Roman"/>
                <w:noProof/>
                <w:sz w:val="20"/>
              </w:rPr>
            </w:pPr>
          </w:p>
        </w:tc>
        <w:tc>
          <w:tcPr>
            <w:tcW w:w="1573" w:type="dxa"/>
            <w:vMerge/>
            <w:tcBorders>
              <w:top w:val="single" w:sz="4" w:space="0" w:color="auto"/>
              <w:left w:val="single" w:sz="4" w:space="0" w:color="auto"/>
              <w:bottom w:val="single" w:sz="4" w:space="0" w:color="auto"/>
              <w:right w:val="single" w:sz="4" w:space="0" w:color="auto"/>
            </w:tcBorders>
          </w:tcPr>
          <w:p w14:paraId="21E9EFD1" w14:textId="77777777" w:rsidR="00FA40E8" w:rsidRDefault="00FA40E8">
            <w:pPr>
              <w:spacing w:after="0"/>
              <w:rPr>
                <w:rFonts w:ascii="Times New Roman" w:eastAsia="Times New Roman" w:hAnsi="Times New Roman" w:cs="Times New Roman"/>
                <w:noProof/>
                <w:sz w:val="20"/>
              </w:rPr>
            </w:pPr>
          </w:p>
        </w:tc>
        <w:tc>
          <w:tcPr>
            <w:tcW w:w="795"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6A1F806" w14:textId="77777777" w:rsidR="00FA40E8" w:rsidRDefault="00E74AE8">
            <w:pPr>
              <w:pStyle w:val="P68B1DB1-Normal9"/>
              <w:spacing w:after="0"/>
              <w:jc w:val="center"/>
              <w:rPr>
                <w:rFonts w:cs="Times New Roman"/>
                <w:noProof/>
              </w:rPr>
            </w:pPr>
            <w:r>
              <w:rPr>
                <w:noProof/>
              </w:rPr>
              <w:t>Unité</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EB4C284" w14:textId="77777777" w:rsidR="00FA40E8" w:rsidRDefault="00E74AE8">
            <w:pPr>
              <w:pStyle w:val="P68B1DB1-Normal9"/>
              <w:spacing w:after="0"/>
              <w:jc w:val="center"/>
              <w:rPr>
                <w:rFonts w:cs="Times New Roman"/>
                <w:noProof/>
              </w:rPr>
            </w:pPr>
            <w:r>
              <w:rPr>
                <w:noProof/>
              </w:rPr>
              <w:t>Niveau de référence</w:t>
            </w:r>
          </w:p>
        </w:tc>
        <w:tc>
          <w:tcPr>
            <w:tcW w:w="63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970E9A" w14:textId="77777777" w:rsidR="00FA40E8" w:rsidRDefault="00E74AE8">
            <w:pPr>
              <w:pStyle w:val="P68B1DB1-Normal9"/>
              <w:spacing w:after="0"/>
              <w:jc w:val="center"/>
              <w:rPr>
                <w:rFonts w:cs="Times New Roman"/>
                <w:noProof/>
              </w:rPr>
            </w:pPr>
            <w:r>
              <w:rPr>
                <w:noProof/>
              </w:rPr>
              <w:t>Objectif</w:t>
            </w:r>
          </w:p>
        </w:tc>
        <w:tc>
          <w:tcPr>
            <w:tcW w:w="990"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918232E" w14:textId="77777777" w:rsidR="00FA40E8" w:rsidRDefault="00E74AE8">
            <w:pPr>
              <w:pStyle w:val="P68B1DB1-Normal9"/>
              <w:spacing w:after="0"/>
              <w:jc w:val="center"/>
              <w:rPr>
                <w:rFonts w:cs="Times New Roman"/>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E0A7182" w14:textId="77777777" w:rsidR="00FA40E8" w:rsidRDefault="00E74AE8">
            <w:pPr>
              <w:pStyle w:val="P68B1DB1-Normal9"/>
              <w:spacing w:after="0"/>
              <w:jc w:val="center"/>
              <w:rPr>
                <w:rFonts w:cs="Times New Roman"/>
                <w:noProof/>
              </w:rPr>
            </w:pPr>
            <w:r>
              <w:rPr>
                <w:noProof/>
              </w:rPr>
              <w:t>Année</w:t>
            </w:r>
          </w:p>
        </w:tc>
        <w:tc>
          <w:tcPr>
            <w:tcW w:w="4151" w:type="dxa"/>
            <w:vMerge/>
            <w:tcBorders>
              <w:top w:val="single" w:sz="4" w:space="0" w:color="auto"/>
              <w:left w:val="single" w:sz="4" w:space="0" w:color="auto"/>
              <w:bottom w:val="single" w:sz="4" w:space="0" w:color="auto"/>
              <w:right w:val="single" w:sz="4" w:space="0" w:color="auto"/>
            </w:tcBorders>
          </w:tcPr>
          <w:p w14:paraId="11B13AE2" w14:textId="77777777" w:rsidR="00FA40E8" w:rsidRDefault="00FA40E8">
            <w:pPr>
              <w:spacing w:after="0"/>
              <w:rPr>
                <w:rFonts w:ascii="Times New Roman" w:hAnsi="Times New Roman" w:cs="Times New Roman"/>
                <w:b/>
                <w:noProof/>
                <w:sz w:val="20"/>
              </w:rPr>
            </w:pPr>
          </w:p>
        </w:tc>
      </w:tr>
      <w:tr w:rsidR="00FA40E8" w14:paraId="01E746AD" w14:textId="77777777">
        <w:trPr>
          <w:jc w:val="center"/>
        </w:trPr>
        <w:tc>
          <w:tcPr>
            <w:tcW w:w="52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55C467" w14:textId="1D40FFEE" w:rsidR="00FA40E8" w:rsidRDefault="00E74AE8">
            <w:pPr>
              <w:pStyle w:val="P68B1DB1-Normal12"/>
              <w:spacing w:after="0"/>
              <w:jc w:val="center"/>
              <w:rPr>
                <w:rFonts w:cs="Times New Roman"/>
                <w:noProof/>
              </w:rPr>
            </w:pPr>
            <w:r>
              <w:rPr>
                <w:noProof/>
              </w:rPr>
              <w:t>58a</w:t>
            </w:r>
          </w:p>
        </w:tc>
        <w:tc>
          <w:tcPr>
            <w:tcW w:w="13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5C93E3" w14:textId="14EA6A90" w:rsidR="00FA40E8" w:rsidRDefault="00E74AE8">
            <w:pPr>
              <w:pStyle w:val="P68B1DB1-Normal12"/>
              <w:spacing w:after="0"/>
              <w:jc w:val="both"/>
              <w:rPr>
                <w:rFonts w:eastAsia="Calibri" w:cs="Times New Roman"/>
                <w:noProof/>
              </w:rPr>
            </w:pPr>
            <w:r>
              <w:rPr>
                <w:noProof/>
              </w:rPr>
              <w:t>B.3.1 Développement de produits financiers verts</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A23797" w14:textId="0BD15C63" w:rsidR="00FA40E8" w:rsidRDefault="00E74AE8">
            <w:pPr>
              <w:pStyle w:val="P68B1DB1-Normal12"/>
              <w:spacing w:after="0"/>
              <w:jc w:val="both"/>
              <w:rPr>
                <w:rFonts w:cs="Times New Roman"/>
                <w:noProof/>
              </w:rPr>
            </w:pPr>
            <w:r>
              <w:rPr>
                <w:noProof/>
              </w:rPr>
              <w:t>Étape</w:t>
            </w:r>
          </w:p>
        </w:tc>
        <w:tc>
          <w:tcPr>
            <w:tcW w:w="18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3B8AAD" w14:textId="0AAFA1E9" w:rsidR="00FA40E8" w:rsidRDefault="00E74AE8">
            <w:pPr>
              <w:pStyle w:val="P68B1DB1-Normal12"/>
              <w:spacing w:after="0"/>
              <w:jc w:val="both"/>
              <w:rPr>
                <w:rFonts w:eastAsia="Times New Roman" w:cs="Times New Roman"/>
                <w:noProof/>
              </w:rPr>
            </w:pPr>
            <w:r>
              <w:rPr>
                <w:noProof/>
              </w:rPr>
              <w:t xml:space="preserve">Approbation du plan d’action en faveur de la finance verte </w:t>
            </w:r>
          </w:p>
        </w:tc>
        <w:tc>
          <w:tcPr>
            <w:tcW w:w="15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43DB21" w14:textId="72C63696" w:rsidR="00FA40E8" w:rsidRDefault="00E74AE8">
            <w:pPr>
              <w:pStyle w:val="P68B1DB1-Normal12"/>
              <w:spacing w:after="0"/>
              <w:jc w:val="both"/>
              <w:rPr>
                <w:rFonts w:eastAsia="Times New Roman" w:cs="Times New Roman"/>
                <w:noProof/>
              </w:rPr>
            </w:pPr>
            <w:r>
              <w:rPr>
                <w:noProof/>
              </w:rPr>
              <w:t>Entrée en vigueur de l’arrêté du ministre des finances</w:t>
            </w:r>
          </w:p>
        </w:tc>
        <w:tc>
          <w:tcPr>
            <w:tcW w:w="7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3A3104" w14:textId="26DBF45B" w:rsidR="00FA40E8" w:rsidRDefault="00FA40E8">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7750DB" w14:textId="1927CC79" w:rsidR="00FA40E8" w:rsidRDefault="00FA40E8">
            <w:pPr>
              <w:spacing w:after="0"/>
              <w:jc w:val="center"/>
              <w:rPr>
                <w:rFonts w:ascii="Times New Roman" w:hAnsi="Times New Roman" w:cs="Times New Roman"/>
                <w:noProof/>
                <w:sz w:val="20"/>
              </w:rPr>
            </w:pPr>
          </w:p>
        </w:tc>
        <w:tc>
          <w:tcPr>
            <w:tcW w:w="63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659256" w14:textId="39FF7B3E" w:rsidR="00FA40E8" w:rsidRDefault="00FA40E8">
            <w:pPr>
              <w:spacing w:after="0"/>
              <w:jc w:val="center"/>
              <w:rPr>
                <w:rFonts w:ascii="Times New Roman" w:hAnsi="Times New Roman" w:cs="Times New Roman"/>
                <w:noProof/>
                <w:sz w:val="20"/>
              </w:rPr>
            </w:pPr>
          </w:p>
        </w:tc>
        <w:tc>
          <w:tcPr>
            <w:tcW w:w="99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ABD099" w14:textId="7673FCAF" w:rsidR="00FA40E8" w:rsidRDefault="00E74AE8">
            <w:pPr>
              <w:pStyle w:val="P68B1DB1-Normal12"/>
              <w:spacing w:after="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6E5206" w14:textId="5AB1C853" w:rsidR="00FA40E8" w:rsidRDefault="00E74AE8">
            <w:pPr>
              <w:pStyle w:val="P68B1DB1-Normal12"/>
              <w:spacing w:after="0"/>
              <w:jc w:val="center"/>
              <w:rPr>
                <w:rFonts w:cs="Times New Roman"/>
                <w:noProof/>
              </w:rPr>
            </w:pPr>
            <w:r>
              <w:rPr>
                <w:noProof/>
              </w:rPr>
              <w:t>2023</w:t>
            </w:r>
          </w:p>
        </w:tc>
        <w:tc>
          <w:tcPr>
            <w:tcW w:w="41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A1DC6A" w14:textId="456FC9A2" w:rsidR="00FA40E8" w:rsidRDefault="00E74AE8">
            <w:pPr>
              <w:pStyle w:val="P68B1DB1-Normal12"/>
              <w:spacing w:after="0"/>
              <w:jc w:val="both"/>
              <w:rPr>
                <w:rFonts w:eastAsia="Times New Roman" w:cs="Times New Roman"/>
                <w:noProof/>
              </w:rPr>
            </w:pPr>
            <w:r>
              <w:rPr>
                <w:noProof/>
              </w:rPr>
              <w:t>Entrée en vigueur de l’arrêté du ministre des finances approuvant le plan d’action lituanien en matière de finance verte, qui vise à mobiliser des fonds publics et privés pour atteindre les objectifs d’atténuation du changement climatique et d’adaptation à</w:t>
            </w:r>
            <w:r>
              <w:rPr>
                <w:noProof/>
              </w:rPr>
              <w:t xml:space="preserve"> celui-ci et à accroître l’attractivité de la Lituanie pour les investisseurs dans les produits financiers verts. </w:t>
            </w:r>
          </w:p>
          <w:p w14:paraId="4EDF3EB5" w14:textId="6982553C" w:rsidR="00FA40E8" w:rsidRDefault="00E74AE8">
            <w:pPr>
              <w:pStyle w:val="P68B1DB1-Normal12"/>
              <w:spacing w:after="0"/>
              <w:jc w:val="both"/>
              <w:rPr>
                <w:rFonts w:cs="Times New Roman"/>
                <w:noProof/>
              </w:rPr>
            </w:pPr>
            <w:r>
              <w:rPr>
                <w:noProof/>
              </w:rPr>
              <w:t xml:space="preserve">Le plan d’action comprend les éléments suivants: </w:t>
            </w:r>
          </w:p>
          <w:p w14:paraId="2EFD08EF" w14:textId="60A7B73D" w:rsidR="00FA40E8" w:rsidRDefault="00E74AE8">
            <w:pPr>
              <w:pStyle w:val="P68B1DB1-ListParagraph22"/>
              <w:numPr>
                <w:ilvl w:val="0"/>
                <w:numId w:val="47"/>
              </w:numPr>
              <w:spacing w:after="0" w:line="276" w:lineRule="auto"/>
              <w:ind w:left="357" w:hanging="357"/>
              <w:jc w:val="both"/>
              <w:rPr>
                <w:rFonts w:eastAsia="Times New Roman" w:cs="Times New Roman"/>
                <w:noProof/>
              </w:rPr>
            </w:pPr>
            <w:r>
              <w:rPr>
                <w:noProof/>
              </w:rPr>
              <w:t>la mise en place d’un centre de com</w:t>
            </w:r>
            <w:r>
              <w:rPr>
                <w:noProof/>
              </w:rPr>
              <w:t xml:space="preserve">pétences et de connaissances en matière de finance verte; </w:t>
            </w:r>
          </w:p>
          <w:p w14:paraId="6F120FCF" w14:textId="0B6EA6A0" w:rsidR="00FA40E8" w:rsidRDefault="00E74AE8">
            <w:pPr>
              <w:pStyle w:val="P68B1DB1-ListParagraph22"/>
              <w:numPr>
                <w:ilvl w:val="0"/>
                <w:numId w:val="47"/>
              </w:numPr>
              <w:spacing w:after="0" w:line="276" w:lineRule="auto"/>
              <w:ind w:left="357" w:hanging="357"/>
              <w:jc w:val="both"/>
              <w:rPr>
                <w:rFonts w:eastAsia="Times New Roman" w:cs="Times New Roman"/>
                <w:noProof/>
              </w:rPr>
            </w:pPr>
            <w:r>
              <w:rPr>
                <w:noProof/>
              </w:rPr>
              <w:t>promouvoir le développement de la finance verte publique;</w:t>
            </w:r>
          </w:p>
          <w:p w14:paraId="4209B589" w14:textId="6AA94768" w:rsidR="00FA40E8" w:rsidRDefault="00E74AE8">
            <w:pPr>
              <w:pStyle w:val="P68B1DB1-ListParagraph22"/>
              <w:numPr>
                <w:ilvl w:val="0"/>
                <w:numId w:val="47"/>
              </w:numPr>
              <w:spacing w:after="0" w:line="276" w:lineRule="auto"/>
              <w:ind w:left="357" w:hanging="357"/>
              <w:jc w:val="both"/>
              <w:rPr>
                <w:rFonts w:eastAsia="Times New Roman" w:cs="Times New Roman"/>
                <w:noProof/>
              </w:rPr>
            </w:pPr>
            <w:r>
              <w:rPr>
                <w:noProof/>
              </w:rPr>
              <w:t>créer les conditions préalables pour attirer les investissements du secteur privé en vue d’atteindre les objectifs écologiques;</w:t>
            </w:r>
          </w:p>
          <w:p w14:paraId="051A9459" w14:textId="1687FC64" w:rsidR="00FA40E8" w:rsidRDefault="00E74AE8">
            <w:pPr>
              <w:pStyle w:val="P68B1DB1-ListParagraph22"/>
              <w:numPr>
                <w:ilvl w:val="0"/>
                <w:numId w:val="47"/>
              </w:numPr>
              <w:spacing w:after="0" w:line="276" w:lineRule="auto"/>
              <w:ind w:left="357" w:hanging="357"/>
              <w:jc w:val="both"/>
              <w:rPr>
                <w:rFonts w:eastAsia="Times New Roman" w:cs="Times New Roman"/>
                <w:noProof/>
              </w:rPr>
            </w:pPr>
            <w:r>
              <w:rPr>
                <w:noProof/>
              </w:rPr>
              <w:t>garantir l’</w:t>
            </w:r>
            <w:r>
              <w:rPr>
                <w:noProof/>
              </w:rPr>
              <w:t xml:space="preserve">accès aux données relatives à la durabilité; </w:t>
            </w:r>
          </w:p>
          <w:p w14:paraId="395B62BA" w14:textId="5F45485E" w:rsidR="00FA40E8" w:rsidRDefault="00E74AE8">
            <w:pPr>
              <w:pStyle w:val="P68B1DB1-ListParagraph22"/>
              <w:numPr>
                <w:ilvl w:val="0"/>
                <w:numId w:val="47"/>
              </w:numPr>
              <w:spacing w:after="0"/>
              <w:ind w:left="357" w:hanging="357"/>
              <w:jc w:val="both"/>
              <w:rPr>
                <w:rFonts w:eastAsia="Times New Roman" w:cs="Times New Roman"/>
                <w:noProof/>
              </w:rPr>
            </w:pPr>
            <w:r>
              <w:rPr>
                <w:noProof/>
              </w:rPr>
              <w:t>développer les compétences en matière de finance verte et d’éducation publique.</w:t>
            </w:r>
          </w:p>
        </w:tc>
      </w:tr>
      <w:tr w:rsidR="00FA40E8" w14:paraId="6221CA94" w14:textId="77777777">
        <w:trPr>
          <w:jc w:val="center"/>
        </w:trPr>
        <w:tc>
          <w:tcPr>
            <w:tcW w:w="52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F7345A" w14:textId="18CD6D1E" w:rsidR="00FA40E8" w:rsidRDefault="00E74AE8">
            <w:pPr>
              <w:pStyle w:val="P68B1DB1-Normal12"/>
              <w:spacing w:after="0"/>
              <w:jc w:val="center"/>
              <w:rPr>
                <w:rFonts w:cs="Times New Roman"/>
                <w:noProof/>
              </w:rPr>
            </w:pPr>
            <w:r>
              <w:rPr>
                <w:noProof/>
              </w:rPr>
              <w:t>58b</w:t>
            </w:r>
          </w:p>
        </w:tc>
        <w:tc>
          <w:tcPr>
            <w:tcW w:w="13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03E5B" w14:textId="0D258505" w:rsidR="00FA40E8" w:rsidRDefault="00E74AE8">
            <w:pPr>
              <w:pStyle w:val="P68B1DB1-Normal12"/>
              <w:spacing w:after="0"/>
              <w:jc w:val="both"/>
              <w:rPr>
                <w:rFonts w:eastAsia="Times New Roman" w:cs="Times New Roman"/>
                <w:noProof/>
              </w:rPr>
            </w:pPr>
            <w:r>
              <w:rPr>
                <w:noProof/>
              </w:rPr>
              <w:t>B.3.1 Développement de produits financiers verts</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8504D9" w14:textId="7057CC78" w:rsidR="00FA40E8" w:rsidRDefault="00E74AE8">
            <w:pPr>
              <w:pStyle w:val="P68B1DB1-Normal12"/>
              <w:spacing w:after="0"/>
              <w:jc w:val="both"/>
              <w:rPr>
                <w:rFonts w:cs="Times New Roman"/>
                <w:noProof/>
              </w:rPr>
            </w:pPr>
            <w:r>
              <w:rPr>
                <w:noProof/>
              </w:rPr>
              <w:t>Étape</w:t>
            </w:r>
          </w:p>
        </w:tc>
        <w:tc>
          <w:tcPr>
            <w:tcW w:w="18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17BFDD" w14:textId="7397A2D6" w:rsidR="00FA40E8" w:rsidRDefault="00E74AE8">
            <w:pPr>
              <w:pStyle w:val="P68B1DB1-Normal12"/>
              <w:spacing w:after="0"/>
              <w:rPr>
                <w:rFonts w:eastAsia="Times New Roman" w:cs="Times New Roman"/>
                <w:noProof/>
              </w:rPr>
            </w:pPr>
            <w:r>
              <w:rPr>
                <w:noProof/>
              </w:rPr>
              <w:t xml:space="preserve">Création et mise en service du centre de connaissances et de </w:t>
            </w:r>
            <w:r>
              <w:rPr>
                <w:noProof/>
              </w:rPr>
              <w:t>compétences en finance verte</w:t>
            </w:r>
          </w:p>
        </w:tc>
        <w:tc>
          <w:tcPr>
            <w:tcW w:w="15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28629D" w14:textId="35001F8E" w:rsidR="00FA40E8" w:rsidRDefault="00E74AE8">
            <w:pPr>
              <w:pStyle w:val="P68B1DB1-Normal12"/>
              <w:spacing w:after="0"/>
              <w:rPr>
                <w:rFonts w:eastAsia="Times New Roman" w:cs="Times New Roman"/>
                <w:noProof/>
              </w:rPr>
            </w:pPr>
            <w:r>
              <w:rPr>
                <w:noProof/>
              </w:rPr>
              <w:t>Le centre de compétences et de connaissances en matière de finance verte est entré en service</w:t>
            </w:r>
          </w:p>
        </w:tc>
        <w:tc>
          <w:tcPr>
            <w:tcW w:w="7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5C1F5D" w14:textId="77777777" w:rsidR="00FA40E8" w:rsidRDefault="00FA40E8">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2C1611" w14:textId="77777777" w:rsidR="00FA40E8" w:rsidRDefault="00FA40E8">
            <w:pPr>
              <w:spacing w:after="0"/>
              <w:jc w:val="center"/>
              <w:rPr>
                <w:rFonts w:ascii="Times New Roman" w:hAnsi="Times New Roman" w:cs="Times New Roman"/>
                <w:noProof/>
                <w:sz w:val="20"/>
              </w:rPr>
            </w:pPr>
          </w:p>
        </w:tc>
        <w:tc>
          <w:tcPr>
            <w:tcW w:w="63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575794" w14:textId="77777777" w:rsidR="00FA40E8" w:rsidRDefault="00FA40E8">
            <w:pPr>
              <w:spacing w:after="0"/>
              <w:jc w:val="center"/>
              <w:rPr>
                <w:rFonts w:ascii="Times New Roman" w:hAnsi="Times New Roman" w:cs="Times New Roman"/>
                <w:noProof/>
                <w:sz w:val="20"/>
              </w:rPr>
            </w:pPr>
          </w:p>
        </w:tc>
        <w:tc>
          <w:tcPr>
            <w:tcW w:w="99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C79497" w14:textId="006F53DF" w:rsidR="00FA40E8" w:rsidRDefault="00E74AE8">
            <w:pPr>
              <w:pStyle w:val="P68B1DB1-Normal12"/>
              <w:spacing w:after="0"/>
              <w:jc w:val="center"/>
              <w:rPr>
                <w:rFonts w:eastAsia="Times New Roman"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9C5E2A" w14:textId="49F14B68" w:rsidR="00FA40E8" w:rsidRDefault="00E74AE8">
            <w:pPr>
              <w:pStyle w:val="P68B1DB1-Normal12"/>
              <w:spacing w:after="0"/>
              <w:jc w:val="center"/>
              <w:rPr>
                <w:rFonts w:eastAsia="Times New Roman" w:cs="Times New Roman"/>
                <w:noProof/>
              </w:rPr>
            </w:pPr>
            <w:r>
              <w:rPr>
                <w:noProof/>
              </w:rPr>
              <w:t>2023</w:t>
            </w:r>
          </w:p>
        </w:tc>
        <w:tc>
          <w:tcPr>
            <w:tcW w:w="41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D54E19" w14:textId="2670F031" w:rsidR="00FA40E8" w:rsidRDefault="00E74AE8">
            <w:pPr>
              <w:pStyle w:val="P68B1DB1-Normal12"/>
              <w:spacing w:after="0"/>
              <w:jc w:val="both"/>
              <w:rPr>
                <w:rFonts w:eastAsia="Times New Roman" w:cs="Times New Roman"/>
                <w:noProof/>
              </w:rPr>
            </w:pPr>
            <w:r>
              <w:rPr>
                <w:noProof/>
              </w:rPr>
              <w:t>Un centre de compétences et de connaissances en matière de finance verte est créé au sein de la structure d’INVEGA et entr</w:t>
            </w:r>
            <w:r>
              <w:rPr>
                <w:noProof/>
              </w:rPr>
              <w:t xml:space="preserve">e en service pour contribuer au développement d’un écosystème d’étiquetage durable en Lituanie sur la base de pratiques internationales, assurer la diffusion d’informations pertinentes en matière de durabilité, coordonner la coopération entre les secteurs </w:t>
            </w:r>
            <w:r>
              <w:rPr>
                <w:noProof/>
              </w:rPr>
              <w:t>public et privé et le monde universitaire et promouvoir la Lituanie dans le domaine de la finance durable.</w:t>
            </w:r>
          </w:p>
        </w:tc>
      </w:tr>
    </w:tbl>
    <w:p w14:paraId="3A825414" w14:textId="6C818F7C" w:rsidR="00FA40E8" w:rsidRDefault="00FA40E8">
      <w:pPr>
        <w:pStyle w:val="Text1"/>
        <w:ind w:left="0"/>
        <w:rPr>
          <w:noProof/>
        </w:rPr>
        <w:sectPr w:rsidR="00FA40E8" w:rsidSect="0074650A">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3AE26315" w14:textId="77777777" w:rsidR="00FA40E8" w:rsidRDefault="00E74AE8">
      <w:pPr>
        <w:pStyle w:val="ManualHeading1"/>
        <w:tabs>
          <w:tab w:val="clear" w:pos="850"/>
        </w:tabs>
        <w:spacing w:before="0" w:after="200"/>
        <w:ind w:left="0" w:firstLine="0"/>
        <w:rPr>
          <w:noProof/>
        </w:rPr>
      </w:pPr>
      <w:r>
        <w:rPr>
          <w:noProof/>
        </w:rPr>
        <w:t>C. COMPOSANTE 3: La transformation numérique au service de la croissance</w:t>
      </w:r>
    </w:p>
    <w:p w14:paraId="19FFDE32" w14:textId="77777777" w:rsidR="00FA40E8" w:rsidRDefault="00E74AE8">
      <w:pPr>
        <w:pStyle w:val="P68B1DB1-Normal4"/>
        <w:jc w:val="both"/>
        <w:rPr>
          <w:rFonts w:eastAsia="Times New Roman" w:cs="Times New Roman"/>
          <w:noProof/>
        </w:rPr>
      </w:pPr>
      <w:r>
        <w:rPr>
          <w:noProof/>
        </w:rPr>
        <w:t xml:space="preserve">Le volet du </w:t>
      </w:r>
      <w:r>
        <w:rPr>
          <w:noProof/>
        </w:rPr>
        <w:t xml:space="preserve">plan lituanien pour la reprise et la résilience aborde de multiples aspects de la transformation numérique: la connectivité numérique, y compris la fracture numérique entre les zones urbaines et rurales, la numérisation des secteurs public et privé et les </w:t>
      </w:r>
      <w:r>
        <w:rPr>
          <w:noProof/>
        </w:rPr>
        <w:t>compétences numériques. Ce volet comprend des mesures visant à faciliter le déploiement de la 5G, à poursuivre le développement des infrastructures de fibre optique dans les zones rurales et isolées et à favoriser l’innovation en matière de connectivité. E</w:t>
      </w:r>
      <w:r>
        <w:rPr>
          <w:noProof/>
        </w:rPr>
        <w:t>n outre, des réformes et des investissements substantiels visent à numériser le secteur public. La promotion des compétences numériques est envisagée pour les enfants, les salariés et les personnes âgées, ainsi que des mesures visant à remédier à la pénuri</w:t>
      </w:r>
      <w:r>
        <w:rPr>
          <w:noProof/>
        </w:rPr>
        <w:t>e de personnel informatique sur le marché du travail. En outre, le volet propose des investissements visant à promouvoir l’adoption de technologies numériques avancées dans le secteur privé, en particulier en ce qui concerne la coopération entre la science</w:t>
      </w:r>
      <w:r>
        <w:rPr>
          <w:noProof/>
        </w:rPr>
        <w:t xml:space="preserve"> et les entreprises pour les technologies innovantes et la numérisation du secteur culturel. Au total, le volet comprend cinq mesures (trois réformes et deux investissements).</w:t>
      </w:r>
    </w:p>
    <w:p w14:paraId="07FBE38F" w14:textId="77777777" w:rsidR="00FA40E8" w:rsidRDefault="00E74AE8">
      <w:pPr>
        <w:pStyle w:val="P68B1DB1-Normal4"/>
        <w:jc w:val="both"/>
        <w:rPr>
          <w:rFonts w:eastAsia="Times New Roman" w:cs="Times New Roman"/>
          <w:noProof/>
        </w:rPr>
      </w:pPr>
      <w:r>
        <w:rPr>
          <w:noProof/>
        </w:rPr>
        <w:t>Ce volet répond à la recommandation par pays visant à promouvoir les investissem</w:t>
      </w:r>
      <w:r>
        <w:rPr>
          <w:noProof/>
        </w:rPr>
        <w:t>ents dans la transition numérique, en particulier la couverture et l’adoption du haut débit à haute capacité (recommandation par pays no 3 202 de 0). En outre, ce volet devrait contribuer à stimuler la croissance de la productivité, notamment en rendant le</w:t>
      </w:r>
      <w:r>
        <w:rPr>
          <w:noProof/>
        </w:rPr>
        <w:t xml:space="preserve">s investissements publics plus efficaces (recommandation par pays no 3 201 de 9), étant donné qu’il comprend des mesures visant à numériser le secteur public, ce qui aura une incidence positive durable sur le fonctionnement de l’administration publique et </w:t>
      </w:r>
      <w:r>
        <w:rPr>
          <w:noProof/>
        </w:rPr>
        <w:t>sa productivité. Les mesures prévues dans le volet répondent également en partie aux défis liés à l’innovation technologique dans les petites et moyennes entreprises (recommandation par pays no 3 202 de 0). Dans l’ensemble, l’ampleur et la portée des inves</w:t>
      </w:r>
      <w:r>
        <w:rPr>
          <w:noProof/>
        </w:rPr>
        <w:t>tissements et des réformes envisagés pour la transition numérique contribueront indirectement à atténuer les effets de la crise sur l’emploi (recommandation par pays no 2 202 de 0) et à promouvoir les investissements en faveur de l’innovation (recommandati</w:t>
      </w:r>
      <w:r>
        <w:rPr>
          <w:noProof/>
        </w:rPr>
        <w:t>on par pays no 3 201 de 9).</w:t>
      </w:r>
    </w:p>
    <w:p w14:paraId="65558BAF" w14:textId="77777777" w:rsidR="00FA40E8" w:rsidRDefault="00E74AE8">
      <w:pPr>
        <w:pStyle w:val="P68B1DB1-Normal4"/>
        <w:jc w:val="both"/>
        <w:rPr>
          <w:rFonts w:eastAsia="Times New Roman" w:cs="Times New Roman"/>
          <w:noProof/>
        </w:rPr>
      </w:pPr>
      <w:r>
        <w:rPr>
          <w:noProof/>
        </w:rPr>
        <w:t>Aucune mesure relevant de ce volet ne devrait causer de préjudice important aux objectifs environnementaux au sens de l’article 17 du règlement (UE) 2020/852, compte tenu de la description des mesures et des mesures d’atténuatio</w:t>
      </w:r>
      <w:r>
        <w:rPr>
          <w:noProof/>
        </w:rPr>
        <w:t>n prévues dans le plan pour la reprise et la résilience conformément aux orientations techniques DNSH (2021/C58/01).</w:t>
      </w:r>
    </w:p>
    <w:p w14:paraId="1DDCB542" w14:textId="2F021497" w:rsidR="00FA40E8" w:rsidRDefault="00E74AE8">
      <w:pPr>
        <w:pStyle w:val="P68B1DB1-Text15"/>
        <w:keepNext/>
        <w:keepLines/>
        <w:spacing w:before="0" w:after="200" w:line="276" w:lineRule="auto"/>
        <w:ind w:left="0"/>
        <w:outlineLvl w:val="1"/>
        <w:rPr>
          <w:noProof/>
        </w:rPr>
      </w:pPr>
      <w:r>
        <w:rPr>
          <w:noProof/>
        </w:rPr>
        <w:t xml:space="preserve">C.1. Description des réformes et des investissements en vue d’un soutien financier non remboursable </w:t>
      </w:r>
    </w:p>
    <w:p w14:paraId="3722620B" w14:textId="26E137E7" w:rsidR="00FA40E8" w:rsidRDefault="00E74AE8">
      <w:pPr>
        <w:pStyle w:val="P68B1DB1-Normal6"/>
        <w:keepNext/>
        <w:keepLines/>
        <w:jc w:val="both"/>
        <w:rPr>
          <w:rFonts w:eastAsia="Times New Roman" w:cs="Times New Roman"/>
          <w:noProof/>
        </w:rPr>
      </w:pPr>
      <w:r>
        <w:rPr>
          <w:noProof/>
        </w:rPr>
        <w:t xml:space="preserve">C.1.1. Réforme 1 Transformation de la </w:t>
      </w:r>
      <w:r>
        <w:rPr>
          <w:noProof/>
        </w:rPr>
        <w:t>gouvernance publique des technologies de l’information</w:t>
      </w:r>
    </w:p>
    <w:p w14:paraId="4EE970D2" w14:textId="59E337BB" w:rsidR="00FA40E8" w:rsidRDefault="00E74AE8">
      <w:pPr>
        <w:pStyle w:val="P68B1DB1-Normal4"/>
        <w:jc w:val="both"/>
        <w:rPr>
          <w:rFonts w:eastAsia="Times New Roman" w:cs="Times New Roman"/>
          <w:noProof/>
        </w:rPr>
      </w:pPr>
      <w:r>
        <w:rPr>
          <w:noProof/>
        </w:rPr>
        <w:t>L’objectif de la réforme est de consolider les ressources d’information de l’État et de gérer de manière centralisée l’infrastructure, les services et les processus informatiques des institutions publi</w:t>
      </w:r>
      <w:r>
        <w:rPr>
          <w:noProof/>
        </w:rPr>
        <w:t>ques. La réforme consiste en la migration des systèmes gérés par les institutions publiques vers un nuage hybride.</w:t>
      </w:r>
    </w:p>
    <w:p w14:paraId="314A5371" w14:textId="6628A82E" w:rsidR="00FA40E8" w:rsidRDefault="00E74AE8">
      <w:pPr>
        <w:pStyle w:val="P68B1DB1-Normal6"/>
        <w:keepNext/>
        <w:keepLines/>
        <w:jc w:val="both"/>
        <w:rPr>
          <w:rFonts w:eastAsia="Times New Roman" w:cs="Times New Roman"/>
          <w:noProof/>
        </w:rPr>
      </w:pPr>
      <w:r>
        <w:rPr>
          <w:noProof/>
        </w:rPr>
        <w:t>C.1.1a Investissement 1a Développement de la cybersécurité de l’État</w:t>
      </w:r>
    </w:p>
    <w:p w14:paraId="0D3DC1E2" w14:textId="6D1D4629" w:rsidR="00FA40E8" w:rsidRDefault="00E74AE8">
      <w:pPr>
        <w:pStyle w:val="P68B1DB1-Normal4"/>
        <w:jc w:val="both"/>
        <w:rPr>
          <w:rFonts w:eastAsia="Times New Roman" w:cs="Times New Roman"/>
          <w:noProof/>
          <w:szCs w:val="24"/>
        </w:rPr>
      </w:pPr>
      <w:r>
        <w:rPr>
          <w:noProof/>
        </w:rPr>
        <w:t>L’objectif de l’investissement est d’accroître les capacités de l’État e</w:t>
      </w:r>
      <w:r>
        <w:rPr>
          <w:noProof/>
        </w:rPr>
        <w:t>n matière de cybersécurité. L’investissement consiste en l’adoption d’un programme national de développement de la cybersécurité, la mise en place d’un système de suivi de la cybersécurité, la fourniture de matériel et de logiciels pour enquêter sur la cyb</w:t>
      </w:r>
      <w:r>
        <w:rPr>
          <w:noProof/>
        </w:rPr>
        <w:t>ercriminalité et la formation à la cybersécurité.</w:t>
      </w:r>
    </w:p>
    <w:p w14:paraId="16955EC1" w14:textId="1E3C22EB" w:rsidR="00FA40E8" w:rsidRDefault="00E74AE8">
      <w:pPr>
        <w:pStyle w:val="paragraph"/>
        <w:numPr>
          <w:ilvl w:val="0"/>
          <w:numId w:val="39"/>
        </w:numPr>
        <w:spacing w:before="0" w:beforeAutospacing="0" w:after="200" w:afterAutospacing="0" w:line="276" w:lineRule="auto"/>
        <w:ind w:left="714" w:hanging="357"/>
        <w:contextualSpacing/>
        <w:jc w:val="both"/>
        <w:textAlignment w:val="baseline"/>
        <w:rPr>
          <w:noProof/>
        </w:rPr>
      </w:pPr>
      <w:r>
        <w:rPr>
          <w:noProof/>
        </w:rPr>
        <w:t>Adoption d’un programme national de développement de la cybersécurité, qui est un document de planification sur 4 ans à élaborer conformément à la loi sur la gouvernance stratégique de la République de Litu</w:t>
      </w:r>
      <w:r>
        <w:rPr>
          <w:noProof/>
        </w:rPr>
        <w:t>anie et au droit dérivé. Le programme sert de base aux activités énumérées aux points b) à d) en décrivant les défis en matière de cybersécurité à relever et en déterminant les fonds et les ressources nécessaires à la mise en œuvre des actions.</w:t>
      </w:r>
    </w:p>
    <w:p w14:paraId="6C99FF47" w14:textId="0F64D69E" w:rsidR="00FA40E8" w:rsidRDefault="00E74AE8">
      <w:pPr>
        <w:pStyle w:val="P68B1DB1-Normal6"/>
        <w:jc w:val="both"/>
        <w:rPr>
          <w:rFonts w:eastAsia="Times New Roman" w:cs="Times New Roman"/>
          <w:noProof/>
        </w:rPr>
      </w:pPr>
      <w:r>
        <w:rPr>
          <w:noProof/>
        </w:rPr>
        <w:t>C.1.2. Réfo</w:t>
      </w:r>
      <w:r>
        <w:rPr>
          <w:noProof/>
        </w:rPr>
        <w:t>rme 2 Gestion des données et données ouvertes</w:t>
      </w:r>
    </w:p>
    <w:p w14:paraId="6AE34292" w14:textId="7DF66A5A" w:rsidR="00FA40E8" w:rsidRDefault="00E74AE8">
      <w:pPr>
        <w:pStyle w:val="P68B1DB1-Normal4"/>
        <w:jc w:val="both"/>
        <w:rPr>
          <w:noProof/>
        </w:rPr>
      </w:pPr>
      <w:r>
        <w:rPr>
          <w:noProof/>
        </w:rPr>
        <w:t>L’objectif de la réforme est de soutenir la gestion des données publiques. La réforme consiste en l’adoption d’une législation, la fourniture d’un modèle de gestion des données et l’intégration de ressources d’</w:t>
      </w:r>
      <w:r>
        <w:rPr>
          <w:noProof/>
        </w:rPr>
        <w:t xml:space="preserve">information dans le lac de données national. </w:t>
      </w:r>
    </w:p>
    <w:p w14:paraId="1ADCDFA8" w14:textId="2CDF313D" w:rsidR="00FA40E8" w:rsidRDefault="00E74AE8">
      <w:pPr>
        <w:pStyle w:val="P68B1DB1-Normal6"/>
        <w:keepNext/>
        <w:keepLines/>
        <w:jc w:val="both"/>
        <w:rPr>
          <w:rFonts w:eastAsia="Times New Roman" w:cs="Times New Roman"/>
          <w:noProof/>
        </w:rPr>
      </w:pPr>
      <w:r>
        <w:rPr>
          <w:noProof/>
        </w:rPr>
        <w:t>C.1.3. Réforme 3: Services axés sur le client</w:t>
      </w:r>
    </w:p>
    <w:p w14:paraId="1D74D0B9" w14:textId="23F9681E" w:rsidR="00FA40E8" w:rsidRDefault="00E74AE8">
      <w:pPr>
        <w:pStyle w:val="P68B1DB1-Normal4"/>
        <w:jc w:val="both"/>
        <w:rPr>
          <w:noProof/>
        </w:rPr>
      </w:pPr>
      <w:r>
        <w:rPr>
          <w:noProof/>
        </w:rPr>
        <w:t xml:space="preserve">L’objectif de la réforme est la numérisation des services. La réforme consiste à numériser les services dans le secteur public. </w:t>
      </w:r>
    </w:p>
    <w:p w14:paraId="25781749" w14:textId="009D47FC" w:rsidR="00FA40E8" w:rsidRDefault="00E74AE8">
      <w:pPr>
        <w:pStyle w:val="P68B1DB1-Normal6"/>
        <w:keepNext/>
        <w:keepLines/>
        <w:jc w:val="both"/>
        <w:rPr>
          <w:rFonts w:eastAsia="Calibri" w:cs="Times New Roman"/>
          <w:noProof/>
        </w:rPr>
      </w:pPr>
      <w:r>
        <w:rPr>
          <w:noProof/>
        </w:rPr>
        <w:t xml:space="preserve">C.1.4. Investissement 1: Solutions </w:t>
      </w:r>
      <w:r>
        <w:rPr>
          <w:noProof/>
        </w:rPr>
        <w:t>technologiques dans les affaires et la vie quotidienne</w:t>
      </w:r>
    </w:p>
    <w:p w14:paraId="17D69A8A" w14:textId="321C1041" w:rsidR="00FA40E8" w:rsidRDefault="00E74AE8">
      <w:pPr>
        <w:pStyle w:val="P68B1DB1-Normal4"/>
        <w:keepNext/>
        <w:keepLines/>
        <w:jc w:val="both"/>
        <w:rPr>
          <w:noProof/>
        </w:rPr>
      </w:pPr>
      <w:r>
        <w:rPr>
          <w:noProof/>
        </w:rPr>
        <w:t>L’objectif de la mesure est d’accroître l’utilisation de solutions numériques. La mesure consiste en des solutions technologiques pour la langue lituanienne, la numérisation des ressources culturelles,</w:t>
      </w:r>
      <w:r>
        <w:rPr>
          <w:noProof/>
        </w:rPr>
        <w:t xml:space="preserve"> des ressources éducatives numériques, des instruments financiers pour l’innovation numérique et un centre d’excellence TIC.</w:t>
      </w:r>
      <w:bookmarkStart w:id="3" w:name="_Hlk144736170"/>
    </w:p>
    <w:p w14:paraId="59FE1B00" w14:textId="2232F465" w:rsidR="00FA40E8" w:rsidRDefault="00E74AE8">
      <w:pPr>
        <w:pStyle w:val="P68B1DB1-Normal6"/>
        <w:keepNext/>
        <w:keepLines/>
        <w:jc w:val="both"/>
        <w:rPr>
          <w:rFonts w:eastAsia="Times New Roman" w:cs="Times New Roman"/>
          <w:noProof/>
        </w:rPr>
      </w:pPr>
      <w:r>
        <w:rPr>
          <w:noProof/>
        </w:rPr>
        <w:t>C.1.4.1. Sous-mesure 1</w:t>
      </w:r>
      <w:bookmarkEnd w:id="3"/>
      <w:r>
        <w:rPr>
          <w:noProof/>
        </w:rPr>
        <w:t>: Ressources technologiques en langue lituanienne</w:t>
      </w:r>
    </w:p>
    <w:p w14:paraId="045EAA91" w14:textId="068C8A8D" w:rsidR="00FA40E8" w:rsidRDefault="00E74AE8">
      <w:pPr>
        <w:pStyle w:val="P68B1DB1-Normal4"/>
        <w:jc w:val="both"/>
        <w:rPr>
          <w:rFonts w:eastAsia="Times New Roman" w:cs="Times New Roman"/>
          <w:noProof/>
        </w:rPr>
      </w:pPr>
      <w:r>
        <w:rPr>
          <w:noProof/>
        </w:rPr>
        <w:t>L’objectif de la sous-mesure est de soutenir les systèmes e</w:t>
      </w:r>
      <w:r>
        <w:rPr>
          <w:noProof/>
        </w:rPr>
        <w:t>t services d’IA en langue lituanienne. La sous-mesure consiste en la publication gratuite des ressources nécessaires au développement de solutions d’IA en lituanien</w:t>
      </w:r>
    </w:p>
    <w:p w14:paraId="3A8A5C2B" w14:textId="708578F2" w:rsidR="00FA40E8" w:rsidRDefault="00E74AE8">
      <w:pPr>
        <w:pStyle w:val="P68B1DB1-Normal6"/>
        <w:keepNext/>
        <w:keepLines/>
        <w:jc w:val="both"/>
        <w:rPr>
          <w:rFonts w:eastAsia="Times New Roman" w:cs="Times New Roman"/>
          <w:noProof/>
        </w:rPr>
      </w:pPr>
      <w:bookmarkStart w:id="4" w:name="_Hlk144736184"/>
      <w:r>
        <w:rPr>
          <w:noProof/>
        </w:rPr>
        <w:t>C.1.4.2. Sous-mesure 2</w:t>
      </w:r>
      <w:bookmarkEnd w:id="4"/>
      <w:r>
        <w:rPr>
          <w:noProof/>
        </w:rPr>
        <w:t>: Numérisation des ressources culturelles</w:t>
      </w:r>
    </w:p>
    <w:p w14:paraId="0E5E00B7" w14:textId="58AC030F" w:rsidR="00FA40E8" w:rsidRDefault="00E74AE8">
      <w:pPr>
        <w:pStyle w:val="P68B1DB1-Normal4"/>
        <w:jc w:val="both"/>
        <w:rPr>
          <w:rFonts w:eastAsia="Times New Roman" w:cs="Times New Roman"/>
          <w:noProof/>
        </w:rPr>
      </w:pPr>
      <w:r>
        <w:rPr>
          <w:noProof/>
        </w:rPr>
        <w:t>L’objectif de la sous-mesur</w:t>
      </w:r>
      <w:r>
        <w:rPr>
          <w:noProof/>
        </w:rPr>
        <w:t xml:space="preserve">e est d’accroître l’accessibilité des ressources culturelles numériques. La sous-mesure consiste en le lancement d’une plateforme E-Culture, sur laquelle le contenu culturel numérisé est accessible. </w:t>
      </w:r>
    </w:p>
    <w:p w14:paraId="474E2AE5" w14:textId="77777777" w:rsidR="00FA40E8" w:rsidRDefault="00E74AE8">
      <w:pPr>
        <w:pStyle w:val="P68B1DB1-Normal6"/>
        <w:keepNext/>
        <w:keepLines/>
        <w:jc w:val="both"/>
        <w:rPr>
          <w:rFonts w:eastAsia="Times New Roman" w:cs="Times New Roman"/>
          <w:noProof/>
          <w:szCs w:val="24"/>
        </w:rPr>
      </w:pPr>
      <w:r>
        <w:rPr>
          <w:noProof/>
        </w:rPr>
        <w:t>C.1.4.3. Sous-mesure 3: Production de contenus et de res</w:t>
      </w:r>
      <w:r>
        <w:rPr>
          <w:noProof/>
        </w:rPr>
        <w:t>sources pédagogiques numériques</w:t>
      </w:r>
    </w:p>
    <w:p w14:paraId="1CD078CC" w14:textId="6001CE7E" w:rsidR="00FA40E8" w:rsidRDefault="00E74AE8">
      <w:pPr>
        <w:pStyle w:val="P68B1DB1-Normal4"/>
        <w:jc w:val="both"/>
        <w:rPr>
          <w:rFonts w:eastAsia="Times New Roman" w:cs="Times New Roman"/>
          <w:noProof/>
          <w:szCs w:val="24"/>
        </w:rPr>
      </w:pPr>
      <w:r>
        <w:rPr>
          <w:noProof/>
        </w:rPr>
        <w:t>L’objectif de la sous-mesure est de développer les solutions technologiques nécessaires à l’enseignement numérique, les ressources d’étude et l’infrastructure informatique dans les établissements d’enseignement afin de perme</w:t>
      </w:r>
      <w:r>
        <w:rPr>
          <w:noProof/>
        </w:rPr>
        <w:t xml:space="preserve">ttre un apprentissage à distance personnalisé. </w:t>
      </w:r>
    </w:p>
    <w:p w14:paraId="04B6E947" w14:textId="77777777" w:rsidR="00FA40E8" w:rsidRDefault="00E74AE8">
      <w:pPr>
        <w:pStyle w:val="P68B1DB1-Normal4"/>
        <w:jc w:val="both"/>
        <w:rPr>
          <w:rFonts w:eastAsia="Times New Roman" w:cs="Times New Roman"/>
          <w:noProof/>
          <w:szCs w:val="24"/>
        </w:rPr>
      </w:pPr>
      <w:r>
        <w:rPr>
          <w:noProof/>
        </w:rPr>
        <w:t>La sous-mesure est achevée au plus tard le 30 juin 2024.</w:t>
      </w:r>
    </w:p>
    <w:p w14:paraId="782000FC" w14:textId="77777777" w:rsidR="00FA40E8" w:rsidRDefault="00E74AE8">
      <w:pPr>
        <w:pStyle w:val="P68B1DB1-Normal6"/>
        <w:keepNext/>
        <w:keepLines/>
        <w:jc w:val="both"/>
        <w:rPr>
          <w:rFonts w:eastAsia="Times New Roman" w:cs="Times New Roman"/>
          <w:noProof/>
          <w:szCs w:val="24"/>
        </w:rPr>
      </w:pPr>
      <w:r>
        <w:rPr>
          <w:noProof/>
        </w:rPr>
        <w:t>C.1.4.4. Sous-mesure 4: Instruments financiers pour la création d’entreprises et l’innovation numérique</w:t>
      </w:r>
    </w:p>
    <w:p w14:paraId="7ED2CC96" w14:textId="77777777" w:rsidR="00FA40E8" w:rsidRDefault="00E74AE8">
      <w:pPr>
        <w:pStyle w:val="P68B1DB1-Normal4"/>
        <w:jc w:val="both"/>
        <w:rPr>
          <w:rFonts w:eastAsia="Times New Roman" w:cs="Times New Roman"/>
          <w:noProof/>
          <w:szCs w:val="24"/>
        </w:rPr>
      </w:pPr>
      <w:r>
        <w:rPr>
          <w:noProof/>
        </w:rPr>
        <w:t>La sous-mesure vise à fournir des incitations f</w:t>
      </w:r>
      <w:r>
        <w:rPr>
          <w:noProof/>
        </w:rPr>
        <w:t xml:space="preserve">inancières à la création d’entreprises et à l’innovation numérique. </w:t>
      </w:r>
    </w:p>
    <w:p w14:paraId="77FF9F3C" w14:textId="6BCEC693" w:rsidR="00FA40E8" w:rsidRDefault="00E74AE8">
      <w:pPr>
        <w:pStyle w:val="P68B1DB1-Normal4"/>
        <w:jc w:val="both"/>
        <w:rPr>
          <w:rFonts w:eastAsia="Times New Roman" w:cs="Times New Roman"/>
          <w:noProof/>
          <w:szCs w:val="24"/>
        </w:rPr>
      </w:pPr>
      <w:r>
        <w:rPr>
          <w:noProof/>
        </w:rPr>
        <w:t>Les centres de services aux entreprises bénéficient d’un soutien pour déployer des processus d’automatisation robotique et des solutions d’intelligence artificielle en finançant les dépen</w:t>
      </w:r>
      <w:r>
        <w:rPr>
          <w:noProof/>
        </w:rPr>
        <w:t xml:space="preserve">ses liées i) aux services de conseil liés à l’analyse du projet; II) les coûts de formation liés au développement de l’architecture des services aux entreprises et de la solution d’IA; III) l’acquisition de licences (robots, licences de logiciels) dans le </w:t>
      </w:r>
      <w:r>
        <w:rPr>
          <w:noProof/>
        </w:rPr>
        <w:t>cadre du projet; IV) le coût de la rémunération du temps consacré aux activités du projet; V) les coûts d’équipement et de location liés à l’installation et au fonctionnement des solutions automatisées (par exemple, location de serveurs).</w:t>
      </w:r>
    </w:p>
    <w:p w14:paraId="248CADAB" w14:textId="028F0708" w:rsidR="00FA40E8" w:rsidRDefault="00E74AE8">
      <w:pPr>
        <w:pStyle w:val="P68B1DB1-Normal4"/>
        <w:jc w:val="both"/>
        <w:rPr>
          <w:rFonts w:eastAsia="Times New Roman" w:cs="Times New Roman"/>
          <w:noProof/>
          <w:szCs w:val="24"/>
        </w:rPr>
      </w:pPr>
      <w:r>
        <w:rPr>
          <w:noProof/>
        </w:rPr>
        <w:t>Les jeunes pousse</w:t>
      </w:r>
      <w:r>
        <w:rPr>
          <w:noProof/>
        </w:rPr>
        <w:t>s et les entreprises issues de l’essaimage bénéficient d’un soutien pour développer des produits et des solutions pour l’intelligence artificielle, les technologies des chaînes de blocs et l’automatisation des processus robotiques en finançant les dépenses</w:t>
      </w:r>
      <w:r>
        <w:rPr>
          <w:noProof/>
        </w:rPr>
        <w:t xml:space="preserve"> liées i) au développement de produits et de services au stade initial de maturité, avant la mobilisation de capitaux d’investissement; II) l’analyse des besoins du marché; III) le développement d’un concept technologique de solution; IV) le développement </w:t>
      </w:r>
      <w:r>
        <w:rPr>
          <w:noProof/>
        </w:rPr>
        <w:t>d’un produit minimum viable; et v) la réalisation du stade de commercialisation du produit.</w:t>
      </w:r>
    </w:p>
    <w:p w14:paraId="43EF501D" w14:textId="77777777" w:rsidR="00FA40E8" w:rsidRDefault="00E74AE8">
      <w:pPr>
        <w:pStyle w:val="P68B1DB1-Normal4"/>
        <w:jc w:val="both"/>
        <w:rPr>
          <w:rFonts w:eastAsia="Times New Roman" w:cs="Times New Roman"/>
          <w:noProof/>
          <w:szCs w:val="24"/>
        </w:rPr>
      </w:pPr>
      <w:r>
        <w:rPr>
          <w:noProof/>
        </w:rPr>
        <w:t>La sous-mesure est achevée au plus tard le 30 septembre 2025.</w:t>
      </w:r>
    </w:p>
    <w:p w14:paraId="4EE13DF4" w14:textId="77777777" w:rsidR="00FA40E8" w:rsidRDefault="00E74AE8">
      <w:pPr>
        <w:pStyle w:val="P68B1DB1-Normal6"/>
        <w:keepNext/>
        <w:keepLines/>
        <w:jc w:val="both"/>
        <w:rPr>
          <w:rFonts w:eastAsia="Times New Roman" w:cs="Times New Roman"/>
          <w:noProof/>
        </w:rPr>
      </w:pPr>
      <w:r>
        <w:rPr>
          <w:noProof/>
        </w:rPr>
        <w:t>C.1.4.5. Sous-mesure 5: Centre d’excellence TIC</w:t>
      </w:r>
    </w:p>
    <w:p w14:paraId="0E1822B4" w14:textId="11AAF3D4" w:rsidR="00FA40E8" w:rsidRDefault="00E74AE8">
      <w:pPr>
        <w:pStyle w:val="P68B1DB1-Normal4"/>
        <w:jc w:val="both"/>
        <w:rPr>
          <w:rFonts w:eastAsia="Times New Roman" w:cs="Times New Roman"/>
          <w:noProof/>
        </w:rPr>
      </w:pPr>
      <w:r>
        <w:rPr>
          <w:noProof/>
        </w:rPr>
        <w:t>L’objectif de la sous-mesure est de soutenir la recher</w:t>
      </w:r>
      <w:r>
        <w:rPr>
          <w:noProof/>
        </w:rPr>
        <w:t xml:space="preserve">che et le développement en Lituanie, y compris dans le domaine des technologies de l’information et de la communication. La sous-mesure consiste en la construction d’un centre d’excellence TIC pour la R &amp; D. </w:t>
      </w:r>
    </w:p>
    <w:p w14:paraId="4EF80B83" w14:textId="786057CB" w:rsidR="00FA40E8" w:rsidRDefault="00E74AE8">
      <w:pPr>
        <w:pStyle w:val="P68B1DB1-Normal6"/>
        <w:keepNext/>
        <w:keepLines/>
        <w:jc w:val="both"/>
        <w:rPr>
          <w:rFonts w:eastAsia="Times New Roman" w:cs="Times New Roman"/>
          <w:noProof/>
        </w:rPr>
      </w:pPr>
      <w:r>
        <w:rPr>
          <w:noProof/>
        </w:rPr>
        <w:t>C.1.5. Investissement 2 Étape vers la 5G</w:t>
      </w:r>
    </w:p>
    <w:p w14:paraId="1CDE7C4E" w14:textId="13799FEF" w:rsidR="00FA40E8" w:rsidRDefault="00E74AE8">
      <w:pPr>
        <w:pStyle w:val="P68B1DB1-Normal4"/>
        <w:jc w:val="both"/>
        <w:rPr>
          <w:rFonts w:eastAsia="Times New Roman" w:cs="Times New Roman"/>
          <w:noProof/>
          <w:szCs w:val="24"/>
          <w:u w:val="single"/>
        </w:rPr>
      </w:pPr>
      <w:r>
        <w:rPr>
          <w:noProof/>
        </w:rPr>
        <w:t>L’obje</w:t>
      </w:r>
      <w:r>
        <w:rPr>
          <w:noProof/>
        </w:rPr>
        <w:t>ctif de l’investissement est d’assurer la couverture des réseaux de communications électroniques. L’investissement consiste en une feuille de route pour la 5G, en la poursuite de la construction d’infrastructures de connexion à haut débit et en des mesures</w:t>
      </w:r>
      <w:r>
        <w:rPr>
          <w:noProof/>
        </w:rPr>
        <w:t xml:space="preserve"> visant à soutenir l’innovation dans le domaine de la mobilité.</w:t>
      </w:r>
    </w:p>
    <w:p w14:paraId="1E537C67" w14:textId="77777777" w:rsidR="00FA40E8" w:rsidRDefault="00E74AE8">
      <w:pPr>
        <w:pStyle w:val="P68B1DB1-Normal6"/>
        <w:keepNext/>
        <w:keepLines/>
        <w:jc w:val="both"/>
        <w:rPr>
          <w:rFonts w:eastAsia="Times New Roman" w:cs="Times New Roman"/>
          <w:noProof/>
        </w:rPr>
      </w:pPr>
      <w:r>
        <w:rPr>
          <w:noProof/>
        </w:rPr>
        <w:t>C.1.5.1. Sous-mesure 1: Feuille de route pour la 5G</w:t>
      </w:r>
    </w:p>
    <w:p w14:paraId="42BF62AD" w14:textId="5A1ED675" w:rsidR="00FA40E8" w:rsidRDefault="00E74AE8">
      <w:pPr>
        <w:pStyle w:val="P68B1DB1-Normal4"/>
        <w:jc w:val="both"/>
        <w:rPr>
          <w:noProof/>
        </w:rPr>
      </w:pPr>
      <w:r>
        <w:rPr>
          <w:noProof/>
        </w:rPr>
        <w:t>L’objectif de la sous-mesure est de déployer la 5G disponible dans le commerce en Lituanie.</w:t>
      </w:r>
    </w:p>
    <w:p w14:paraId="194964D2" w14:textId="14DD0654" w:rsidR="00FA40E8" w:rsidRDefault="00E74AE8">
      <w:pPr>
        <w:pStyle w:val="P68B1DB1-Normal4"/>
        <w:jc w:val="both"/>
        <w:rPr>
          <w:noProof/>
        </w:rPr>
      </w:pPr>
      <w:r>
        <w:rPr>
          <w:noProof/>
        </w:rPr>
        <w:t>La sous-mesure consiste en la feuille de route l</w:t>
      </w:r>
      <w:r>
        <w:rPr>
          <w:noProof/>
        </w:rPr>
        <w:t xml:space="preserve">ituanienne pour la 5G, qui comprend des mesures visant à faciliter les conditions réglementaires et d’investissement pour le développement de la 5G. </w:t>
      </w:r>
    </w:p>
    <w:p w14:paraId="2FAD8CBB" w14:textId="40A86BFD" w:rsidR="00FA40E8" w:rsidRDefault="00E74AE8">
      <w:pPr>
        <w:pStyle w:val="P68B1DB1-Normal6"/>
        <w:keepNext/>
        <w:keepLines/>
        <w:jc w:val="both"/>
        <w:rPr>
          <w:rFonts w:eastAsia="Times New Roman" w:cs="Times New Roman"/>
          <w:noProof/>
          <w:szCs w:val="24"/>
        </w:rPr>
      </w:pPr>
      <w:bookmarkStart w:id="5" w:name="_Hlk144736464"/>
      <w:bookmarkStart w:id="6" w:name="_Hlk145498101"/>
      <w:r>
        <w:rPr>
          <w:noProof/>
        </w:rPr>
        <w:t>C.1.5.2. Sous-mesure 2</w:t>
      </w:r>
      <w:bookmarkEnd w:id="5"/>
      <w:r>
        <w:rPr>
          <w:noProof/>
        </w:rPr>
        <w:t>: Poursuite de la construction de réseaux de connexion à haut débit</w:t>
      </w:r>
      <w:bookmarkEnd w:id="6"/>
    </w:p>
    <w:p w14:paraId="4A904CF3" w14:textId="3BF94D5F" w:rsidR="00FA40E8" w:rsidRDefault="00E74AE8">
      <w:pPr>
        <w:pStyle w:val="P68B1DB1-Normal4"/>
        <w:jc w:val="both"/>
        <w:rPr>
          <w:noProof/>
          <w:szCs w:val="24"/>
        </w:rPr>
      </w:pPr>
      <w:r>
        <w:rPr>
          <w:noProof/>
        </w:rPr>
        <w:t>L’objectif de la</w:t>
      </w:r>
      <w:r>
        <w:rPr>
          <w:noProof/>
        </w:rPr>
        <w:t xml:space="preserve"> sous-mesure est de construire des infrastructures de connexion à grande vitesse.</w:t>
      </w:r>
    </w:p>
    <w:p w14:paraId="2FFC9D81" w14:textId="43FD968E" w:rsidR="00FA40E8" w:rsidRDefault="00E74AE8">
      <w:pPr>
        <w:pStyle w:val="P68B1DB1-Normal4"/>
        <w:jc w:val="both"/>
        <w:rPr>
          <w:noProof/>
          <w:szCs w:val="24"/>
        </w:rPr>
      </w:pPr>
      <w:r>
        <w:rPr>
          <w:noProof/>
        </w:rPr>
        <w:t>La sous-mesure consiste à installer des lignes à fibre optique pour connecter les acteurs socio-économiques et les infrastructures mobiles existantes afin de faciliter la con</w:t>
      </w:r>
      <w:r>
        <w:rPr>
          <w:noProof/>
        </w:rPr>
        <w:t>nexion des acteurs socio-économiques. </w:t>
      </w:r>
    </w:p>
    <w:p w14:paraId="09800D83" w14:textId="77777777" w:rsidR="00FA40E8" w:rsidRDefault="00E74AE8">
      <w:pPr>
        <w:pStyle w:val="P68B1DB1-Normal6"/>
        <w:keepNext/>
        <w:keepLines/>
        <w:jc w:val="both"/>
        <w:rPr>
          <w:rFonts w:eastAsia="Times New Roman" w:cs="Times New Roman"/>
          <w:noProof/>
        </w:rPr>
      </w:pPr>
      <w:bookmarkStart w:id="7" w:name="_Hlk144736535"/>
      <w:r>
        <w:rPr>
          <w:noProof/>
        </w:rPr>
        <w:t>C.1.5.3. Sous-mesure 3</w:t>
      </w:r>
      <w:bookmarkEnd w:id="7"/>
      <w:r>
        <w:rPr>
          <w:noProof/>
        </w:rPr>
        <w:t>: Innovation en matière de mobilité</w:t>
      </w:r>
    </w:p>
    <w:p w14:paraId="18427FDE" w14:textId="52FC6BAD" w:rsidR="00FA40E8" w:rsidRDefault="00E74AE8">
      <w:pPr>
        <w:pStyle w:val="P68B1DB1-Normal4"/>
        <w:jc w:val="both"/>
        <w:rPr>
          <w:noProof/>
          <w:szCs w:val="24"/>
        </w:rPr>
      </w:pPr>
      <w:r>
        <w:rPr>
          <w:noProof/>
        </w:rPr>
        <w:t xml:space="preserve">L’objectif de la sous-mesure est de soutenir l’innovation dans le domaine de la mobilité. </w:t>
      </w:r>
    </w:p>
    <w:p w14:paraId="096D9D1C" w14:textId="66D69569" w:rsidR="00FA40E8" w:rsidRDefault="00E74AE8">
      <w:pPr>
        <w:pStyle w:val="P68B1DB1-Normal4"/>
        <w:jc w:val="both"/>
        <w:rPr>
          <w:rFonts w:eastAsia="Times New Roman" w:cs="Times New Roman"/>
          <w:noProof/>
        </w:rPr>
      </w:pPr>
      <w:r>
        <w:rPr>
          <w:noProof/>
        </w:rPr>
        <w:t xml:space="preserve">La sous-mesure consiste en un soutien aux solutions numériques. </w:t>
      </w:r>
    </w:p>
    <w:p w14:paraId="4D310055" w14:textId="77777777" w:rsidR="00FA40E8" w:rsidRDefault="00FA40E8">
      <w:pPr>
        <w:pStyle w:val="Text1"/>
        <w:spacing w:before="0" w:after="240" w:line="276" w:lineRule="auto"/>
        <w:rPr>
          <w:rStyle w:val="normaltextrun"/>
          <w:noProof/>
        </w:rPr>
        <w:sectPr w:rsidR="00FA40E8" w:rsidSect="0074650A">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6BE68974" w14:textId="512ECD89" w:rsidR="00FA40E8" w:rsidRDefault="00E74AE8">
      <w:pPr>
        <w:pStyle w:val="P68B1DB1-Text15"/>
        <w:keepNext/>
        <w:keepLines/>
        <w:spacing w:before="0" w:after="200" w:line="276" w:lineRule="auto"/>
        <w:ind w:left="0"/>
        <w:outlineLvl w:val="1"/>
        <w:rPr>
          <w:noProof/>
        </w:rPr>
      </w:pPr>
      <w:r>
        <w:rPr>
          <w:noProof/>
        </w:rPr>
        <w:t>C.2. Jalons, cibles, indicateurs et calendrier de suivi et de mise en œuvre du soutien financier non remboursable</w:t>
      </w:r>
    </w:p>
    <w:tbl>
      <w:tblPr>
        <w:tblW w:w="5224" w:type="pct"/>
        <w:tblInd w:w="-459" w:type="dxa"/>
        <w:tblLayout w:type="fixed"/>
        <w:tblLook w:val="04A0" w:firstRow="1" w:lastRow="0" w:firstColumn="1" w:lastColumn="0" w:noHBand="0" w:noVBand="1"/>
      </w:tblPr>
      <w:tblGrid>
        <w:gridCol w:w="709"/>
        <w:gridCol w:w="1985"/>
        <w:gridCol w:w="1134"/>
        <w:gridCol w:w="1657"/>
        <w:gridCol w:w="1680"/>
        <w:gridCol w:w="1080"/>
        <w:gridCol w:w="967"/>
        <w:gridCol w:w="709"/>
        <w:gridCol w:w="992"/>
        <w:gridCol w:w="993"/>
        <w:gridCol w:w="3543"/>
      </w:tblGrid>
      <w:tr w:rsidR="00FA40E8" w14:paraId="02642005" w14:textId="77777777">
        <w:trPr>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6341969" w14:textId="7AAA36E6" w:rsidR="00FA40E8" w:rsidRDefault="00E74AE8">
            <w:pPr>
              <w:pStyle w:val="P68B1DB1-Normal9"/>
              <w:spacing w:before="60" w:after="60"/>
              <w:jc w:val="center"/>
              <w:rPr>
                <w:rFonts w:eastAsia="Times New Roman" w:cs="Times New Roman"/>
                <w:noProof/>
              </w:rPr>
            </w:pPr>
            <w:r>
              <w:rPr>
                <w:noProof/>
              </w:rPr>
              <w:t>Non.</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BF84C6" w14:textId="77777777" w:rsidR="00FA40E8" w:rsidRDefault="00E74AE8">
            <w:pPr>
              <w:pStyle w:val="P68B1DB1-Normal9"/>
              <w:spacing w:before="60" w:after="60"/>
              <w:jc w:val="center"/>
              <w:rPr>
                <w:rFonts w:eastAsia="Times New Roman" w:cs="Times New Roman"/>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DED20A7" w14:textId="77777777" w:rsidR="00FA40E8" w:rsidRDefault="00E74AE8">
            <w:pPr>
              <w:pStyle w:val="P68B1DB1-Normal9"/>
              <w:spacing w:before="60" w:after="60"/>
              <w:jc w:val="center"/>
              <w:rPr>
                <w:noProof/>
              </w:rPr>
            </w:pPr>
            <w:r>
              <w:rPr>
                <w:noProof/>
              </w:rPr>
              <w:t>Milestone/</w:t>
            </w:r>
          </w:p>
          <w:p w14:paraId="4A4AE47F" w14:textId="4E78DE18" w:rsidR="00FA40E8" w:rsidRDefault="00E74AE8">
            <w:pPr>
              <w:pStyle w:val="P68B1DB1-Normal9"/>
              <w:spacing w:before="60" w:after="60"/>
              <w:jc w:val="center"/>
              <w:rPr>
                <w:rFonts w:eastAsia="Times New Roman" w:cs="Times New Roman"/>
                <w:noProof/>
              </w:rPr>
            </w:pPr>
            <w:r>
              <w:rPr>
                <w:noProof/>
              </w:rPr>
              <w:t>Objectif</w:t>
            </w:r>
          </w:p>
        </w:tc>
        <w:tc>
          <w:tcPr>
            <w:tcW w:w="165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62CAB1D" w14:textId="77777777" w:rsidR="00FA40E8" w:rsidRDefault="00E74AE8">
            <w:pPr>
              <w:pStyle w:val="P68B1DB1-Normal9"/>
              <w:spacing w:before="60" w:after="60"/>
              <w:jc w:val="center"/>
              <w:rPr>
                <w:rFonts w:eastAsia="Times New Roman" w:cs="Times New Roman"/>
                <w:noProof/>
              </w:rPr>
            </w:pPr>
            <w:r>
              <w:rPr>
                <w:noProof/>
              </w:rPr>
              <w:t>Titre</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AAD3C3E" w14:textId="05C5BC7A" w:rsidR="00FA40E8" w:rsidRDefault="00E74AE8">
            <w:pPr>
              <w:pStyle w:val="P68B1DB1-Normal10"/>
              <w:spacing w:before="60" w:after="60"/>
              <w:jc w:val="center"/>
              <w:rPr>
                <w:rFonts w:ascii="Times New Roman" w:eastAsia="Times New Roman" w:hAnsi="Times New Roman" w:cs="Times New Roman"/>
                <w:b/>
                <w:noProof/>
              </w:rPr>
            </w:pPr>
            <w:r>
              <w:rPr>
                <w:rFonts w:ascii="Times New Roman" w:hAnsi="Times New Roman"/>
                <w:b/>
                <w:noProof/>
              </w:rPr>
              <w:t xml:space="preserve">Indicateurs </w:t>
            </w:r>
            <w:r>
              <w:rPr>
                <w:rFonts w:ascii="Times New Roman" w:hAnsi="Times New Roman"/>
                <w:b/>
                <w:noProof/>
              </w:rPr>
              <w:t>qualitatifs</w:t>
            </w:r>
            <w:r>
              <w:rPr>
                <w:noProof/>
              </w:rPr>
              <w:t xml:space="preserve"> </w:t>
            </w:r>
            <w:r>
              <w:rPr>
                <w:noProof/>
              </w:rPr>
              <w:br/>
            </w:r>
            <w:r>
              <w:rPr>
                <w:rFonts w:ascii="Times New Roman" w:hAnsi="Times New Roman"/>
                <w:b/>
                <w:noProof/>
              </w:rPr>
              <w:t>(pour les étapes)</w:t>
            </w:r>
          </w:p>
        </w:tc>
        <w:tc>
          <w:tcPr>
            <w:tcW w:w="275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2ED0605" w14:textId="77777777" w:rsidR="00FA40E8" w:rsidRDefault="00E74AE8">
            <w:pPr>
              <w:pStyle w:val="P68B1DB1-Normal10"/>
              <w:spacing w:before="60" w:after="60"/>
              <w:jc w:val="center"/>
              <w:rPr>
                <w:rFonts w:ascii="Times New Roman" w:eastAsia="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A0CAC15" w14:textId="0164650C" w:rsidR="00FA40E8" w:rsidRDefault="00E74AE8">
            <w:pPr>
              <w:pStyle w:val="P68B1DB1-Normal9"/>
              <w:spacing w:before="60" w:after="60"/>
              <w:jc w:val="center"/>
              <w:rPr>
                <w:rFonts w:eastAsia="Times New Roman" w:cs="Times New Roman"/>
                <w:noProof/>
              </w:rPr>
            </w:pPr>
            <w:r>
              <w:rPr>
                <w:noProof/>
              </w:rPr>
              <w:t>Calendrier indicatif d’achèvement</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332794C" w14:textId="77777777" w:rsidR="00FA40E8" w:rsidRDefault="00E74AE8">
            <w:pPr>
              <w:pStyle w:val="P68B1DB1-Normal9"/>
              <w:spacing w:before="60" w:after="60"/>
              <w:jc w:val="center"/>
              <w:rPr>
                <w:rFonts w:eastAsia="Times New Roman" w:cs="Times New Roman"/>
                <w:noProof/>
              </w:rPr>
            </w:pPr>
            <w:r>
              <w:rPr>
                <w:noProof/>
              </w:rPr>
              <w:t>Description et définition claire de chaque jalon et cible</w:t>
            </w:r>
          </w:p>
        </w:tc>
      </w:tr>
      <w:tr w:rsidR="00FA40E8" w14:paraId="01D3CA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709" w:type="dxa"/>
            <w:vMerge/>
            <w:tcBorders>
              <w:top w:val="single" w:sz="4" w:space="0" w:color="auto"/>
              <w:left w:val="single" w:sz="4" w:space="0" w:color="auto"/>
              <w:bottom w:val="single" w:sz="4" w:space="0" w:color="auto"/>
              <w:right w:val="single" w:sz="4" w:space="0" w:color="auto"/>
            </w:tcBorders>
          </w:tcPr>
          <w:p w14:paraId="562D1743" w14:textId="77777777" w:rsidR="00FA40E8" w:rsidRDefault="00FA40E8">
            <w:pPr>
              <w:spacing w:before="60" w:after="60"/>
              <w:jc w:val="center"/>
              <w:rPr>
                <w:rFonts w:ascii="Times New Roman" w:hAnsi="Times New Roman" w:cs="Times New Roman"/>
                <w:noProof/>
                <w:sz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AE24F12" w14:textId="77777777" w:rsidR="00FA40E8" w:rsidRDefault="00FA40E8">
            <w:pPr>
              <w:spacing w:before="60" w:after="60"/>
              <w:rPr>
                <w:rFonts w:ascii="Times New Roman" w:hAnsi="Times New Roman" w:cs="Times New Roman"/>
                <w:noProof/>
                <w:sz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70014F7" w14:textId="77777777" w:rsidR="00FA40E8" w:rsidRDefault="00FA40E8">
            <w:pPr>
              <w:spacing w:before="60" w:after="60"/>
              <w:jc w:val="center"/>
              <w:rPr>
                <w:rFonts w:ascii="Times New Roman" w:hAnsi="Times New Roman" w:cs="Times New Roman"/>
                <w:noProof/>
                <w:sz w:val="20"/>
              </w:rPr>
            </w:pPr>
          </w:p>
        </w:tc>
        <w:tc>
          <w:tcPr>
            <w:tcW w:w="1657" w:type="dxa"/>
            <w:vMerge/>
            <w:tcBorders>
              <w:top w:val="single" w:sz="4" w:space="0" w:color="auto"/>
              <w:left w:val="single" w:sz="4" w:space="0" w:color="auto"/>
              <w:bottom w:val="single" w:sz="4" w:space="0" w:color="auto"/>
              <w:right w:val="single" w:sz="4" w:space="0" w:color="auto"/>
            </w:tcBorders>
            <w:vAlign w:val="center"/>
          </w:tcPr>
          <w:p w14:paraId="5931471B" w14:textId="77777777" w:rsidR="00FA40E8" w:rsidRDefault="00FA40E8">
            <w:pPr>
              <w:spacing w:before="60" w:after="60"/>
              <w:rPr>
                <w:rFonts w:ascii="Times New Roman" w:hAnsi="Times New Roman" w:cs="Times New Roman"/>
                <w:noProof/>
                <w:sz w:val="20"/>
              </w:rPr>
            </w:pPr>
          </w:p>
        </w:tc>
        <w:tc>
          <w:tcPr>
            <w:tcW w:w="1680" w:type="dxa"/>
            <w:vMerge/>
            <w:tcBorders>
              <w:top w:val="single" w:sz="4" w:space="0" w:color="auto"/>
              <w:left w:val="single" w:sz="4" w:space="0" w:color="auto"/>
              <w:bottom w:val="single" w:sz="4" w:space="0" w:color="auto"/>
              <w:right w:val="single" w:sz="4" w:space="0" w:color="auto"/>
            </w:tcBorders>
            <w:vAlign w:val="center"/>
          </w:tcPr>
          <w:p w14:paraId="5281CEEB" w14:textId="77777777" w:rsidR="00FA40E8" w:rsidRDefault="00FA40E8">
            <w:pPr>
              <w:spacing w:before="60" w:after="60"/>
              <w:rPr>
                <w:rFonts w:ascii="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8EBEDBA" w14:textId="77777777" w:rsidR="00FA40E8" w:rsidRDefault="00E74AE8">
            <w:pPr>
              <w:pStyle w:val="P68B1DB1-Normal9"/>
              <w:spacing w:before="60" w:after="60"/>
              <w:jc w:val="center"/>
              <w:rPr>
                <w:rFonts w:eastAsia="Times New Roman" w:cs="Times New Roman"/>
                <w:noProof/>
              </w:rPr>
            </w:pPr>
            <w:r>
              <w:rPr>
                <w:noProof/>
              </w:rPr>
              <w:t>Unité</w:t>
            </w:r>
          </w:p>
        </w:tc>
        <w:tc>
          <w:tcPr>
            <w:tcW w:w="96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E0BE909" w14:textId="77777777" w:rsidR="00FA40E8" w:rsidRDefault="00E74AE8">
            <w:pPr>
              <w:pStyle w:val="P68B1DB1-Normal9"/>
              <w:spacing w:before="60" w:after="60"/>
              <w:jc w:val="center"/>
              <w:rPr>
                <w:rFonts w:eastAsia="Times New Roman" w:cs="Times New Roman"/>
                <w:noProof/>
              </w:rPr>
            </w:pPr>
            <w:r>
              <w:rPr>
                <w:noProof/>
              </w:rPr>
              <w:t>Niveau de référence</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F7F0C2" w14:textId="77777777" w:rsidR="00FA40E8" w:rsidRDefault="00E74AE8">
            <w:pPr>
              <w:pStyle w:val="P68B1DB1-Normal9"/>
              <w:spacing w:before="60" w:after="60"/>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DC314C" w14:textId="77777777" w:rsidR="00FA40E8" w:rsidRDefault="00E74AE8">
            <w:pPr>
              <w:pStyle w:val="P68B1DB1-Normal9"/>
              <w:spacing w:before="60" w:after="60"/>
              <w:jc w:val="center"/>
              <w:rPr>
                <w:rFonts w:eastAsia="Times New Roman" w:cs="Times New Roman"/>
                <w:noProof/>
              </w:rPr>
            </w:pPr>
            <w:r>
              <w:rPr>
                <w:noProof/>
              </w:rPr>
              <w:t>Trimestre</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55BFCE2" w14:textId="77777777" w:rsidR="00FA40E8" w:rsidRDefault="00E74AE8">
            <w:pPr>
              <w:pStyle w:val="P68B1DB1-Normal9"/>
              <w:spacing w:before="60" w:after="60"/>
              <w:jc w:val="center"/>
              <w:rPr>
                <w:rFonts w:eastAsia="Times New Roman" w:cs="Times New Roman"/>
                <w:noProof/>
              </w:rPr>
            </w:pPr>
            <w:r>
              <w:rPr>
                <w:noProof/>
              </w:rPr>
              <w:t>Année</w:t>
            </w:r>
          </w:p>
        </w:tc>
        <w:tc>
          <w:tcPr>
            <w:tcW w:w="3543" w:type="dxa"/>
            <w:vMerge/>
            <w:tcBorders>
              <w:top w:val="single" w:sz="4" w:space="0" w:color="auto"/>
              <w:left w:val="single" w:sz="4" w:space="0" w:color="auto"/>
              <w:bottom w:val="single" w:sz="4" w:space="0" w:color="auto"/>
              <w:right w:val="single" w:sz="4" w:space="0" w:color="auto"/>
            </w:tcBorders>
            <w:vAlign w:val="center"/>
          </w:tcPr>
          <w:p w14:paraId="650166DB" w14:textId="77777777" w:rsidR="00FA40E8" w:rsidRDefault="00FA40E8">
            <w:pPr>
              <w:spacing w:before="60" w:after="60"/>
              <w:rPr>
                <w:rFonts w:ascii="Times New Roman" w:hAnsi="Times New Roman" w:cs="Times New Roman"/>
                <w:noProof/>
                <w:sz w:val="20"/>
              </w:rPr>
            </w:pPr>
          </w:p>
        </w:tc>
      </w:tr>
      <w:tr w:rsidR="00FA40E8" w14:paraId="1B2248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FA7304" w14:textId="77777777" w:rsidR="00FA40E8" w:rsidRDefault="00E74AE8">
            <w:pPr>
              <w:pStyle w:val="P68B1DB1-Normal12"/>
              <w:spacing w:before="60" w:after="60"/>
              <w:jc w:val="center"/>
              <w:rPr>
                <w:rFonts w:eastAsia="Times New Roman" w:cs="Times New Roman"/>
                <w:noProof/>
              </w:rPr>
            </w:pPr>
            <w:r>
              <w:rPr>
                <w:noProof/>
              </w:rPr>
              <w:t>59</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1B3FB1" w14:textId="77777777" w:rsidR="00FA40E8" w:rsidRDefault="00E74AE8">
            <w:pPr>
              <w:pStyle w:val="P68B1DB1-Normal12"/>
              <w:spacing w:before="60" w:after="60"/>
              <w:rPr>
                <w:rFonts w:eastAsia="Times New Roman" w:cs="Times New Roman"/>
                <w:noProof/>
              </w:rPr>
            </w:pPr>
            <w:r>
              <w:rPr>
                <w:noProof/>
              </w:rPr>
              <w:t xml:space="preserve">C.1.1 Transformation de </w:t>
            </w:r>
            <w:r>
              <w:rPr>
                <w:noProof/>
              </w:rPr>
              <w:t>la gouvernance publique des technologies de l’information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672E9C" w14:textId="77777777"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73F131" w14:textId="72858BB7" w:rsidR="00FA40E8" w:rsidRDefault="00E74AE8">
            <w:pPr>
              <w:pStyle w:val="P68B1DB1-Normal12"/>
              <w:spacing w:before="60" w:after="60"/>
              <w:rPr>
                <w:rFonts w:eastAsia="Times New Roman" w:cs="Times New Roman"/>
                <w:noProof/>
              </w:rPr>
            </w:pPr>
            <w:r>
              <w:rPr>
                <w:noProof/>
              </w:rPr>
              <w:t>Systèmes gérés par les institutions et organes de l’État migrés vers une infrastructure en nuage hybride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F88218" w14:textId="2661956C" w:rsidR="00FA40E8" w:rsidRDefault="00E74AE8">
            <w:pPr>
              <w:pStyle w:val="P68B1DB1-Normal12"/>
              <w:spacing w:before="60" w:after="60"/>
              <w:rPr>
                <w:noProof/>
              </w:rPr>
            </w:pPr>
            <w:r>
              <w:rPr>
                <w:noProof/>
              </w:rPr>
              <w:t>Réorganisation de l’infrastructure des technologies de l’information et de la communica</w:t>
            </w:r>
            <w:r>
              <w:rPr>
                <w:noProof/>
              </w:rPr>
              <w:t xml:space="preserve">tion </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A3D3C0" w14:textId="533F0870"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FF2385" w14:textId="188C239D"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029D0C" w14:textId="33A33DF1"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4FDF9B" w14:textId="77777777" w:rsidR="00FA40E8" w:rsidRDefault="00E74AE8">
            <w:pPr>
              <w:pStyle w:val="P68B1DB1-Normal12"/>
              <w:spacing w:before="60" w:after="60"/>
              <w:jc w:val="center"/>
              <w:rPr>
                <w:rFonts w:eastAsia="Times New Roman" w:cs="Times New Roman"/>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41F5BC" w14:textId="77777777" w:rsidR="00FA40E8" w:rsidRDefault="00E74AE8">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87148D" w14:textId="176AD85E" w:rsidR="00FA40E8" w:rsidRDefault="00E74AE8">
            <w:pPr>
              <w:pStyle w:val="P68B1DB1-Normal12"/>
              <w:spacing w:before="60" w:after="60"/>
              <w:jc w:val="both"/>
              <w:rPr>
                <w:rFonts w:eastAsia="Times New Roman" w:cs="Times New Roman"/>
                <w:noProof/>
              </w:rPr>
            </w:pPr>
            <w:r>
              <w:rPr>
                <w:noProof/>
              </w:rPr>
              <w:t xml:space="preserve">Les systèmes gérés par les institutions et organes de l’État figurant </w:t>
            </w:r>
            <w:r>
              <w:rPr>
                <w:noProof/>
              </w:rPr>
              <w:t xml:space="preserve">sur la liste des institutions et organes de l’État recevant des services informatiques centralisés, approuvée par la résolution gouvernementale no 709, ont migré vers une infrastructure en nuage hybride. </w:t>
            </w:r>
          </w:p>
          <w:p w14:paraId="1E5AA1F4" w14:textId="77777777" w:rsidR="00FA40E8" w:rsidRDefault="00E74AE8">
            <w:pPr>
              <w:pStyle w:val="P68B1DB1-Normal12"/>
              <w:spacing w:before="60" w:after="60"/>
              <w:jc w:val="both"/>
              <w:rPr>
                <w:noProof/>
              </w:rPr>
            </w:pPr>
            <w:r>
              <w:rPr>
                <w:noProof/>
              </w:rPr>
              <w:t xml:space="preserve">Exceptions: </w:t>
            </w:r>
          </w:p>
          <w:p w14:paraId="71DD1B14" w14:textId="7DE6DE7F" w:rsidR="00FA40E8" w:rsidRDefault="00E74AE8">
            <w:pPr>
              <w:pStyle w:val="P68B1DB1-Normal12"/>
              <w:spacing w:before="60" w:after="60"/>
              <w:jc w:val="both"/>
              <w:rPr>
                <w:rFonts w:eastAsia="Times New Roman" w:cs="Times New Roman"/>
                <w:noProof/>
              </w:rPr>
            </w:pPr>
            <w:r>
              <w:rPr>
                <w:noProof/>
              </w:rPr>
              <w:t>— Les systèmes appartenant à des insti</w:t>
            </w:r>
            <w:r>
              <w:rPr>
                <w:noProof/>
              </w:rPr>
              <w:t>tutions et organes de l’État qui sont gérés par le centre des registres des entreprises de l’État, alimentés par le budget du centre des registres des entreprises de l’État et exploités dans son infrastructure TIC, et qui sont stockés dans des centres de d</w:t>
            </w:r>
            <w:r>
              <w:rPr>
                <w:noProof/>
              </w:rPr>
              <w:t>onnées conformes, peuvent être exclus de la migration/mise à niveau susmentionnée.</w:t>
            </w:r>
          </w:p>
          <w:p w14:paraId="70EBA4E8" w14:textId="23D51FD7" w:rsidR="00FA40E8" w:rsidRDefault="00E74AE8">
            <w:pPr>
              <w:pStyle w:val="P68B1DB1-Normal12"/>
              <w:spacing w:before="60" w:after="60"/>
              <w:jc w:val="both"/>
              <w:rPr>
                <w:noProof/>
              </w:rPr>
            </w:pPr>
            <w:r>
              <w:rPr>
                <w:noProof/>
              </w:rPr>
              <w:t>— Les institutions et organes de l’État figurant sur la liste des institutions et organes de l’État recevant des services centralisés de technologies de l’information pour l</w:t>
            </w:r>
            <w:r>
              <w:rPr>
                <w:noProof/>
              </w:rPr>
              <w:t>esquels la résolution no 907 établit une exception peuvent être exclus de la migration/mise à niveau susmentionnée.</w:t>
            </w:r>
          </w:p>
        </w:tc>
      </w:tr>
      <w:tr w:rsidR="00FA40E8" w14:paraId="7B6812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08389A" w14:textId="0A0C1581" w:rsidR="00FA40E8" w:rsidRDefault="00E74AE8">
            <w:pPr>
              <w:pStyle w:val="P68B1DB1-Normal12"/>
              <w:spacing w:before="60" w:after="60"/>
              <w:jc w:val="center"/>
              <w:rPr>
                <w:rFonts w:eastAsia="Times New Roman" w:cs="Times New Roman"/>
                <w:noProof/>
              </w:rPr>
            </w:pPr>
            <w:r>
              <w:rPr>
                <w:noProof/>
              </w:rPr>
              <w:t>60a</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702CE8" w14:textId="78FB3BC7" w:rsidR="00FA40E8" w:rsidRDefault="00E74AE8">
            <w:pPr>
              <w:pStyle w:val="P68B1DB1-Normal12"/>
              <w:spacing w:before="60" w:after="60"/>
              <w:rPr>
                <w:rFonts w:eastAsia="Times New Roman" w:cs="Times New Roman"/>
                <w:noProof/>
              </w:rPr>
            </w:pPr>
            <w:r>
              <w:rPr>
                <w:noProof/>
              </w:rPr>
              <w:t>C.1.1a Développement de la cybersécurité de l’État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77ACA1" w14:textId="1BCE319C"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266924" w14:textId="667CE9F0" w:rsidR="00FA40E8" w:rsidRDefault="00E74AE8">
            <w:pPr>
              <w:pStyle w:val="P68B1DB1-Normal12"/>
              <w:spacing w:before="60" w:after="60"/>
              <w:rPr>
                <w:rFonts w:eastAsia="Times New Roman" w:cs="Times New Roman"/>
                <w:noProof/>
              </w:rPr>
            </w:pPr>
            <w:r>
              <w:rPr>
                <w:noProof/>
              </w:rPr>
              <w:t>Adoption du programme de développement de la cybersécurité.</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C5CF4" w14:textId="174184DB" w:rsidR="00FA40E8" w:rsidRDefault="00E74AE8">
            <w:pPr>
              <w:pStyle w:val="P68B1DB1-Normal12"/>
              <w:spacing w:before="60" w:after="60"/>
              <w:rPr>
                <w:rFonts w:eastAsia="Times New Roman" w:cs="Times New Roman"/>
                <w:noProof/>
              </w:rPr>
            </w:pPr>
            <w:r>
              <w:rPr>
                <w:noProof/>
              </w:rPr>
              <w:t xml:space="preserve">Adoption du </w:t>
            </w:r>
            <w:r>
              <w:rPr>
                <w:noProof/>
              </w:rPr>
              <w:t>programme de développement de la cybersécurité</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A6AC12" w14:textId="77777777"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4078F" w14:textId="77777777"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42A455" w14:textId="77777777"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A7313E" w14:textId="2923F755" w:rsidR="00FA40E8" w:rsidRDefault="00E74AE8">
            <w:pPr>
              <w:pStyle w:val="P68B1DB1-Normal12"/>
              <w:spacing w:before="60" w:after="60"/>
              <w:jc w:val="center"/>
              <w:rPr>
                <w:rFonts w:eastAsia="Times New Roman" w:cs="Times New Roman"/>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18BB44" w14:textId="59B903A1" w:rsidR="00FA40E8" w:rsidRDefault="00E74AE8">
            <w:pPr>
              <w:pStyle w:val="P68B1DB1-Normal12"/>
              <w:spacing w:before="60" w:after="60"/>
              <w:jc w:val="center"/>
              <w:rPr>
                <w:rFonts w:eastAsia="Times New Roman" w:cs="Times New Roman"/>
                <w:noProof/>
              </w:rPr>
            </w:pPr>
            <w:r>
              <w:rPr>
                <w:noProof/>
              </w:rPr>
              <w:t>2023</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D4EBD4" w14:textId="48B389AE" w:rsidR="00FA40E8" w:rsidRDefault="00E74AE8">
            <w:pPr>
              <w:pStyle w:val="P68B1DB1-Normal12"/>
              <w:spacing w:before="60" w:after="60"/>
              <w:jc w:val="both"/>
              <w:rPr>
                <w:rFonts w:eastAsia="Times New Roman" w:cs="Times New Roman"/>
                <w:noProof/>
              </w:rPr>
            </w:pPr>
            <w:r>
              <w:rPr>
                <w:noProof/>
              </w:rPr>
              <w:t>Le programme national de développement de la cybersécurité est adopté par le gouvernement de la République de Lituanie.</w:t>
            </w:r>
          </w:p>
        </w:tc>
      </w:tr>
      <w:tr w:rsidR="00FA40E8" w14:paraId="7D2743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55F284" w14:textId="33781306" w:rsidR="00FA40E8" w:rsidRDefault="00E74AE8">
            <w:pPr>
              <w:pStyle w:val="P68B1DB1-Normal12"/>
              <w:spacing w:before="60" w:after="60"/>
              <w:jc w:val="center"/>
              <w:rPr>
                <w:rFonts w:eastAsia="Times New Roman" w:cs="Times New Roman"/>
                <w:noProof/>
              </w:rPr>
            </w:pPr>
            <w:r>
              <w:rPr>
                <w:noProof/>
              </w:rPr>
              <w:t>60b</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4583A1" w14:textId="593132E2" w:rsidR="00FA40E8" w:rsidRDefault="00E74AE8">
            <w:pPr>
              <w:pStyle w:val="P68B1DB1-Normal12"/>
              <w:spacing w:before="60" w:after="60"/>
              <w:rPr>
                <w:rFonts w:eastAsia="Times New Roman" w:cs="Times New Roman"/>
                <w:noProof/>
              </w:rPr>
            </w:pPr>
            <w:r>
              <w:rPr>
                <w:noProof/>
              </w:rPr>
              <w:t>C.1.1a Développement de la cybersécurité de l’État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D76A83" w14:textId="7499481E"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1E182E" w14:textId="4F79F007" w:rsidR="00FA40E8" w:rsidRDefault="00E74AE8">
            <w:pPr>
              <w:pStyle w:val="P68B1DB1-Normal12"/>
              <w:spacing w:before="60" w:after="60"/>
              <w:rPr>
                <w:rFonts w:eastAsia="Times New Roman" w:cs="Times New Roman"/>
                <w:noProof/>
              </w:rPr>
            </w:pPr>
            <w:r>
              <w:rPr>
                <w:noProof/>
              </w:rPr>
              <w:t xml:space="preserve">Mise en place </w:t>
            </w:r>
            <w:r>
              <w:rPr>
                <w:noProof/>
              </w:rPr>
              <w:t>d’un système national de suivi de la cybersécurité.</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26877" w14:textId="13FA13EA" w:rsidR="00FA40E8" w:rsidRDefault="00E74AE8">
            <w:pPr>
              <w:pStyle w:val="P68B1DB1-Normal12"/>
              <w:spacing w:before="60" w:after="60"/>
              <w:rPr>
                <w:rFonts w:eastAsia="Times New Roman" w:cs="Times New Roman"/>
                <w:noProof/>
              </w:rPr>
            </w:pPr>
            <w:r>
              <w:rPr>
                <w:noProof/>
              </w:rPr>
              <w:t>Mise en place d’un système national de suivi de la cybersécurité</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BE6934" w14:textId="77777777"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D6F724" w14:textId="77777777"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D3CE4F" w14:textId="77777777"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9E8950" w14:textId="40EBBDEE"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068905" w14:textId="2EE21C38" w:rsidR="00FA40E8" w:rsidRDefault="00E74AE8">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C35F2E" w14:textId="0DC0D36E" w:rsidR="00FA40E8" w:rsidRDefault="00E74AE8">
            <w:pPr>
              <w:pStyle w:val="P68B1DB1-Normal12"/>
              <w:spacing w:before="60" w:after="60"/>
              <w:ind w:left="57" w:right="57"/>
              <w:jc w:val="both"/>
              <w:textAlignment w:val="baseline"/>
              <w:rPr>
                <w:rFonts w:eastAsia="Times New Roman" w:cs="Times New Roman"/>
                <w:noProof/>
              </w:rPr>
            </w:pPr>
            <w:r>
              <w:rPr>
                <w:noProof/>
              </w:rPr>
              <w:t>Un système de suivi de la cybersécurité est mis en place. Il s’agit notamment: 1) livraison de matériel et de logiciels; 2) la m</w:t>
            </w:r>
            <w:r>
              <w:rPr>
                <w:noProof/>
              </w:rPr>
              <w:t>ise en place d’un échange d’informations entre les utilisateurs (sujets liés à la cybersécurité) et le Centre national de cybersécurité; et 3) la mise en place de centres de gestion de la sécurité.</w:t>
            </w:r>
          </w:p>
        </w:tc>
      </w:tr>
      <w:tr w:rsidR="00FA40E8" w14:paraId="376FA1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432A17" w14:textId="0E15AF5D" w:rsidR="00FA40E8" w:rsidRDefault="00E74AE8">
            <w:pPr>
              <w:pStyle w:val="P68B1DB1-Normal12"/>
              <w:spacing w:before="60" w:after="60"/>
              <w:jc w:val="center"/>
              <w:rPr>
                <w:rFonts w:eastAsia="Times New Roman" w:cs="Times New Roman"/>
                <w:noProof/>
              </w:rPr>
            </w:pPr>
            <w:r>
              <w:rPr>
                <w:noProof/>
              </w:rPr>
              <w:t>60c</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B2674F" w14:textId="397BE4D3" w:rsidR="00FA40E8" w:rsidRDefault="00E74AE8">
            <w:pPr>
              <w:pStyle w:val="P68B1DB1-Normal12"/>
              <w:spacing w:before="60" w:after="60"/>
              <w:rPr>
                <w:rFonts w:eastAsia="Times New Roman" w:cs="Times New Roman"/>
                <w:noProof/>
              </w:rPr>
            </w:pPr>
            <w:r>
              <w:rPr>
                <w:noProof/>
              </w:rPr>
              <w:t>C.1.1a Développement de la cybersécurité de l’État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3208F4" w14:textId="5FFC9A4C"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8E6EE0" w14:textId="61063F87" w:rsidR="00FA40E8" w:rsidRDefault="00E74AE8">
            <w:pPr>
              <w:pStyle w:val="P68B1DB1-Normal12"/>
              <w:spacing w:before="60" w:after="60"/>
              <w:rPr>
                <w:rFonts w:eastAsia="Times New Roman" w:cs="Times New Roman"/>
                <w:noProof/>
              </w:rPr>
            </w:pPr>
            <w:r>
              <w:rPr>
                <w:noProof/>
              </w:rPr>
              <w:t xml:space="preserve">Enquête sur la cybercriminalité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407958" w14:textId="2CAC12B8" w:rsidR="00FA40E8" w:rsidRDefault="00E74AE8">
            <w:pPr>
              <w:pStyle w:val="P68B1DB1-Normal12"/>
              <w:spacing w:before="60" w:after="60"/>
              <w:rPr>
                <w:rFonts w:eastAsia="Times New Roman" w:cs="Times New Roman"/>
                <w:noProof/>
              </w:rPr>
            </w:pPr>
            <w:r>
              <w:rPr>
                <w:noProof/>
              </w:rPr>
              <w:t xml:space="preserve">Matériel et logiciels fournis pour les enquêtes sur la cybercriminalité </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7BE302" w14:textId="77777777"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C0ACD9" w14:textId="77777777"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B3FAF7" w14:textId="77777777"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AFB26A" w14:textId="74737791"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C80CB" w14:textId="0CBEF01D" w:rsidR="00FA40E8" w:rsidRDefault="00E74AE8">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C5E85B" w14:textId="3C0705D5" w:rsidR="00FA40E8" w:rsidRDefault="00E74AE8">
            <w:pPr>
              <w:pStyle w:val="P68B1DB1-paragraph23"/>
              <w:spacing w:before="60" w:beforeAutospacing="0" w:after="60" w:afterAutospacing="0" w:line="276" w:lineRule="auto"/>
              <w:ind w:left="57" w:right="57"/>
              <w:jc w:val="both"/>
              <w:textAlignment w:val="baseline"/>
              <w:rPr>
                <w:noProof/>
              </w:rPr>
            </w:pPr>
            <w:r>
              <w:rPr>
                <w:noProof/>
              </w:rPr>
              <w:t xml:space="preserve">Le matériel et les logiciels sont fournis pour les enquêtes sur la cybercriminalité. </w:t>
            </w:r>
          </w:p>
        </w:tc>
      </w:tr>
      <w:tr w:rsidR="00FA40E8" w14:paraId="7589D0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A4F71" w14:textId="19EA00F5" w:rsidR="00FA40E8" w:rsidRDefault="00E74AE8">
            <w:pPr>
              <w:pStyle w:val="P68B1DB1-Normal12"/>
              <w:spacing w:before="60" w:after="60"/>
              <w:jc w:val="center"/>
              <w:rPr>
                <w:rFonts w:eastAsia="Times New Roman" w:cs="Times New Roman"/>
                <w:noProof/>
              </w:rPr>
            </w:pPr>
            <w:r>
              <w:rPr>
                <w:noProof/>
              </w:rPr>
              <w:t>61</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9689AE" w14:textId="7477910C" w:rsidR="00FA40E8" w:rsidRDefault="00E74AE8">
            <w:pPr>
              <w:pStyle w:val="P68B1DB1-Normal12"/>
              <w:spacing w:before="60" w:after="60"/>
              <w:rPr>
                <w:rFonts w:eastAsia="Times New Roman" w:cs="Times New Roman"/>
                <w:noProof/>
              </w:rPr>
            </w:pPr>
            <w:r>
              <w:rPr>
                <w:noProof/>
              </w:rPr>
              <w:t xml:space="preserve">C.1.1aDéveloppement de la cybersécurité de </w:t>
            </w:r>
            <w:r>
              <w:rPr>
                <w:noProof/>
              </w:rPr>
              <w:t>l’État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2C93B5" w14:textId="1EA4792A"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2B42C5" w14:textId="485ECFF8" w:rsidR="00FA40E8" w:rsidRDefault="00E74AE8">
            <w:pPr>
              <w:pStyle w:val="P68B1DB1-Normal12"/>
              <w:spacing w:before="60" w:after="60"/>
              <w:rPr>
                <w:rFonts w:cs="Times New Roman"/>
                <w:noProof/>
              </w:rPr>
            </w:pPr>
            <w:r>
              <w:rPr>
                <w:noProof/>
              </w:rPr>
              <w:t>Achèvement de la formation à la cybersécurité</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AD6C5D" w14:textId="77777777"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22FBBC" w14:textId="58681DA1"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202DDD" w14:textId="6C501B75" w:rsidR="00FA40E8" w:rsidRDefault="00E74AE8">
            <w:pPr>
              <w:pStyle w:val="P68B1DB1-Normal12"/>
              <w:spacing w:before="60" w:after="60"/>
              <w:jc w:val="center"/>
              <w:rPr>
                <w:rFonts w:eastAsia="Times New Roman"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8C7DEE" w14:textId="1F9A5346" w:rsidR="00FA40E8" w:rsidRDefault="00E74AE8">
            <w:pPr>
              <w:pStyle w:val="P68B1DB1-Normal12"/>
              <w:spacing w:before="60" w:after="60"/>
              <w:jc w:val="center"/>
              <w:rPr>
                <w:rFonts w:eastAsia="Times New Roman" w:cs="Times New Roman"/>
                <w:noProof/>
              </w:rPr>
            </w:pPr>
            <w:r>
              <w:rPr>
                <w:noProof/>
              </w:rPr>
              <w:t>300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C7FD08" w14:textId="1248EA23"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43197C" w14:textId="3329EE2C" w:rsidR="00FA40E8" w:rsidRDefault="00E74AE8">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35945E" w14:textId="542F6E81" w:rsidR="00FA40E8" w:rsidRDefault="00E74AE8">
            <w:pPr>
              <w:pStyle w:val="P68B1DB1-paragraph23"/>
              <w:spacing w:before="60" w:beforeAutospacing="0" w:after="60" w:afterAutospacing="0" w:line="276" w:lineRule="auto"/>
              <w:ind w:left="57" w:right="57"/>
              <w:jc w:val="both"/>
              <w:rPr>
                <w:noProof/>
              </w:rPr>
            </w:pPr>
            <w:r>
              <w:rPr>
                <w:noProof/>
              </w:rPr>
              <w:t>300 personnes ont été formées à la cybersécurité.</w:t>
            </w:r>
          </w:p>
        </w:tc>
      </w:tr>
      <w:tr w:rsidR="00FA40E8" w14:paraId="655A3E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E12519" w14:textId="77777777" w:rsidR="00FA40E8" w:rsidRDefault="00E74AE8">
            <w:pPr>
              <w:pStyle w:val="P68B1DB1-Normal12"/>
              <w:spacing w:before="60" w:after="60"/>
              <w:jc w:val="center"/>
              <w:rPr>
                <w:rFonts w:eastAsia="Times New Roman" w:cs="Times New Roman"/>
                <w:noProof/>
              </w:rPr>
            </w:pPr>
            <w:r>
              <w:rPr>
                <w:noProof/>
              </w:rPr>
              <w:t>62</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924E5" w14:textId="77777777" w:rsidR="00FA40E8" w:rsidRDefault="00E74AE8">
            <w:pPr>
              <w:pStyle w:val="P68B1DB1-Normal12"/>
              <w:spacing w:before="60" w:after="60"/>
              <w:rPr>
                <w:rFonts w:eastAsia="Times New Roman" w:cs="Times New Roman"/>
                <w:noProof/>
              </w:rPr>
            </w:pPr>
            <w:r>
              <w:rPr>
                <w:noProof/>
              </w:rPr>
              <w:t>C.1.1 Transformation de la gouvernance publique des technologies de l’information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E95177"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E707D7" w14:textId="306E694A" w:rsidR="00FA40E8" w:rsidRDefault="00E74AE8">
            <w:pPr>
              <w:pStyle w:val="P68B1DB1-Normal12"/>
              <w:spacing w:before="60" w:after="60"/>
              <w:rPr>
                <w:noProof/>
              </w:rPr>
            </w:pPr>
            <w:r>
              <w:rPr>
                <w:noProof/>
              </w:rPr>
              <w:t xml:space="preserve">L’Agence nationale des </w:t>
            </w:r>
            <w:r>
              <w:rPr>
                <w:noProof/>
              </w:rPr>
              <w:t>solutions numériques fournit des services informatiques aux institutions et organes de l’État figurant sur la liste des institutions et organes de l’État qui reçoivent des services centralisés dans le domaine des technologies de l’information.</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249321" w14:textId="1D117690"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D3288" w14:textId="60E7BF7D" w:rsidR="00FA40E8" w:rsidRDefault="00E74AE8">
            <w:pPr>
              <w:pStyle w:val="P68B1DB1-Normal24"/>
              <w:spacing w:before="60" w:after="60"/>
              <w:jc w:val="center"/>
              <w:rPr>
                <w:rFonts w:eastAsia="Times New Roman" w:cs="Times New Roman"/>
                <w:noProof/>
                <w:sz w:val="20"/>
              </w:rPr>
            </w:pPr>
            <w:r>
              <w:rPr>
                <w:noProof/>
              </w:rPr>
              <w:t>Pourcentage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F84135" w14:textId="1514A44A" w:rsidR="00FA40E8" w:rsidRDefault="00E74AE8">
            <w:pPr>
              <w:pStyle w:val="P68B1DB1-Normal12"/>
              <w:spacing w:before="60" w:after="60"/>
              <w:jc w:val="center"/>
              <w:rPr>
                <w:rFonts w:eastAsia="Times New Roman" w:cs="Times New Roman"/>
                <w:noProof/>
              </w:rPr>
            </w:pPr>
            <w:r>
              <w:rPr>
                <w:noProof/>
              </w:rPr>
              <w:t>9 %</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EA51C4" w14:textId="5668CC9E" w:rsidR="00FA40E8" w:rsidRDefault="00E74AE8">
            <w:pPr>
              <w:pStyle w:val="P68B1DB1-Normal12"/>
              <w:spacing w:before="60" w:after="60"/>
              <w:jc w:val="center"/>
              <w:rPr>
                <w:rFonts w:eastAsia="Times New Roman" w:cs="Times New Roman"/>
                <w:noProof/>
              </w:rPr>
            </w:pPr>
            <w:r>
              <w:rPr>
                <w:noProof/>
              </w:rPr>
              <w:t>75 %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4F98EE" w14:textId="77777777" w:rsidR="00FA40E8" w:rsidRDefault="00E74AE8">
            <w:pPr>
              <w:pStyle w:val="P68B1DB1-Normal12"/>
              <w:spacing w:before="60" w:after="60"/>
              <w:jc w:val="center"/>
              <w:rPr>
                <w:rFonts w:eastAsia="Times New Roman" w:cs="Times New Roman"/>
                <w:noProof/>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ABC4E" w14:textId="77777777" w:rsidR="00FA40E8" w:rsidRDefault="00E74AE8">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4DE96" w14:textId="6E1B7B5F" w:rsidR="00FA40E8" w:rsidRDefault="00E74AE8">
            <w:pPr>
              <w:pStyle w:val="P68B1DB1-Normal12"/>
              <w:spacing w:before="60" w:after="60"/>
              <w:jc w:val="both"/>
              <w:rPr>
                <w:noProof/>
              </w:rPr>
            </w:pPr>
            <w:r>
              <w:rPr>
                <w:noProof/>
              </w:rPr>
              <w:t>75 % des institutions figurant sur la liste des institutions et organes publics qui bénéficient de services informatiques centralisés bénéficient de services informatiques consolidés.</w:t>
            </w:r>
          </w:p>
          <w:p w14:paraId="4706A7A5" w14:textId="315E44B3" w:rsidR="00FA40E8" w:rsidRDefault="00E74AE8">
            <w:pPr>
              <w:pStyle w:val="P68B1DB1-Normal12"/>
              <w:spacing w:before="60" w:after="60"/>
              <w:jc w:val="both"/>
              <w:rPr>
                <w:rFonts w:eastAsia="Times New Roman" w:cs="Times New Roman"/>
                <w:noProof/>
              </w:rPr>
            </w:pPr>
            <w:r>
              <w:rPr>
                <w:noProof/>
              </w:rPr>
              <w:t>Exception: Les institutions et organes publics figuran</w:t>
            </w:r>
            <w:r>
              <w:rPr>
                <w:noProof/>
              </w:rPr>
              <w:t>t sur la liste des institutions et organes publics recevant des services centralisés de technologies de l’information pour lesquels la résolution no 907 prévoit une exception peuvent être exclus du calcul de la part susmentionnée.</w:t>
            </w:r>
          </w:p>
        </w:tc>
      </w:tr>
      <w:tr w:rsidR="00FA40E8" w14:paraId="050D2A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16111A" w14:textId="77777777" w:rsidR="00FA40E8" w:rsidRDefault="00E74AE8">
            <w:pPr>
              <w:pStyle w:val="P68B1DB1-Normal12"/>
              <w:spacing w:before="60" w:after="60"/>
              <w:jc w:val="center"/>
              <w:rPr>
                <w:rFonts w:eastAsia="Times New Roman" w:cs="Times New Roman"/>
                <w:noProof/>
              </w:rPr>
            </w:pPr>
            <w:r>
              <w:rPr>
                <w:noProof/>
              </w:rPr>
              <w:t>63</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9B0490" w14:textId="77777777" w:rsidR="00FA40E8" w:rsidRDefault="00E74AE8">
            <w:pPr>
              <w:pStyle w:val="P68B1DB1-Normal12"/>
              <w:spacing w:before="60" w:after="60"/>
              <w:rPr>
                <w:rFonts w:eastAsia="Times New Roman" w:cs="Times New Roman"/>
                <w:noProof/>
              </w:rPr>
            </w:pPr>
            <w:r>
              <w:rPr>
                <w:noProof/>
              </w:rPr>
              <w:t xml:space="preserve">C.1.1 Transformation </w:t>
            </w:r>
            <w:r>
              <w:rPr>
                <w:noProof/>
              </w:rPr>
              <w:t>de la gouvernance publique des technologies de l’information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0AD44A"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EFBC5" w14:textId="41B6EE7B" w:rsidR="00FA40E8" w:rsidRDefault="00E74AE8">
            <w:pPr>
              <w:pStyle w:val="P68B1DB1-Normal12"/>
              <w:spacing w:before="60" w:after="60"/>
              <w:rPr>
                <w:noProof/>
              </w:rPr>
            </w:pPr>
            <w:r>
              <w:rPr>
                <w:noProof/>
              </w:rPr>
              <w:t>L’Agence nationale des solutions numériques fournit des services informatiques à toutes les institutions et organes publics figurant sur la liste des institutions</w:t>
            </w:r>
            <w:r>
              <w:rPr>
                <w:noProof/>
              </w:rPr>
              <w:t xml:space="preserve"> et organes publics recevant des services centralisés dans le domaine des technologies de l’information.</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8D62B9" w14:textId="41FE3E84"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1128DB" w14:textId="169ED303" w:rsidR="00FA40E8" w:rsidRDefault="00E74AE8">
            <w:pPr>
              <w:pStyle w:val="P68B1DB1-Normal24"/>
              <w:spacing w:before="60" w:after="60"/>
              <w:jc w:val="center"/>
              <w:rPr>
                <w:rFonts w:eastAsia="Times New Roman" w:cs="Times New Roman"/>
                <w:noProof/>
                <w:sz w:val="20"/>
              </w:rPr>
            </w:pPr>
            <w:r>
              <w:rPr>
                <w:noProof/>
              </w:rPr>
              <w:t>Pourcentage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58FE46" w14:textId="6611D26F" w:rsidR="00FA40E8" w:rsidRDefault="00E74AE8">
            <w:pPr>
              <w:pStyle w:val="P68B1DB1-Normal12"/>
              <w:spacing w:before="60" w:after="60"/>
              <w:jc w:val="center"/>
              <w:rPr>
                <w:rFonts w:eastAsia="Times New Roman" w:cs="Times New Roman"/>
                <w:noProof/>
              </w:rPr>
            </w:pPr>
            <w:r>
              <w:rPr>
                <w:noProof/>
              </w:rPr>
              <w:t>75 %</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F9D6B" w14:textId="54C2DCF1" w:rsidR="00FA40E8" w:rsidRDefault="00E74AE8">
            <w:pPr>
              <w:pStyle w:val="P68B1DB1-Normal12"/>
              <w:spacing w:before="60" w:after="60"/>
              <w:jc w:val="center"/>
              <w:rPr>
                <w:rFonts w:eastAsia="Times New Roman" w:cs="Times New Roman"/>
                <w:noProof/>
              </w:rPr>
            </w:pPr>
            <w:r>
              <w:rPr>
                <w:noProof/>
              </w:rPr>
              <w:t>100 %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E6FF1E" w14:textId="77777777" w:rsidR="00FA40E8" w:rsidRDefault="00E74AE8">
            <w:pPr>
              <w:pStyle w:val="P68B1DB1-Normal12"/>
              <w:spacing w:before="60" w:after="60"/>
              <w:jc w:val="center"/>
              <w:rPr>
                <w:rFonts w:eastAsia="Times New Roman" w:cs="Times New Roman"/>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D5F54B" w14:textId="77777777" w:rsidR="00FA40E8" w:rsidRDefault="00E74AE8">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7CB3DA" w14:textId="4233364D" w:rsidR="00FA40E8" w:rsidRDefault="00E74AE8">
            <w:pPr>
              <w:pStyle w:val="P68B1DB1-Normal12"/>
              <w:spacing w:before="60" w:after="60"/>
              <w:jc w:val="both"/>
              <w:rPr>
                <w:noProof/>
              </w:rPr>
            </w:pPr>
            <w:r>
              <w:rPr>
                <w:noProof/>
              </w:rPr>
              <w:t>100 % des institutions figurant sur la liste des institutions et organes publics qui bénéficient de services informatiq</w:t>
            </w:r>
            <w:r>
              <w:rPr>
                <w:noProof/>
              </w:rPr>
              <w:t xml:space="preserve">ues centralisés bénéficient de services informatiques consolidés. </w:t>
            </w:r>
          </w:p>
          <w:p w14:paraId="44301E74" w14:textId="5E21541D" w:rsidR="00FA40E8" w:rsidRDefault="00E74AE8">
            <w:pPr>
              <w:pStyle w:val="P68B1DB1-Normal12"/>
              <w:spacing w:before="60" w:after="60"/>
              <w:jc w:val="both"/>
              <w:rPr>
                <w:rFonts w:eastAsia="Times New Roman" w:cs="Times New Roman"/>
                <w:noProof/>
              </w:rPr>
            </w:pPr>
            <w:r>
              <w:rPr>
                <w:noProof/>
              </w:rPr>
              <w:t xml:space="preserve">Exception: Les institutions et organes publics figurant sur la liste des institutions et organes publics recevant des services centralisés de technologies de l’information pour lesquels la </w:t>
            </w:r>
            <w:r>
              <w:rPr>
                <w:noProof/>
              </w:rPr>
              <w:t>résolution no 907 prévoit une exception peuvent être exclus du calcul de la part susmentionnée.</w:t>
            </w:r>
          </w:p>
        </w:tc>
      </w:tr>
      <w:tr w:rsidR="00FA40E8" w14:paraId="4D3229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ADCDA" w14:textId="77777777" w:rsidR="00FA40E8" w:rsidRDefault="00E74AE8">
            <w:pPr>
              <w:pStyle w:val="P68B1DB1-Normal12"/>
              <w:spacing w:before="60" w:after="60"/>
              <w:jc w:val="center"/>
              <w:rPr>
                <w:rFonts w:eastAsia="Times New Roman" w:cs="Times New Roman"/>
                <w:noProof/>
              </w:rPr>
            </w:pPr>
            <w:r>
              <w:rPr>
                <w:noProof/>
              </w:rPr>
              <w:t>64</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78544" w14:textId="019120FC" w:rsidR="00FA40E8" w:rsidRDefault="00E74AE8">
            <w:pPr>
              <w:pStyle w:val="P68B1DB1-Normal12"/>
              <w:spacing w:before="60" w:after="60"/>
              <w:rPr>
                <w:rFonts w:eastAsia="Times New Roman" w:cs="Times New Roman"/>
                <w:noProof/>
              </w:rPr>
            </w:pPr>
            <w:r>
              <w:rPr>
                <w:noProof/>
              </w:rPr>
              <w:t>C.1.2 Gestion des données et données ouvertes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705505" w14:textId="77777777"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AA06B" w14:textId="77777777" w:rsidR="00FA40E8" w:rsidRDefault="00E74AE8">
            <w:pPr>
              <w:pStyle w:val="P68B1DB1-Normal12"/>
              <w:spacing w:before="60" w:after="60"/>
              <w:rPr>
                <w:rFonts w:eastAsia="Times New Roman" w:cs="Times New Roman"/>
                <w:noProof/>
              </w:rPr>
            </w:pPr>
            <w:r>
              <w:rPr>
                <w:noProof/>
              </w:rPr>
              <w:t>Entrée en vigueur de la législation sur le traitement efficace des données.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690F99" w14:textId="77777777" w:rsidR="00FA40E8" w:rsidRDefault="00E74AE8">
            <w:pPr>
              <w:pStyle w:val="P68B1DB1-Normal12"/>
              <w:spacing w:before="60" w:after="60"/>
              <w:rPr>
                <w:rFonts w:eastAsia="Times New Roman" w:cs="Times New Roman"/>
                <w:noProof/>
              </w:rPr>
            </w:pPr>
            <w:r>
              <w:rPr>
                <w:noProof/>
              </w:rPr>
              <w:t xml:space="preserve">Entrée en vigueur de la législation </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883B8B" w14:textId="12308F36"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6130F7" w14:textId="57BD3F41"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A05C07" w14:textId="61C4D8C7"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F772C1" w14:textId="77777777" w:rsidR="00FA40E8" w:rsidRDefault="00E74AE8">
            <w:pPr>
              <w:pStyle w:val="P68B1DB1-Normal12"/>
              <w:spacing w:before="60" w:after="60"/>
              <w:jc w:val="center"/>
              <w:rPr>
                <w:rFonts w:eastAsia="Times New Roman" w:cs="Times New Roman"/>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FA137C" w14:textId="77777777" w:rsidR="00FA40E8" w:rsidRDefault="00E74AE8">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CA2676" w14:textId="77777777" w:rsidR="00FA40E8" w:rsidRDefault="00E74AE8">
            <w:pPr>
              <w:pStyle w:val="P68B1DB1-Normal12"/>
              <w:spacing w:before="60" w:after="60"/>
              <w:jc w:val="both"/>
              <w:rPr>
                <w:rFonts w:eastAsia="Times New Roman" w:cs="Times New Roman"/>
                <w:noProof/>
              </w:rPr>
            </w:pPr>
            <w:r>
              <w:rPr>
                <w:noProof/>
              </w:rPr>
              <w:t>Entrée en vigueur de la législation sur la gestion efficace des données. Il s’agit notamment de modifications de la loi sur les statistiques officielles ou de la loi sur le droit de recueillir des information</w:t>
            </w:r>
            <w:r>
              <w:rPr>
                <w:noProof/>
              </w:rPr>
              <w:t xml:space="preserve">s auprès des institutions de l’État et des municipalités, qui étendent les fonctions de Statistic Lithuania à la gestion du lac de données de l’État (plateforme de données de l’État). </w:t>
            </w:r>
          </w:p>
        </w:tc>
      </w:tr>
      <w:tr w:rsidR="00FA40E8" w14:paraId="6968F4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5BBE51" w14:textId="77777777" w:rsidR="00FA40E8" w:rsidRDefault="00E74AE8">
            <w:pPr>
              <w:pStyle w:val="P68B1DB1-Normal12"/>
              <w:spacing w:before="60" w:after="60"/>
              <w:jc w:val="center"/>
              <w:rPr>
                <w:rFonts w:eastAsia="Times New Roman" w:cs="Times New Roman"/>
                <w:noProof/>
              </w:rPr>
            </w:pPr>
            <w:r>
              <w:rPr>
                <w:noProof/>
              </w:rPr>
              <w:t>65</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A0F0B0" w14:textId="70476F36" w:rsidR="00FA40E8" w:rsidRDefault="00E74AE8">
            <w:pPr>
              <w:pStyle w:val="P68B1DB1-Normal12"/>
              <w:spacing w:before="60" w:after="60"/>
              <w:rPr>
                <w:rFonts w:eastAsia="Times New Roman" w:cs="Times New Roman"/>
                <w:noProof/>
              </w:rPr>
            </w:pPr>
            <w:r>
              <w:rPr>
                <w:noProof/>
              </w:rPr>
              <w:t>C.1.2 Gestion des données et données ouvertes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3E3973"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2EBC61" w14:textId="7F824DBE" w:rsidR="00FA40E8" w:rsidRDefault="00E74AE8">
            <w:pPr>
              <w:pStyle w:val="P68B1DB1-Normal12"/>
              <w:spacing w:before="60" w:after="60"/>
              <w:rPr>
                <w:rFonts w:eastAsia="Times New Roman" w:cs="Times New Roman"/>
                <w:noProof/>
              </w:rPr>
            </w:pPr>
            <w:r>
              <w:rPr>
                <w:noProof/>
              </w:rPr>
              <w:t xml:space="preserve">Fourniture </w:t>
            </w:r>
            <w:r>
              <w:rPr>
                <w:noProof/>
              </w:rPr>
              <w:t>d’un modèle de gestion des données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FDB9A5" w14:textId="77777777"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C7B1B4" w14:textId="77777777"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F91A29" w14:textId="77777777" w:rsidR="00FA40E8" w:rsidRDefault="00E74AE8">
            <w:pPr>
              <w:pStyle w:val="P68B1DB1-Normal12"/>
              <w:spacing w:before="60" w:after="60"/>
              <w:jc w:val="center"/>
              <w:rPr>
                <w:rFonts w:eastAsia="Times New Roman"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6D7394" w14:textId="77777777" w:rsidR="00FA40E8" w:rsidRDefault="00E74AE8">
            <w:pPr>
              <w:pStyle w:val="P68B1DB1-Normal12"/>
              <w:spacing w:before="60" w:after="60"/>
              <w:jc w:val="center"/>
              <w:rPr>
                <w:rFonts w:eastAsia="Times New Roman" w:cs="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F7E90D" w14:textId="77777777" w:rsidR="00FA40E8" w:rsidRDefault="00E74AE8">
            <w:pPr>
              <w:pStyle w:val="P68B1DB1-Normal12"/>
              <w:spacing w:before="60" w:after="60"/>
              <w:jc w:val="center"/>
              <w:rPr>
                <w:rFonts w:eastAsia="Times New Roman" w:cs="Times New Roman"/>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B49454" w14:textId="35504A48" w:rsidR="00FA40E8" w:rsidRDefault="00E74AE8">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AB36FA" w14:textId="46D3F8ED" w:rsidR="00FA40E8" w:rsidRDefault="00E74AE8">
            <w:pPr>
              <w:pStyle w:val="P68B1DB1-Normal12"/>
              <w:spacing w:before="60" w:after="60"/>
              <w:jc w:val="both"/>
              <w:rPr>
                <w:noProof/>
              </w:rPr>
            </w:pPr>
            <w:r>
              <w:rPr>
                <w:noProof/>
              </w:rPr>
              <w:t>Fourniture d’un répertoire centralisé des interfaces de programmation d’applications (API) pour le modèle de gestion des données de l’État.</w:t>
            </w:r>
          </w:p>
        </w:tc>
      </w:tr>
      <w:tr w:rsidR="00FA40E8" w14:paraId="57DF6D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6D517E" w14:textId="77777777" w:rsidR="00FA40E8" w:rsidRDefault="00E74AE8">
            <w:pPr>
              <w:pStyle w:val="P68B1DB1-Normal12"/>
              <w:spacing w:before="60" w:after="60"/>
              <w:jc w:val="center"/>
              <w:rPr>
                <w:rFonts w:eastAsia="Times New Roman" w:cs="Times New Roman"/>
                <w:noProof/>
              </w:rPr>
            </w:pPr>
            <w:r>
              <w:rPr>
                <w:noProof/>
              </w:rPr>
              <w:t>66</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DC5079" w14:textId="138E25E3" w:rsidR="00FA40E8" w:rsidRDefault="00E74AE8">
            <w:pPr>
              <w:pStyle w:val="P68B1DB1-Normal12"/>
              <w:spacing w:before="60" w:after="60"/>
              <w:rPr>
                <w:rFonts w:eastAsia="Times New Roman" w:cs="Times New Roman"/>
                <w:noProof/>
              </w:rPr>
            </w:pPr>
            <w:r>
              <w:rPr>
                <w:noProof/>
              </w:rPr>
              <w:t>C.1.2Gestion des données et données ouvertes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081BFA"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2646D9" w14:textId="77777777" w:rsidR="00FA40E8" w:rsidRDefault="00E74AE8">
            <w:pPr>
              <w:pStyle w:val="P68B1DB1-Normal12"/>
              <w:spacing w:before="60" w:after="60"/>
              <w:rPr>
                <w:rFonts w:eastAsia="Times New Roman" w:cs="Times New Roman"/>
                <w:noProof/>
              </w:rPr>
            </w:pPr>
            <w:r>
              <w:rPr>
                <w:noProof/>
              </w:rPr>
              <w:t>Intégration des ressources d’information dans le lac de données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78C493" w14:textId="77777777"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1A421F" w14:textId="77777777"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678FE1" w14:textId="0ABECFB5" w:rsidR="00FA40E8" w:rsidRDefault="00E74AE8">
            <w:pPr>
              <w:pStyle w:val="P68B1DB1-Normal13"/>
              <w:spacing w:before="60" w:after="60"/>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0784E1" w14:textId="54E88D10" w:rsidR="00FA40E8" w:rsidRDefault="00E74AE8">
            <w:pPr>
              <w:pStyle w:val="P68B1DB1-Normal12"/>
              <w:spacing w:before="60" w:after="60"/>
              <w:jc w:val="center"/>
              <w:rPr>
                <w:rFonts w:eastAsia="Times New Roman" w:cs="Times New Roman"/>
                <w:noProof/>
              </w:rPr>
            </w:pPr>
            <w:r>
              <w:rPr>
                <w:noProof/>
              </w:rPr>
              <w:t>323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8172EC" w14:textId="77777777"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2290A3" w14:textId="77777777" w:rsidR="00FA40E8" w:rsidRDefault="00E74AE8">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D27500" w14:textId="78787773" w:rsidR="00FA40E8" w:rsidRDefault="00E74AE8">
            <w:pPr>
              <w:pStyle w:val="P68B1DB1-Normal12"/>
              <w:spacing w:before="60" w:after="60"/>
              <w:jc w:val="both"/>
              <w:rPr>
                <w:rFonts w:eastAsia="Times New Roman" w:cs="Times New Roman"/>
                <w:noProof/>
              </w:rPr>
            </w:pPr>
            <w:r>
              <w:rPr>
                <w:noProof/>
              </w:rPr>
              <w:t xml:space="preserve">323 les ressources d’information sont intégrées dans le lac de données national. </w:t>
            </w:r>
          </w:p>
        </w:tc>
      </w:tr>
      <w:tr w:rsidR="00FA40E8" w14:paraId="7CACC0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E3B51" w14:textId="77777777" w:rsidR="00FA40E8" w:rsidRDefault="00E74AE8">
            <w:pPr>
              <w:pStyle w:val="P68B1DB1-Normal12"/>
              <w:spacing w:before="60" w:after="60"/>
              <w:jc w:val="center"/>
              <w:rPr>
                <w:rFonts w:eastAsia="Times New Roman" w:cs="Times New Roman"/>
                <w:noProof/>
              </w:rPr>
            </w:pPr>
            <w:r>
              <w:rPr>
                <w:noProof/>
              </w:rPr>
              <w:t>67</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B66D3D" w14:textId="78D08D4D" w:rsidR="00FA40E8" w:rsidRDefault="00E74AE8">
            <w:pPr>
              <w:pStyle w:val="P68B1DB1-Normal12"/>
              <w:spacing w:before="60" w:after="60"/>
              <w:rPr>
                <w:rFonts w:eastAsia="Times New Roman" w:cs="Times New Roman"/>
                <w:noProof/>
              </w:rPr>
            </w:pPr>
            <w:r>
              <w:rPr>
                <w:noProof/>
              </w:rPr>
              <w:t>C.1.2 Gestion des données et données ouvertes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99CB2"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4D22D8" w14:textId="77777777" w:rsidR="00FA40E8" w:rsidRDefault="00E74AE8">
            <w:pPr>
              <w:pStyle w:val="P68B1DB1-Normal12"/>
              <w:spacing w:before="60" w:after="60"/>
              <w:rPr>
                <w:rFonts w:eastAsia="Times New Roman" w:cs="Times New Roman"/>
                <w:noProof/>
              </w:rPr>
            </w:pPr>
            <w:r>
              <w:rPr>
                <w:noProof/>
              </w:rPr>
              <w:t xml:space="preserve">Mise en service de l’outil </w:t>
            </w:r>
            <w:r>
              <w:rPr>
                <w:noProof/>
              </w:rPr>
              <w:t>d’échange de données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3E8B91" w14:textId="77777777"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7CFE02" w14:textId="77777777"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2985BD" w14:textId="77777777" w:rsidR="00FA40E8" w:rsidRDefault="00E74AE8">
            <w:pPr>
              <w:pStyle w:val="P68B1DB1-Normal12"/>
              <w:spacing w:before="60" w:after="60"/>
              <w:jc w:val="center"/>
              <w:rPr>
                <w:rFonts w:eastAsia="Times New Roman"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FC9CF9" w14:textId="77777777" w:rsidR="00FA40E8" w:rsidRDefault="00E74AE8">
            <w:pPr>
              <w:pStyle w:val="P68B1DB1-Normal12"/>
              <w:spacing w:before="60" w:after="60"/>
              <w:jc w:val="center"/>
              <w:rPr>
                <w:rFonts w:eastAsia="Times New Roman" w:cs="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1EB2EE" w14:textId="4850B14D" w:rsidR="00FA40E8" w:rsidRDefault="00E74AE8">
            <w:pPr>
              <w:pStyle w:val="P68B1DB1-Normal12"/>
              <w:spacing w:before="60" w:after="60"/>
              <w:jc w:val="center"/>
              <w:rPr>
                <w:rFonts w:eastAsia="Times New Roman" w:cs="Times New Roman"/>
                <w:noProof/>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C33052" w14:textId="5AAEBD79" w:rsidR="00FA40E8" w:rsidRDefault="00E74AE8">
            <w:pPr>
              <w:pStyle w:val="P68B1DB1-Normal12"/>
              <w:spacing w:before="60" w:after="60"/>
              <w:jc w:val="center"/>
              <w:rPr>
                <w:rFonts w:eastAsia="Times New Roman" w:cs="Times New Roman"/>
                <w:noProof/>
              </w:rPr>
            </w:pPr>
            <w:r>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21AE28" w14:textId="77777777" w:rsidR="00FA40E8" w:rsidRDefault="00E74AE8">
            <w:pPr>
              <w:pStyle w:val="P68B1DB1-Normal12"/>
              <w:spacing w:before="60" w:after="60"/>
              <w:jc w:val="both"/>
              <w:rPr>
                <w:rFonts w:eastAsia="Times New Roman" w:cs="Times New Roman"/>
                <w:noProof/>
              </w:rPr>
            </w:pPr>
            <w:r>
              <w:rPr>
                <w:noProof/>
              </w:rPr>
              <w:t>Mise en service d’un outil d’échange de données conforme aux exigences comptables appropriées.</w:t>
            </w:r>
          </w:p>
          <w:p w14:paraId="5E22EB61" w14:textId="3F435CA4" w:rsidR="00FA40E8" w:rsidRDefault="00E74AE8">
            <w:pPr>
              <w:pStyle w:val="P68B1DB1-Normal12"/>
              <w:spacing w:before="60" w:after="60"/>
              <w:jc w:val="both"/>
              <w:rPr>
                <w:rFonts w:eastAsia="Times New Roman" w:cs="Times New Roman"/>
                <w:noProof/>
              </w:rPr>
            </w:pPr>
            <w:r>
              <w:rPr>
                <w:noProof/>
              </w:rPr>
              <w:t>La création d’un outil d’échange de données permet l’envoi, la réception et le traitement des factures électroniques. L’</w:t>
            </w:r>
            <w:r>
              <w:rPr>
                <w:noProof/>
              </w:rPr>
              <w:t>outil d’échange de données est publié et accessible gratuitement.</w:t>
            </w:r>
          </w:p>
        </w:tc>
      </w:tr>
      <w:tr w:rsidR="00FA40E8" w14:paraId="30EF07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64CD87" w14:textId="77777777" w:rsidR="00FA40E8" w:rsidRDefault="00E74AE8">
            <w:pPr>
              <w:pStyle w:val="P68B1DB1-Normal12"/>
              <w:spacing w:before="60" w:after="60"/>
              <w:jc w:val="center"/>
              <w:rPr>
                <w:rFonts w:eastAsia="Times New Roman" w:cs="Times New Roman"/>
                <w:noProof/>
              </w:rPr>
            </w:pPr>
            <w:r>
              <w:rPr>
                <w:noProof/>
              </w:rPr>
              <w:t>68</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2D6CEA" w14:textId="77777777" w:rsidR="00FA40E8" w:rsidRDefault="00E74AE8">
            <w:pPr>
              <w:pStyle w:val="P68B1DB1-Normal12"/>
              <w:spacing w:before="60" w:after="60"/>
              <w:rPr>
                <w:rFonts w:eastAsia="Times New Roman" w:cs="Times New Roman"/>
                <w:noProof/>
              </w:rPr>
            </w:pPr>
            <w:r>
              <w:rPr>
                <w:noProof/>
              </w:rPr>
              <w:t>C.1.3 Services axés sur le client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B821AD" w14:textId="77777777"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F0CD6D" w14:textId="77777777" w:rsidR="00FA40E8" w:rsidRDefault="00E74AE8">
            <w:pPr>
              <w:pStyle w:val="P68B1DB1-Normal12"/>
              <w:spacing w:before="60" w:after="60"/>
              <w:rPr>
                <w:rFonts w:eastAsia="Times New Roman" w:cs="Times New Roman"/>
                <w:noProof/>
              </w:rPr>
            </w:pPr>
            <w:r>
              <w:rPr>
                <w:noProof/>
              </w:rPr>
              <w:t>Entrée en vigueur du règlement modifié sur la fourniture d’informations aux personnes handicapées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05B7CD" w14:textId="77777777" w:rsidR="00FA40E8" w:rsidRDefault="00E74AE8">
            <w:pPr>
              <w:pStyle w:val="P68B1DB1-Normal12"/>
              <w:spacing w:before="60" w:after="60"/>
              <w:rPr>
                <w:rFonts w:eastAsia="Times New Roman" w:cs="Times New Roman"/>
                <w:noProof/>
              </w:rPr>
            </w:pPr>
            <w:r>
              <w:rPr>
                <w:noProof/>
              </w:rPr>
              <w:t>Entrée en vigueur de la législation</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68E7D8" w14:textId="63100C9D"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934865" w14:textId="2FA4DF1C"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4D3F5C" w14:textId="064C13EB"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8458C8" w14:textId="77777777" w:rsidR="00FA40E8" w:rsidRDefault="00E74AE8">
            <w:pPr>
              <w:pStyle w:val="P68B1DB1-Normal12"/>
              <w:spacing w:before="60" w:after="60"/>
              <w:jc w:val="center"/>
              <w:rPr>
                <w:rFonts w:eastAsia="Times New Roman" w:cs="Times New Roman"/>
                <w:noProof/>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4EB884" w14:textId="405D648A" w:rsidR="00FA40E8" w:rsidRDefault="00E74AE8">
            <w:pPr>
              <w:pStyle w:val="P68B1DB1-Normal12"/>
              <w:spacing w:before="60" w:after="60"/>
              <w:jc w:val="center"/>
              <w:rPr>
                <w:rFonts w:eastAsia="Times New Roman" w:cs="Times New Roman"/>
                <w:noProof/>
              </w:rPr>
            </w:pPr>
            <w:r>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095AD8" w14:textId="30444595" w:rsidR="00FA40E8" w:rsidRDefault="00E74AE8">
            <w:pPr>
              <w:pStyle w:val="P68B1DB1-Normal12"/>
              <w:spacing w:before="60" w:after="60"/>
              <w:jc w:val="both"/>
              <w:rPr>
                <w:rFonts w:eastAsia="Times New Roman" w:cs="Times New Roman"/>
                <w:noProof/>
              </w:rPr>
            </w:pPr>
            <w:r>
              <w:rPr>
                <w:noProof/>
              </w:rPr>
              <w:t xml:space="preserve">Entrée en vigueur du règlement juridique modifié sur la fourniture d’informations aux personnes handicapées. </w:t>
            </w:r>
          </w:p>
        </w:tc>
      </w:tr>
      <w:tr w:rsidR="00FA40E8" w14:paraId="7F2698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0C377D" w14:textId="77777777" w:rsidR="00FA40E8" w:rsidRDefault="00E74AE8">
            <w:pPr>
              <w:pStyle w:val="P68B1DB1-Normal12"/>
              <w:spacing w:before="60" w:after="60"/>
              <w:jc w:val="center"/>
              <w:rPr>
                <w:rFonts w:eastAsia="Times New Roman" w:cs="Times New Roman"/>
                <w:noProof/>
              </w:rPr>
            </w:pPr>
            <w:r>
              <w:rPr>
                <w:noProof/>
              </w:rPr>
              <w:t>69</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B9B0B2" w14:textId="77777777" w:rsidR="00FA40E8" w:rsidRDefault="00E74AE8">
            <w:pPr>
              <w:pStyle w:val="P68B1DB1-Normal12"/>
              <w:spacing w:before="60" w:after="60"/>
              <w:rPr>
                <w:rFonts w:eastAsia="Times New Roman" w:cs="Times New Roman"/>
                <w:noProof/>
              </w:rPr>
            </w:pPr>
            <w:r>
              <w:rPr>
                <w:noProof/>
              </w:rPr>
              <w:t>C.1.3 Services axés sur le client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BC60EC" w14:textId="77777777"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DF29C8" w14:textId="0FAB4B8A" w:rsidR="00FA40E8" w:rsidRDefault="00E74AE8">
            <w:pPr>
              <w:pStyle w:val="P68B1DB1-Normal12"/>
              <w:spacing w:before="60" w:after="60"/>
              <w:rPr>
                <w:rFonts w:eastAsia="Times New Roman" w:cs="Times New Roman"/>
                <w:noProof/>
              </w:rPr>
            </w:pPr>
            <w:r>
              <w:rPr>
                <w:noProof/>
              </w:rPr>
              <w:t xml:space="preserve">Publication d’un appel d’offres pour des solutions et des outils innovants visant à garantir de </w:t>
            </w:r>
            <w:r>
              <w:rPr>
                <w:noProof/>
              </w:rPr>
              <w:t>meilleures possibilités de communication pour les personnes handicapées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52B4A5" w14:textId="77777777" w:rsidR="00FA40E8" w:rsidRDefault="00E74AE8">
            <w:pPr>
              <w:pStyle w:val="P68B1DB1-Normal12"/>
              <w:spacing w:before="60" w:after="60"/>
              <w:rPr>
                <w:rFonts w:eastAsia="Times New Roman" w:cs="Times New Roman"/>
                <w:noProof/>
              </w:rPr>
            </w:pPr>
            <w:r>
              <w:rPr>
                <w:noProof/>
              </w:rPr>
              <w:t>Publication de l’avis d’appel d’offres</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E919B8" w14:textId="6B26D83E"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8CAABE" w14:textId="71F550BA"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7F2174" w14:textId="79C0BBE6"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331E3C" w14:textId="77777777"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1B9507" w14:textId="77777777" w:rsidR="00FA40E8" w:rsidRDefault="00E74AE8">
            <w:pPr>
              <w:pStyle w:val="P68B1DB1-Normal12"/>
              <w:spacing w:before="60" w:after="60"/>
              <w:jc w:val="center"/>
              <w:rPr>
                <w:rFonts w:eastAsia="Times New Roman" w:cs="Times New Roman"/>
                <w:noProof/>
              </w:rPr>
            </w:pPr>
            <w:r>
              <w:rPr>
                <w:noProof/>
              </w:rPr>
              <w:t>2023</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0EDFB" w14:textId="77777777" w:rsidR="00FA40E8" w:rsidRDefault="00E74AE8">
            <w:pPr>
              <w:pStyle w:val="P68B1DB1-Normal12"/>
              <w:spacing w:before="60" w:after="60"/>
              <w:jc w:val="both"/>
              <w:rPr>
                <w:rFonts w:eastAsia="Times New Roman" w:cs="Times New Roman"/>
                <w:noProof/>
              </w:rPr>
            </w:pPr>
            <w:r>
              <w:rPr>
                <w:noProof/>
              </w:rPr>
              <w:t>Publication d’un appel d’offres pour des solutions et des outils innovants afin de garantir de meilleures possibilités de communicatio</w:t>
            </w:r>
            <w:r>
              <w:rPr>
                <w:noProof/>
              </w:rPr>
              <w:t xml:space="preserve">n pour les personnes handicapées. Les spécifications techniques et les marchés publics sont élaborés en coopération avec les groupes cibles. Les exigences en matière de qualifications accordent une attention particulière à l’expérience, aux compétences et </w:t>
            </w:r>
            <w:r>
              <w:rPr>
                <w:noProof/>
              </w:rPr>
              <w:t>aux aptitudes des fournisseurs pour mettre en œuvre des solutions informatiques similaires. Les systèmes informatiques doivent satisfaire à toutes les exigences de la directive communautaire sur l’accessibilité de l’internet. (2024ER TRIMESTRE 1).</w:t>
            </w:r>
          </w:p>
        </w:tc>
      </w:tr>
      <w:tr w:rsidR="00FA40E8" w14:paraId="51F31B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A679E3" w14:textId="77777777" w:rsidR="00FA40E8" w:rsidRDefault="00E74AE8">
            <w:pPr>
              <w:pStyle w:val="P68B1DB1-Normal12"/>
              <w:spacing w:before="60" w:after="60"/>
              <w:jc w:val="center"/>
              <w:rPr>
                <w:rFonts w:eastAsia="Times New Roman" w:cs="Times New Roman"/>
                <w:noProof/>
              </w:rPr>
            </w:pPr>
            <w:r>
              <w:rPr>
                <w:noProof/>
              </w:rPr>
              <w:t>70</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9EBBED" w14:textId="77777777" w:rsidR="00FA40E8" w:rsidRDefault="00E74AE8">
            <w:pPr>
              <w:pStyle w:val="P68B1DB1-Normal12"/>
              <w:spacing w:before="60" w:after="60"/>
              <w:rPr>
                <w:rFonts w:eastAsia="Times New Roman" w:cs="Times New Roman"/>
                <w:noProof/>
              </w:rPr>
            </w:pPr>
            <w:r>
              <w:rPr>
                <w:noProof/>
              </w:rPr>
              <w:t>C.1.3 Services axés sur le client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9C515B" w14:textId="77777777"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E9FD3B" w14:textId="77777777" w:rsidR="00FA40E8" w:rsidRDefault="00E74AE8">
            <w:pPr>
              <w:pStyle w:val="P68B1DB1-Normal12"/>
              <w:spacing w:before="60" w:after="60"/>
              <w:rPr>
                <w:rFonts w:eastAsia="Times New Roman" w:cs="Times New Roman"/>
                <w:noProof/>
              </w:rPr>
            </w:pPr>
            <w:r>
              <w:rPr>
                <w:noProof/>
              </w:rPr>
              <w:t>Mise en service d’un centre de compétence pour les données ouvertes et la transformation numérique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A48CDC" w14:textId="77777777" w:rsidR="00FA40E8" w:rsidRDefault="00E74AE8">
            <w:pPr>
              <w:pStyle w:val="P68B1DB1-Normal12"/>
              <w:spacing w:before="60" w:after="60"/>
              <w:rPr>
                <w:rFonts w:eastAsia="Times New Roman" w:cs="Times New Roman"/>
                <w:noProof/>
              </w:rPr>
            </w:pPr>
            <w:r>
              <w:rPr>
                <w:noProof/>
              </w:rPr>
              <w:t>Centre de compétence pour les données ouvertes et la transformation numérique opérationnel</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BCB841" w14:textId="24238490"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F55167" w14:textId="36CAFB9D"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40DAAC" w14:textId="4C42B949"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11E042" w14:textId="77777777" w:rsidR="00FA40E8" w:rsidRDefault="00E74AE8">
            <w:pPr>
              <w:pStyle w:val="P68B1DB1-Normal12"/>
              <w:spacing w:before="60" w:after="60"/>
              <w:jc w:val="center"/>
              <w:rPr>
                <w:rFonts w:eastAsia="Times New Roman" w:cs="Times New Roman"/>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D533D9" w14:textId="77777777" w:rsidR="00FA40E8" w:rsidRDefault="00E74AE8">
            <w:pPr>
              <w:pStyle w:val="P68B1DB1-Normal12"/>
              <w:spacing w:before="60" w:after="60"/>
              <w:jc w:val="center"/>
              <w:rPr>
                <w:rFonts w:eastAsia="Times New Roman" w:cs="Times New Roman"/>
                <w:noProof/>
              </w:rPr>
            </w:pPr>
            <w:r>
              <w:rPr>
                <w:noProof/>
              </w:rPr>
              <w:t>2021</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88BAF9" w14:textId="49555DC4" w:rsidR="00FA40E8" w:rsidRDefault="00E74AE8">
            <w:pPr>
              <w:pStyle w:val="P68B1DB1-Normal12"/>
              <w:spacing w:before="60" w:after="60"/>
              <w:jc w:val="both"/>
              <w:rPr>
                <w:rFonts w:eastAsia="Times New Roman" w:cs="Times New Roman"/>
                <w:noProof/>
              </w:rPr>
            </w:pPr>
            <w:r>
              <w:rPr>
                <w:noProof/>
              </w:rPr>
              <w:t>Mise en service</w:t>
            </w:r>
            <w:r>
              <w:rPr>
                <w:noProof/>
              </w:rPr>
              <w:t xml:space="preserve"> d’un centre de compétence pour les données ouvertes et la transformation numérique par une résolution de la République de Lituanie.</w:t>
            </w:r>
          </w:p>
          <w:p w14:paraId="6688CF59" w14:textId="6AFB1166" w:rsidR="00FA40E8" w:rsidRDefault="00E74AE8">
            <w:pPr>
              <w:pStyle w:val="P68B1DB1-Normal12"/>
              <w:spacing w:before="60" w:after="60"/>
              <w:jc w:val="both"/>
              <w:rPr>
                <w:rFonts w:eastAsia="Times New Roman" w:cs="Times New Roman"/>
                <w:noProof/>
              </w:rPr>
            </w:pPr>
            <w:r>
              <w:rPr>
                <w:noProof/>
              </w:rPr>
              <w:t>La structure organisationnelle du Centre de compétences se compose de deux sections: l’un surveillera et évaluera les solut</w:t>
            </w:r>
            <w:r>
              <w:rPr>
                <w:noProof/>
              </w:rPr>
              <w:t>ions numériques et l’autre se concentrera sur les données et l’architecture.</w:t>
            </w:r>
          </w:p>
          <w:p w14:paraId="1933F6C7" w14:textId="3CD77728" w:rsidR="00FA40E8" w:rsidRDefault="00E74AE8">
            <w:pPr>
              <w:pStyle w:val="P68B1DB1-Normal12"/>
              <w:spacing w:before="60" w:after="60"/>
              <w:jc w:val="both"/>
              <w:rPr>
                <w:rFonts w:eastAsia="Times New Roman" w:cs="Times New Roman"/>
                <w:noProof/>
              </w:rPr>
            </w:pPr>
            <w:r>
              <w:rPr>
                <w:noProof/>
              </w:rPr>
              <w:t>Le groupe de suivi et d’évaluation des solutions numériques, le cas échéant, analyse et suit les solutions existantes en évaluant la fonctionnalité et les défis à relever. Il éval</w:t>
            </w:r>
            <w:r>
              <w:rPr>
                <w:noProof/>
              </w:rPr>
              <w:t xml:space="preserve">ue les nouvelles initiatives du point de vue de la duplication des solutions existantes et de l’opportunité des solutions technologiques. </w:t>
            </w:r>
          </w:p>
          <w:p w14:paraId="3EF46417" w14:textId="77777777" w:rsidR="00FA40E8" w:rsidRDefault="00E74AE8">
            <w:pPr>
              <w:pStyle w:val="P68B1DB1-Normal12"/>
              <w:spacing w:before="60" w:after="60"/>
              <w:jc w:val="both"/>
              <w:rPr>
                <w:rFonts w:eastAsia="Times New Roman" w:cs="Times New Roman"/>
                <w:noProof/>
              </w:rPr>
            </w:pPr>
            <w:r>
              <w:rPr>
                <w:noProof/>
              </w:rPr>
              <w:t>Le groupe «Données et architecture» définit l’architecture globale des systèmes d’information et des données, les nor</w:t>
            </w:r>
            <w:r>
              <w:rPr>
                <w:noProof/>
              </w:rPr>
              <w:t>mes et les exigences techniques à appliquer aux solutions nouvellement mises au point.</w:t>
            </w:r>
          </w:p>
          <w:p w14:paraId="40B0993A" w14:textId="77777777" w:rsidR="00FA40E8" w:rsidRDefault="00E74AE8">
            <w:pPr>
              <w:pStyle w:val="P68B1DB1-Normal12"/>
              <w:spacing w:before="60" w:after="60"/>
              <w:jc w:val="both"/>
              <w:rPr>
                <w:rFonts w:eastAsia="Times New Roman" w:cs="Times New Roman"/>
                <w:noProof/>
              </w:rPr>
            </w:pPr>
            <w:r>
              <w:rPr>
                <w:noProof/>
              </w:rPr>
              <w:t>Chaque nouvelle solution proposée devrait faire l’objet d’une évaluation initiale du groupe d’initiatives numériques et, une fois ce processus et les projets d’exigences</w:t>
            </w:r>
            <w:r>
              <w:rPr>
                <w:noProof/>
              </w:rPr>
              <w:t xml:space="preserve"> détaillés préparés, elle sera évaluée du point de vue de la compatibilité architecturale.</w:t>
            </w:r>
          </w:p>
        </w:tc>
      </w:tr>
      <w:tr w:rsidR="00FA40E8" w14:paraId="7D0388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80C64C" w14:textId="77777777" w:rsidR="00FA40E8" w:rsidRDefault="00E74AE8">
            <w:pPr>
              <w:pStyle w:val="P68B1DB1-Normal12"/>
              <w:spacing w:before="60" w:after="60"/>
              <w:jc w:val="center"/>
              <w:rPr>
                <w:rFonts w:eastAsia="Times New Roman" w:cs="Times New Roman"/>
                <w:noProof/>
              </w:rPr>
            </w:pPr>
            <w:r>
              <w:rPr>
                <w:noProof/>
              </w:rPr>
              <w:t>71</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4449B8" w14:textId="77777777" w:rsidR="00FA40E8" w:rsidRDefault="00E74AE8">
            <w:pPr>
              <w:pStyle w:val="P68B1DB1-Normal12"/>
              <w:spacing w:before="60" w:after="60"/>
              <w:rPr>
                <w:rFonts w:eastAsia="Times New Roman" w:cs="Times New Roman"/>
                <w:noProof/>
              </w:rPr>
            </w:pPr>
            <w:r>
              <w:rPr>
                <w:noProof/>
              </w:rPr>
              <w:t>C.1.3 Services axés sur le client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CCF846"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5D8CDE" w14:textId="77777777" w:rsidR="00FA40E8" w:rsidRDefault="00E74AE8">
            <w:pPr>
              <w:pStyle w:val="P68B1DB1-Normal12"/>
              <w:spacing w:before="60" w:after="60"/>
              <w:rPr>
                <w:rFonts w:eastAsia="Times New Roman" w:cs="Times New Roman"/>
                <w:noProof/>
              </w:rPr>
            </w:pPr>
            <w:r>
              <w:rPr>
                <w:noProof/>
              </w:rPr>
              <w:t>Mise en service de solutions pour les services publics numériques aux personnes handicapées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F1E8A8" w14:textId="77777777"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73DDE" w14:textId="77777777"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8D100B" w14:textId="2A90C5B2"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D37C9" w14:textId="77777777" w:rsidR="00FA40E8" w:rsidRDefault="00E74AE8">
            <w:pPr>
              <w:pStyle w:val="P68B1DB1-Normal12"/>
              <w:spacing w:before="60" w:after="60"/>
              <w:jc w:val="center"/>
              <w:rPr>
                <w:rFonts w:eastAsia="Times New Roman" w:cs="Times New Roman"/>
                <w:noProof/>
              </w:rPr>
            </w:pPr>
            <w:r>
              <w:rPr>
                <w:noProof/>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41DFEE" w14:textId="77777777" w:rsidR="00FA40E8" w:rsidRDefault="00E74AE8">
            <w:pPr>
              <w:pStyle w:val="P68B1DB1-Normal12"/>
              <w:spacing w:before="60" w:after="60"/>
              <w:jc w:val="center"/>
              <w:rPr>
                <w:rFonts w:eastAsia="Times New Roman" w:cs="Times New Roman"/>
                <w:noProof/>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3872FF" w14:textId="77777777" w:rsidR="00FA40E8" w:rsidRDefault="00E74AE8">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A069B1" w14:textId="77777777" w:rsidR="00FA40E8" w:rsidRDefault="00E74AE8">
            <w:pPr>
              <w:pStyle w:val="P68B1DB1-Normal12"/>
              <w:spacing w:before="60" w:after="60"/>
              <w:jc w:val="both"/>
              <w:rPr>
                <w:rFonts w:eastAsia="Times New Roman" w:cs="Times New Roman"/>
                <w:noProof/>
              </w:rPr>
            </w:pPr>
            <w:r>
              <w:rPr>
                <w:noProof/>
              </w:rPr>
              <w:t>Mise en</w:t>
            </w:r>
            <w:r>
              <w:rPr>
                <w:noProof/>
              </w:rPr>
              <w:t xml:space="preserve"> service de deux solutions pour faciliter l’accès des personnes handicapées aux services publics numériques: une solution informatique pour garantir de meilleures possibilités de communication aux sourds, et une autre solution informatique pour garantir l’</w:t>
            </w:r>
            <w:r>
              <w:rPr>
                <w:noProof/>
              </w:rPr>
              <w:t>accès des aveugles à l’information. Les services sont fournis par des fournisseurs possédant les qualifications appropriées dans le cadre de marchés publics.</w:t>
            </w:r>
          </w:p>
        </w:tc>
      </w:tr>
      <w:tr w:rsidR="00FA40E8" w14:paraId="6596C1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85379D" w14:textId="77777777" w:rsidR="00FA40E8" w:rsidRDefault="00E74AE8">
            <w:pPr>
              <w:pStyle w:val="P68B1DB1-Normal12"/>
              <w:spacing w:before="60" w:after="60"/>
              <w:jc w:val="center"/>
              <w:rPr>
                <w:rFonts w:eastAsia="Times New Roman" w:cs="Times New Roman"/>
                <w:noProof/>
              </w:rPr>
            </w:pPr>
            <w:r>
              <w:rPr>
                <w:noProof/>
              </w:rPr>
              <w:t>73</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B33E35" w14:textId="77777777" w:rsidR="00FA40E8" w:rsidRDefault="00E74AE8">
            <w:pPr>
              <w:pStyle w:val="P68B1DB1-Normal12"/>
              <w:spacing w:before="60" w:after="60"/>
              <w:rPr>
                <w:rFonts w:eastAsia="Times New Roman" w:cs="Times New Roman"/>
                <w:noProof/>
              </w:rPr>
            </w:pPr>
            <w:r>
              <w:rPr>
                <w:noProof/>
              </w:rPr>
              <w:t>C.1.3 Services axés sur le client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662542"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B0430D" w14:textId="1EF35D6D" w:rsidR="00FA40E8" w:rsidRDefault="00E74AE8">
            <w:pPr>
              <w:pStyle w:val="P68B1DB1-Normal12"/>
              <w:spacing w:before="60" w:after="60"/>
              <w:rPr>
                <w:noProof/>
              </w:rPr>
            </w:pPr>
            <w:r>
              <w:rPr>
                <w:noProof/>
              </w:rPr>
              <w:t>Réalisation de projets visant à créer ou à mettre à</w:t>
            </w:r>
            <w:r>
              <w:rPr>
                <w:noProof/>
              </w:rPr>
              <w:t xml:space="preserve"> niveau des solutions numériques pour la fourniture de services numériques du secteur public</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08F6AE" w14:textId="77777777"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EC4A74" w14:textId="77777777"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F1046E" w14:textId="77777777" w:rsidR="00FA40E8" w:rsidRDefault="00E74AE8">
            <w:pPr>
              <w:pStyle w:val="P68B1DB1-Normal12"/>
              <w:spacing w:before="60" w:after="60"/>
              <w:jc w:val="center"/>
              <w:rPr>
                <w:rFonts w:eastAsia="Times New Roman"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43C3F5" w14:textId="40B0F4E5" w:rsidR="00FA40E8" w:rsidRDefault="00E74AE8">
            <w:pPr>
              <w:pStyle w:val="P68B1DB1-Normal12"/>
              <w:spacing w:before="60" w:after="60"/>
              <w:jc w:val="center"/>
              <w:rPr>
                <w:rFonts w:eastAsia="Times New Roman" w:cs="Times New Roman"/>
                <w:noProof/>
              </w:rPr>
            </w:pPr>
            <w:r>
              <w:rPr>
                <w:noProof/>
              </w:rPr>
              <w:t>63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C1593B" w14:textId="77777777"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89145C" w14:textId="77777777" w:rsidR="00FA40E8" w:rsidRDefault="00E74AE8">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DF116" w14:textId="3ECC5BC3" w:rsidR="00FA40E8" w:rsidRDefault="00E74AE8">
            <w:pPr>
              <w:pStyle w:val="P68B1DB1-Normal12"/>
              <w:spacing w:before="60" w:after="60"/>
              <w:jc w:val="both"/>
              <w:rPr>
                <w:rFonts w:eastAsia="Times New Roman" w:cs="Times New Roman"/>
                <w:noProof/>
              </w:rPr>
            </w:pPr>
            <w:r>
              <w:rPr>
                <w:noProof/>
              </w:rPr>
              <w:t>Réalisation de 63 projets visant à créer ou à mettre à niveau des solutions numériques pour la fourniture de services numériques du secteur pu</w:t>
            </w:r>
            <w:r>
              <w:rPr>
                <w:noProof/>
              </w:rPr>
              <w:t xml:space="preserve">blic. </w:t>
            </w:r>
          </w:p>
        </w:tc>
      </w:tr>
      <w:tr w:rsidR="00FA40E8" w14:paraId="164614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21451A" w14:textId="77777777" w:rsidR="00FA40E8" w:rsidRDefault="00E74AE8">
            <w:pPr>
              <w:pStyle w:val="P68B1DB1-Normal12"/>
              <w:spacing w:before="60" w:after="60"/>
              <w:jc w:val="center"/>
              <w:rPr>
                <w:rFonts w:eastAsia="Times New Roman" w:cs="Times New Roman"/>
                <w:noProof/>
              </w:rPr>
            </w:pPr>
            <w:r>
              <w:rPr>
                <w:noProof/>
              </w:rPr>
              <w:t>75</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64A63F" w14:textId="7D181834" w:rsidR="00FA40E8" w:rsidRDefault="00E74AE8">
            <w:pPr>
              <w:pStyle w:val="P68B1DB1-Normal12"/>
              <w:spacing w:before="60" w:after="60"/>
              <w:rPr>
                <w:rFonts w:eastAsia="Times New Roman" w:cs="Times New Roman"/>
                <w:noProof/>
              </w:rPr>
            </w:pPr>
            <w:r>
              <w:rPr>
                <w:noProof/>
              </w:rPr>
              <w:t>C.1.4 Solutions technologiques dans le monde des affaires et dans la vie quotidienne — C.1.4.1.Ressources technologiques en langue lituanienne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4ABABD"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EAEE87" w14:textId="389FE28C" w:rsidR="00FA40E8" w:rsidRDefault="00E74AE8">
            <w:pPr>
              <w:pStyle w:val="P68B1DB1-Normal12"/>
              <w:spacing w:before="60" w:after="60"/>
              <w:rPr>
                <w:rFonts w:eastAsia="Times New Roman" w:cs="Times New Roman"/>
                <w:noProof/>
              </w:rPr>
            </w:pPr>
            <w:r>
              <w:rPr>
                <w:noProof/>
              </w:rPr>
              <w:t xml:space="preserve">Fourniture des ressources linguistiques lituaniennes nécessaires au développement de solutions d’IA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CD9347" w14:textId="77777777"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97C349" w14:textId="77777777"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2BC612" w14:textId="63EEEC29" w:rsidR="00FA40E8" w:rsidRDefault="00E74AE8">
            <w:pPr>
              <w:pStyle w:val="P68B1DB1-Normal13"/>
              <w:spacing w:before="60" w:after="60"/>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5AA42F" w14:textId="697EC9E9" w:rsidR="00FA40E8" w:rsidRDefault="00E74AE8">
            <w:pPr>
              <w:pStyle w:val="P68B1DB1-Normal12"/>
              <w:spacing w:before="60" w:after="60"/>
              <w:jc w:val="center"/>
              <w:rPr>
                <w:rFonts w:eastAsia="Times New Roman" w:cs="Times New Roman"/>
                <w:noProof/>
              </w:rPr>
            </w:pPr>
            <w:r>
              <w:rPr>
                <w:noProof/>
              </w:rPr>
              <w:t>5</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59A4D2" w14:textId="4014F026"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14EEF8" w14:textId="7E4DA8FC" w:rsidR="00FA40E8" w:rsidRDefault="00E74AE8">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00330A" w14:textId="68C2E7A7" w:rsidR="00FA40E8" w:rsidRDefault="00E74AE8">
            <w:pPr>
              <w:pStyle w:val="P68B1DB1-Normal12"/>
              <w:spacing w:before="60" w:after="60"/>
              <w:jc w:val="both"/>
              <w:rPr>
                <w:rFonts w:eastAsia="Times New Roman" w:cs="Times New Roman"/>
                <w:noProof/>
              </w:rPr>
            </w:pPr>
            <w:r>
              <w:rPr>
                <w:noProof/>
              </w:rPr>
              <w:t>Les ressources linguistiques lituaniennes pour le développement de solutions d’IA sont mises à la disposition du public et gratuites.</w:t>
            </w:r>
          </w:p>
        </w:tc>
      </w:tr>
      <w:tr w:rsidR="00FA40E8" w14:paraId="7EF4AE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90C391" w14:textId="77777777" w:rsidR="00FA40E8" w:rsidRDefault="00E74AE8">
            <w:pPr>
              <w:pStyle w:val="P68B1DB1-Normal12"/>
              <w:spacing w:before="60" w:after="60"/>
              <w:jc w:val="center"/>
              <w:rPr>
                <w:rFonts w:eastAsia="Times New Roman" w:cs="Times New Roman"/>
                <w:noProof/>
              </w:rPr>
            </w:pPr>
            <w:r>
              <w:rPr>
                <w:noProof/>
              </w:rPr>
              <w:t>76</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AB5BEE" w14:textId="3D6FA28F" w:rsidR="00FA40E8" w:rsidRDefault="00E74AE8">
            <w:pPr>
              <w:pStyle w:val="P68B1DB1-Normal12"/>
              <w:spacing w:before="60" w:after="60"/>
              <w:rPr>
                <w:rFonts w:eastAsia="Times New Roman" w:cs="Times New Roman"/>
                <w:noProof/>
              </w:rPr>
            </w:pPr>
            <w:r>
              <w:rPr>
                <w:noProof/>
              </w:rPr>
              <w:t>C.1.4 Solutions technologiques dans les affaires et la vie quotidienne — C.1.4.2. Numérisation des ressources culturelles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F29387" w14:textId="0C54C7C6"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126242" w14:textId="246362D7" w:rsidR="00FA40E8" w:rsidRDefault="00E74AE8">
            <w:pPr>
              <w:pStyle w:val="P68B1DB1-Normal12"/>
              <w:spacing w:before="60" w:after="60"/>
              <w:rPr>
                <w:rFonts w:eastAsia="Times New Roman" w:cs="Times New Roman"/>
                <w:noProof/>
              </w:rPr>
            </w:pPr>
            <w:r>
              <w:rPr>
                <w:noProof/>
              </w:rPr>
              <w:t xml:space="preserve">Contrats signés avec les propriétaires des ressources culturelles numériques et numérisées pour l’ouverture des ressources et rendus accessibles aux utilisateurs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504B01" w14:textId="07D4F21B"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5A34B7" w14:textId="0F58BAAC"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A511AA" w14:textId="59FE0930" w:rsidR="00FA40E8" w:rsidRDefault="00E74AE8">
            <w:pPr>
              <w:pStyle w:val="P68B1DB1-Normal12"/>
              <w:spacing w:before="60" w:after="60"/>
              <w:jc w:val="center"/>
              <w:rPr>
                <w:rFonts w:eastAsia="Times New Roman"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A3A803" w14:textId="59A8030B" w:rsidR="00FA40E8" w:rsidRDefault="00E74AE8">
            <w:pPr>
              <w:pStyle w:val="P68B1DB1-Normal12"/>
              <w:spacing w:before="60" w:after="60"/>
              <w:jc w:val="center"/>
              <w:rPr>
                <w:rFonts w:eastAsia="Times New Roman" w:cs="Times New Roman"/>
                <w:noProof/>
              </w:rPr>
            </w:pPr>
            <w:r>
              <w:rPr>
                <w:noProof/>
              </w:rPr>
              <w:t>12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713B4E" w14:textId="01B352D4" w:rsidR="00FA40E8" w:rsidRDefault="00E74AE8">
            <w:pPr>
              <w:pStyle w:val="P68B1DB1-Normal12"/>
              <w:spacing w:before="60" w:after="60"/>
              <w:jc w:val="center"/>
              <w:rPr>
                <w:rFonts w:eastAsia="Times New Roman" w:cs="Times New Roman"/>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FCEC5E" w14:textId="577D4111" w:rsidR="00FA40E8" w:rsidRDefault="00E74AE8">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047B23" w14:textId="3F0350A4" w:rsidR="00FA40E8" w:rsidRDefault="00E74AE8">
            <w:pPr>
              <w:pStyle w:val="P68B1DB1-Normal12"/>
              <w:spacing w:before="60" w:after="60"/>
              <w:jc w:val="both"/>
              <w:rPr>
                <w:rFonts w:eastAsia="Times New Roman" w:cs="Times New Roman"/>
                <w:noProof/>
              </w:rPr>
            </w:pPr>
            <w:r>
              <w:rPr>
                <w:noProof/>
              </w:rPr>
              <w:t>Au moins 12 contrats signés avec les propriétaires des ressources cultur</w:t>
            </w:r>
            <w:r>
              <w:rPr>
                <w:noProof/>
              </w:rPr>
              <w:t xml:space="preserve">elles numériques pour l’ouverture des ressources et leur mise à disposition des utilisateurs. </w:t>
            </w:r>
          </w:p>
        </w:tc>
      </w:tr>
      <w:tr w:rsidR="00FA40E8" w14:paraId="0F202E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E6AECF" w14:textId="77777777" w:rsidR="00FA40E8" w:rsidRDefault="00E74AE8">
            <w:pPr>
              <w:pStyle w:val="P68B1DB1-Normal12"/>
              <w:spacing w:before="60" w:after="60"/>
              <w:jc w:val="center"/>
              <w:rPr>
                <w:rFonts w:eastAsia="Times New Roman" w:cs="Times New Roman"/>
                <w:noProof/>
              </w:rPr>
            </w:pPr>
            <w:r>
              <w:rPr>
                <w:noProof/>
              </w:rPr>
              <w:t>77</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CCFB6A" w14:textId="21E7BB9A" w:rsidR="00FA40E8" w:rsidRDefault="00E74AE8">
            <w:pPr>
              <w:pStyle w:val="P68B1DB1-Normal12"/>
              <w:spacing w:before="60" w:after="60"/>
              <w:rPr>
                <w:rFonts w:eastAsia="Times New Roman" w:cs="Times New Roman"/>
                <w:noProof/>
              </w:rPr>
            </w:pPr>
            <w:r>
              <w:rPr>
                <w:noProof/>
              </w:rPr>
              <w:t>C.1.4 I Solutions technologiques dans les affaires et la vie quotidienne — C.1.4.2. Numérisation des ressources culturelles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D5DE88" w14:textId="0E558052"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C6FD1F" w14:textId="01288A02" w:rsidR="00FA40E8" w:rsidRDefault="00E74AE8">
            <w:pPr>
              <w:pStyle w:val="P68B1DB1-Normal12"/>
              <w:spacing w:before="60" w:after="60"/>
              <w:rPr>
                <w:rFonts w:eastAsia="Times New Roman" w:cs="Times New Roman"/>
                <w:noProof/>
              </w:rPr>
            </w:pPr>
            <w:r>
              <w:rPr>
                <w:noProof/>
              </w:rPr>
              <w:t xml:space="preserve">Mise à disposition des ressources culturelles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E94F86" w14:textId="434121AA" w:rsidR="00FA40E8" w:rsidRDefault="00E74AE8">
            <w:pPr>
              <w:pStyle w:val="P68B1DB1-Normal13"/>
              <w:spacing w:before="60" w:after="60"/>
              <w:rPr>
                <w:noProof/>
              </w:rPr>
            </w:pPr>
            <w:r>
              <w:rPr>
                <w:noProof/>
              </w:rPr>
              <w:t>Feuille de culture électronique donnant accès à au moins 12 ressources culturelles numériques</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9CA98A" w14:textId="0B431565"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20CF27" w14:textId="27986CAE"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B7D19B" w14:textId="1D8E1BE7"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F0D0E5" w14:textId="62D4C1D9"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8AB3C3" w14:textId="171D89D6" w:rsidR="00FA40E8" w:rsidRDefault="00E74AE8">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1F201F" w14:textId="281C7F7D" w:rsidR="00FA40E8" w:rsidRDefault="00E74AE8">
            <w:pPr>
              <w:pStyle w:val="P68B1DB1-Normal12"/>
              <w:spacing w:before="60" w:after="60"/>
              <w:jc w:val="both"/>
              <w:rPr>
                <w:rFonts w:eastAsia="Times New Roman" w:cs="Times New Roman"/>
                <w:noProof/>
              </w:rPr>
            </w:pPr>
            <w:r>
              <w:rPr>
                <w:noProof/>
              </w:rPr>
              <w:t>Une plateforme e-Culture donne accès à au moins 12 ressources culturelles numériques.</w:t>
            </w:r>
          </w:p>
        </w:tc>
      </w:tr>
      <w:tr w:rsidR="00FA40E8" w14:paraId="275F33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AEBF16" w14:textId="77777777" w:rsidR="00FA40E8" w:rsidRDefault="00E74AE8">
            <w:pPr>
              <w:pStyle w:val="P68B1DB1-Normal12"/>
              <w:spacing w:before="60" w:after="60"/>
              <w:jc w:val="center"/>
              <w:rPr>
                <w:rFonts w:eastAsia="Times New Roman" w:cs="Times New Roman"/>
                <w:noProof/>
              </w:rPr>
            </w:pPr>
            <w:r>
              <w:rPr>
                <w:noProof/>
              </w:rPr>
              <w:t>78</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59D70" w14:textId="20BD0783" w:rsidR="00FA40E8" w:rsidRDefault="00E74AE8">
            <w:pPr>
              <w:pStyle w:val="P68B1DB1-Normal12"/>
              <w:spacing w:before="60" w:after="60"/>
              <w:rPr>
                <w:rFonts w:eastAsia="Times New Roman" w:cs="Times New Roman"/>
                <w:noProof/>
              </w:rPr>
            </w:pPr>
            <w:r>
              <w:rPr>
                <w:noProof/>
              </w:rPr>
              <w:t xml:space="preserve">C.1.4 I </w:t>
            </w:r>
            <w:r>
              <w:rPr>
                <w:noProof/>
              </w:rPr>
              <w:t>Solutions technologiques dans les affaires et la vie quotidienne — C.1.4.2. Numérisation des ressources culturelles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D5A17C"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A0FD0C" w14:textId="77777777" w:rsidR="00FA40E8" w:rsidRDefault="00E74AE8">
            <w:pPr>
              <w:pStyle w:val="P68B1DB1-Normal12"/>
              <w:spacing w:before="60" w:after="60"/>
              <w:rPr>
                <w:rFonts w:eastAsia="Times New Roman" w:cs="Times New Roman"/>
                <w:noProof/>
              </w:rPr>
            </w:pPr>
            <w:r>
              <w:rPr>
                <w:noProof/>
              </w:rPr>
              <w:t>Ressources numériques (électroniques) mises à la disposition des personnes handicapées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187785" w14:textId="44B45B03"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AE1212" w14:textId="56145F26" w:rsidR="00FA40E8" w:rsidRDefault="00E74AE8">
            <w:pPr>
              <w:pStyle w:val="P68B1DB1-Normal12"/>
              <w:spacing w:before="60" w:after="60"/>
              <w:jc w:val="center"/>
              <w:rPr>
                <w:rFonts w:eastAsia="Times New Roman" w:cs="Times New Roman"/>
                <w:noProof/>
              </w:rPr>
            </w:pPr>
            <w:r>
              <w:rPr>
                <w:noProof/>
              </w:rPr>
              <w:t>%</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FF7ED77" w14:textId="77777777" w:rsidR="00FA40E8" w:rsidRDefault="00E74AE8">
            <w:pPr>
              <w:pStyle w:val="P68B1DB1-Normal12"/>
              <w:spacing w:before="60" w:after="60"/>
              <w:jc w:val="center"/>
              <w:rPr>
                <w:rFonts w:eastAsia="Times New Roman" w:cs="Times New Roman"/>
                <w:noProof/>
              </w:rPr>
            </w:pPr>
            <w:r>
              <w:rPr>
                <w:noProof/>
              </w:rPr>
              <w:t>15 %</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5DDF85" w14:textId="77777777" w:rsidR="00FA40E8" w:rsidRDefault="00E74AE8">
            <w:pPr>
              <w:pStyle w:val="P68B1DB1-Normal12"/>
              <w:spacing w:before="60" w:after="60"/>
              <w:jc w:val="center"/>
              <w:rPr>
                <w:rFonts w:eastAsia="Times New Roman" w:cs="Times New Roman"/>
                <w:noProof/>
              </w:rPr>
            </w:pPr>
            <w:r>
              <w:rPr>
                <w:noProof/>
              </w:rPr>
              <w:t>20 %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54E3BB" w14:textId="50078850" w:rsidR="00FA40E8" w:rsidRDefault="00E74AE8">
            <w:pPr>
              <w:pStyle w:val="P68B1DB1-Normal12"/>
              <w:spacing w:before="60" w:after="60"/>
              <w:jc w:val="center"/>
              <w:rPr>
                <w:rFonts w:eastAsia="Times New Roman" w:cs="Times New Roman"/>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B164C9" w14:textId="2790DF8B" w:rsidR="00FA40E8" w:rsidRDefault="00E74AE8">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4B35E3" w14:textId="4AA09AAC" w:rsidR="00FA40E8" w:rsidRDefault="00E74AE8">
            <w:pPr>
              <w:pStyle w:val="P68B1DB1-Normal13"/>
              <w:spacing w:before="60" w:after="60"/>
              <w:jc w:val="both"/>
              <w:rPr>
                <w:noProof/>
              </w:rPr>
            </w:pPr>
            <w:r>
              <w:rPr>
                <w:noProof/>
              </w:rPr>
              <w:t xml:space="preserve">20 % des livres </w:t>
            </w:r>
            <w:r>
              <w:rPr>
                <w:noProof/>
              </w:rPr>
              <w:t>imprimés publiés par les éditeurs nationaux au cours de l’année de référence sont préparés dans des formats accessibles aux personnes handicapées.</w:t>
            </w:r>
          </w:p>
        </w:tc>
      </w:tr>
      <w:tr w:rsidR="00FA40E8" w14:paraId="48A7C2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43226D" w14:textId="77777777" w:rsidR="00FA40E8" w:rsidRDefault="00E74AE8">
            <w:pPr>
              <w:pStyle w:val="P68B1DB1-Normal12"/>
              <w:spacing w:before="60" w:after="60"/>
              <w:jc w:val="center"/>
              <w:rPr>
                <w:rFonts w:eastAsia="Times New Roman" w:cs="Times New Roman"/>
                <w:noProof/>
              </w:rPr>
            </w:pPr>
            <w:r>
              <w:rPr>
                <w:noProof/>
              </w:rPr>
              <w:t>79</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C71AF" w14:textId="32D4F8FC" w:rsidR="00FA40E8" w:rsidRDefault="00E74AE8">
            <w:pPr>
              <w:pStyle w:val="P68B1DB1-Normal12"/>
              <w:spacing w:before="60" w:after="60"/>
              <w:rPr>
                <w:rFonts w:eastAsia="Times New Roman" w:cs="Times New Roman"/>
                <w:noProof/>
              </w:rPr>
            </w:pPr>
            <w:r>
              <w:rPr>
                <w:noProof/>
              </w:rPr>
              <w:t xml:space="preserve">C.1.4 Solutions technologiques dans les affaires et la vie quotidienne — C.1.4.3. Production de contenus </w:t>
            </w:r>
            <w:r>
              <w:rPr>
                <w:noProof/>
              </w:rPr>
              <w:t>et de ressources pédagogiques numériques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F2285B"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030678" w14:textId="77777777" w:rsidR="00FA40E8" w:rsidRDefault="00E74AE8">
            <w:pPr>
              <w:pStyle w:val="P68B1DB1-Normal12"/>
              <w:spacing w:before="60" w:after="60"/>
              <w:rPr>
                <w:rFonts w:eastAsia="Times New Roman" w:cs="Times New Roman"/>
                <w:noProof/>
              </w:rPr>
            </w:pPr>
            <w:r>
              <w:rPr>
                <w:noProof/>
              </w:rPr>
              <w:t>Mise en service d’installations d’apprentissage numérique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1C1A84" w14:textId="102FA136"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1E32A" w14:textId="77777777"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E4985A" w14:textId="77777777" w:rsidR="00FA40E8" w:rsidRDefault="00E74AE8">
            <w:pPr>
              <w:pStyle w:val="P68B1DB1-Normal12"/>
              <w:spacing w:before="60" w:after="60"/>
              <w:jc w:val="center"/>
              <w:rPr>
                <w:rFonts w:eastAsia="Times New Roman"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B58339" w14:textId="4D016C32" w:rsidR="00FA40E8" w:rsidRDefault="00E74AE8">
            <w:pPr>
              <w:pStyle w:val="P68B1DB1-Normal12"/>
              <w:spacing w:before="60" w:after="60"/>
              <w:jc w:val="center"/>
              <w:rPr>
                <w:rFonts w:eastAsia="Times New Roman" w:cs="Times New Roman"/>
                <w:noProof/>
              </w:rPr>
            </w:pPr>
            <w:r>
              <w:rPr>
                <w:noProof/>
              </w:rPr>
              <w:t>1 704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77E2F8" w14:textId="77777777"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4B25F3" w14:textId="77777777" w:rsidR="00FA40E8" w:rsidRDefault="00E74AE8">
            <w:pPr>
              <w:pStyle w:val="P68B1DB1-Normal12"/>
              <w:spacing w:before="60" w:after="60"/>
              <w:jc w:val="center"/>
              <w:rPr>
                <w:rFonts w:eastAsia="Times New Roman" w:cs="Times New Roman"/>
                <w:noProof/>
              </w:rPr>
            </w:pPr>
            <w:r>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FBBDAA" w14:textId="4269ECFC" w:rsidR="00FA40E8" w:rsidRDefault="00E74AE8">
            <w:pPr>
              <w:pStyle w:val="P68B1DB1-Normal12"/>
              <w:spacing w:before="60" w:after="60"/>
              <w:jc w:val="both"/>
              <w:rPr>
                <w:noProof/>
              </w:rPr>
            </w:pPr>
            <w:r>
              <w:rPr>
                <w:noProof/>
              </w:rPr>
              <w:t xml:space="preserve">Mise en service d’installations d’apprentissage numérique comprenant: I) une plateforme de ressources numériques, ii) 3 </w:t>
            </w:r>
            <w:r>
              <w:rPr>
                <w:noProof/>
              </w:rPr>
              <w:t>prototypes d’apprentissage à distance/mixte ont été développés, testés et mis en œuvre, iii) des salles de conférence (200 unités) et des salles de classe (500 unités) ont été équipées d’équipements d’apprentissage hybrides, iv) des sujets d’étude/modules/</w:t>
            </w:r>
            <w:r>
              <w:rPr>
                <w:noProof/>
              </w:rPr>
              <w:t>missions numérisés ont été livrés en lituanien et/ou en anglais (1 000 unités).</w:t>
            </w:r>
          </w:p>
        </w:tc>
      </w:tr>
      <w:tr w:rsidR="00FA40E8" w14:paraId="566E94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EA0EF6" w14:textId="77777777" w:rsidR="00FA40E8" w:rsidRDefault="00E74AE8">
            <w:pPr>
              <w:pStyle w:val="P68B1DB1-Normal12"/>
              <w:spacing w:before="60" w:after="60"/>
              <w:jc w:val="center"/>
              <w:rPr>
                <w:rFonts w:eastAsia="Times New Roman" w:cs="Times New Roman"/>
                <w:noProof/>
              </w:rPr>
            </w:pPr>
            <w:r>
              <w:rPr>
                <w:noProof/>
              </w:rPr>
              <w:t>80</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4CEC4D" w14:textId="0CD57058" w:rsidR="00FA40E8" w:rsidRDefault="00E74AE8">
            <w:pPr>
              <w:pStyle w:val="P68B1DB1-Normal12"/>
              <w:spacing w:before="60" w:after="60"/>
              <w:rPr>
                <w:rFonts w:eastAsia="Times New Roman" w:cs="Times New Roman"/>
                <w:noProof/>
              </w:rPr>
            </w:pPr>
            <w:r>
              <w:rPr>
                <w:noProof/>
              </w:rPr>
              <w:t>C.1.4 Solutions technologiques dans les affaires et la vie quotidienne — C.1.4.4. Instruments financiers pour la création d’entreprises et l’innovation numérique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122641" w14:textId="77777777"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52751D" w14:textId="77777777" w:rsidR="00FA40E8" w:rsidRDefault="00E74AE8">
            <w:pPr>
              <w:pStyle w:val="P68B1DB1-Normal12"/>
              <w:spacing w:before="60" w:after="60"/>
              <w:rPr>
                <w:rFonts w:eastAsia="Times New Roman" w:cs="Times New Roman"/>
                <w:noProof/>
              </w:rPr>
            </w:pPr>
            <w:r>
              <w:rPr>
                <w:noProof/>
              </w:rPr>
              <w:t>Publication de l’appel d’offres et approbation des conditions de financement pour le développement et le déploiement de solutions technologiques innovantes dans les entreprises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63A9C8" w14:textId="77777777" w:rsidR="00FA40E8" w:rsidRDefault="00E74AE8">
            <w:pPr>
              <w:pStyle w:val="P68B1DB1-Normal12"/>
              <w:spacing w:before="60" w:after="60"/>
              <w:rPr>
                <w:rFonts w:eastAsia="Times New Roman" w:cs="Times New Roman"/>
                <w:noProof/>
              </w:rPr>
            </w:pPr>
            <w:r>
              <w:rPr>
                <w:noProof/>
              </w:rPr>
              <w:t xml:space="preserve">Publication de l’appel d’offres </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754C1A" w14:textId="0EAB5140"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F55164" w14:textId="2BF91BC6"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406243" w14:textId="1B3DC69C"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0684A0" w14:textId="77777777" w:rsidR="00FA40E8" w:rsidRDefault="00E74AE8">
            <w:pPr>
              <w:pStyle w:val="P68B1DB1-Normal12"/>
              <w:spacing w:before="60" w:after="60"/>
              <w:jc w:val="center"/>
              <w:rPr>
                <w:rFonts w:eastAsia="Times New Roman" w:cs="Times New Roman"/>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1AB142" w14:textId="77777777" w:rsidR="00FA40E8" w:rsidRDefault="00E74AE8">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0F2796" w14:textId="77777777" w:rsidR="00FA40E8" w:rsidRDefault="00E74AE8">
            <w:pPr>
              <w:pStyle w:val="P68B1DB1-Normal12"/>
              <w:spacing w:before="60" w:after="60"/>
              <w:jc w:val="both"/>
              <w:rPr>
                <w:rFonts w:eastAsia="Times New Roman" w:cs="Times New Roman"/>
                <w:noProof/>
              </w:rPr>
            </w:pPr>
            <w:r>
              <w:rPr>
                <w:noProof/>
              </w:rPr>
              <w:t xml:space="preserve">Publication de l’appel d’offres et </w:t>
            </w:r>
            <w:r>
              <w:rPr>
                <w:noProof/>
              </w:rPr>
              <w:t>approbation des conditions de financement par le ministère de l’économie et de l’innovation ou ordre du directeur de l’Agence pour la science, l’innovation et la technologie.</w:t>
            </w:r>
          </w:p>
        </w:tc>
      </w:tr>
      <w:tr w:rsidR="00FA40E8" w14:paraId="475D16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310DEE" w14:textId="77777777" w:rsidR="00FA40E8" w:rsidRDefault="00E74AE8">
            <w:pPr>
              <w:pStyle w:val="P68B1DB1-Normal12"/>
              <w:spacing w:before="60" w:after="60"/>
              <w:jc w:val="center"/>
              <w:rPr>
                <w:rFonts w:eastAsia="Times New Roman" w:cs="Times New Roman"/>
                <w:noProof/>
              </w:rPr>
            </w:pPr>
            <w:r>
              <w:rPr>
                <w:noProof/>
              </w:rPr>
              <w:t>81</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F0514E" w14:textId="58A27BFC" w:rsidR="00FA40E8" w:rsidRDefault="00E74AE8">
            <w:pPr>
              <w:pStyle w:val="P68B1DB1-Normal12"/>
              <w:spacing w:before="60" w:after="60"/>
              <w:rPr>
                <w:rFonts w:eastAsia="Times New Roman" w:cs="Times New Roman"/>
                <w:noProof/>
              </w:rPr>
            </w:pPr>
            <w:r>
              <w:rPr>
                <w:noProof/>
              </w:rPr>
              <w:t xml:space="preserve">C.1.4 Solutions technologiques dans les affaires et la vie quotidienne — </w:t>
            </w:r>
            <w:r>
              <w:rPr>
                <w:noProof/>
              </w:rPr>
              <w:t>C.1.4.4. Instruments financiers pour la création d’entreprises et l’innovation numérique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C0244"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FB7E1" w14:textId="551B15C8" w:rsidR="00FA40E8" w:rsidRDefault="00E74AE8">
            <w:pPr>
              <w:pStyle w:val="P68B1DB1-Normal12"/>
              <w:spacing w:before="60" w:after="60"/>
              <w:rPr>
                <w:rFonts w:eastAsia="Times New Roman" w:cs="Times New Roman"/>
                <w:noProof/>
              </w:rPr>
            </w:pPr>
            <w:r>
              <w:rPr>
                <w:noProof/>
              </w:rPr>
              <w:t>Signature de contrats pour des incitations financières à la création d’entreprises et à l’innovation numérique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5E1007" w14:textId="77777777"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99957D" w14:textId="77777777"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08B80C" w14:textId="77777777" w:rsidR="00FA40E8" w:rsidRDefault="00E74AE8">
            <w:pPr>
              <w:pStyle w:val="P68B1DB1-Normal12"/>
              <w:spacing w:before="60" w:after="60"/>
              <w:jc w:val="center"/>
              <w:rPr>
                <w:rFonts w:eastAsia="Times New Roman"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8983D2" w14:textId="0B1F89D4" w:rsidR="00FA40E8" w:rsidRDefault="00E74AE8">
            <w:pPr>
              <w:pStyle w:val="P68B1DB1-Normal12"/>
              <w:spacing w:before="60" w:after="60"/>
              <w:jc w:val="center"/>
              <w:rPr>
                <w:rFonts w:eastAsia="Times New Roman" w:cs="Times New Roman"/>
                <w:noProof/>
              </w:rPr>
            </w:pPr>
            <w:r>
              <w:rPr>
                <w:noProof/>
              </w:rPr>
              <w:t>194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2D281" w14:textId="77777777" w:rsidR="00FA40E8" w:rsidRDefault="00E74AE8">
            <w:pPr>
              <w:pStyle w:val="P68B1DB1-Normal12"/>
              <w:spacing w:before="60" w:after="60"/>
              <w:jc w:val="center"/>
              <w:rPr>
                <w:rFonts w:eastAsia="Times New Roman" w:cs="Times New Roman"/>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A24FB8" w14:textId="77777777" w:rsidR="00FA40E8" w:rsidRDefault="00E74AE8">
            <w:pPr>
              <w:pStyle w:val="P68B1DB1-Normal12"/>
              <w:spacing w:before="60" w:after="60"/>
              <w:jc w:val="center"/>
              <w:rPr>
                <w:rFonts w:eastAsia="Times New Roman" w:cs="Times New Roman"/>
                <w:noProof/>
              </w:rPr>
            </w:pPr>
            <w:r>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24A622" w14:textId="3103122C" w:rsidR="00FA40E8" w:rsidRDefault="00E74AE8">
            <w:pPr>
              <w:pStyle w:val="P68B1DB1-Normal12"/>
              <w:spacing w:before="60" w:after="60"/>
              <w:jc w:val="both"/>
              <w:rPr>
                <w:rFonts w:eastAsia="Times New Roman" w:cs="Times New Roman"/>
                <w:noProof/>
              </w:rPr>
            </w:pPr>
            <w:r>
              <w:rPr>
                <w:noProof/>
              </w:rPr>
              <w:t xml:space="preserve">Signature de contrats </w:t>
            </w:r>
            <w:r>
              <w:rPr>
                <w:noProof/>
              </w:rPr>
              <w:t>pour des incitations financières à la création d’entreprises et à l’innovation numérique:</w:t>
            </w:r>
          </w:p>
          <w:p w14:paraId="1D263390" w14:textId="5DDCF740" w:rsidR="00FA40E8" w:rsidRDefault="00E74AE8">
            <w:pPr>
              <w:pStyle w:val="P68B1DB1-Normal12"/>
              <w:spacing w:before="60" w:after="60"/>
              <w:jc w:val="both"/>
              <w:rPr>
                <w:rFonts w:eastAsia="Times New Roman" w:cs="Times New Roman"/>
                <w:noProof/>
              </w:rPr>
            </w:pPr>
            <w:r>
              <w:rPr>
                <w:noProof/>
              </w:rPr>
              <w:t>1) 12 contrats d’incitation financière pour les centres de services aux entreprises afin de déployer des solutions d’automatisation des processus de robotique et d’in</w:t>
            </w:r>
            <w:r>
              <w:rPr>
                <w:noProof/>
              </w:rPr>
              <w:t>telligence artificielle.</w:t>
            </w:r>
          </w:p>
          <w:p w14:paraId="68F2D833" w14:textId="0E5A9087" w:rsidR="00FA40E8" w:rsidRDefault="00E74AE8">
            <w:pPr>
              <w:pStyle w:val="P68B1DB1-Normal12"/>
              <w:spacing w:before="60" w:after="60"/>
              <w:jc w:val="both"/>
              <w:rPr>
                <w:rFonts w:eastAsia="Times New Roman" w:cs="Times New Roman"/>
                <w:noProof/>
              </w:rPr>
            </w:pPr>
            <w:r>
              <w:rPr>
                <w:noProof/>
              </w:rPr>
              <w:t>2) 182 contrats d’incitation financière pour les jeunes pousses et les entreprises issues de l’essaimage afin de développer des produits et des solutions pour l’intelligence artificielle, les technologies des chaînes de blocs ou l’</w:t>
            </w:r>
            <w:r>
              <w:rPr>
                <w:noProof/>
              </w:rPr>
              <w:t>automatisation des processus robotiques.</w:t>
            </w:r>
          </w:p>
        </w:tc>
      </w:tr>
      <w:tr w:rsidR="00FA40E8" w14:paraId="3754E3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43CDB1" w14:textId="77777777" w:rsidR="00FA40E8" w:rsidRDefault="00E74AE8">
            <w:pPr>
              <w:pStyle w:val="P68B1DB1-Normal12"/>
              <w:spacing w:before="60" w:after="60"/>
              <w:jc w:val="center"/>
              <w:rPr>
                <w:rFonts w:eastAsia="Times New Roman" w:cs="Times New Roman"/>
                <w:noProof/>
              </w:rPr>
            </w:pPr>
            <w:r>
              <w:rPr>
                <w:noProof/>
              </w:rPr>
              <w:t>82</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36E73B" w14:textId="4AD53CF3" w:rsidR="00FA40E8" w:rsidRDefault="00E74AE8">
            <w:pPr>
              <w:pStyle w:val="P68B1DB1-Normal12"/>
              <w:spacing w:before="60" w:after="60"/>
              <w:rPr>
                <w:rFonts w:eastAsia="Times New Roman" w:cs="Times New Roman"/>
                <w:noProof/>
              </w:rPr>
            </w:pPr>
            <w:r>
              <w:rPr>
                <w:noProof/>
              </w:rPr>
              <w:t>C.1.4 Solutions technologiques dans les affaires et la vie quotidienne — C.1.4.5. Centre d’excellence TIC</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51736F"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C66195" w14:textId="71900327" w:rsidR="00FA40E8" w:rsidRDefault="00E74AE8">
            <w:pPr>
              <w:pStyle w:val="P68B1DB1-Normal12"/>
              <w:spacing w:before="60" w:after="60"/>
              <w:rPr>
                <w:rFonts w:eastAsia="Times New Roman" w:cs="Times New Roman"/>
                <w:noProof/>
              </w:rPr>
            </w:pPr>
            <w:r>
              <w:rPr>
                <w:noProof/>
              </w:rPr>
              <w:t xml:space="preserve">Construction d’un centre de R &amp; D dans le domaine des TIC et fourniture d’équipements de R &amp; D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9A7F6C" w14:textId="06EE7229"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173A76" w14:textId="77777777"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2A8DBE" w14:textId="77777777" w:rsidR="00FA40E8" w:rsidRDefault="00E74AE8">
            <w:pPr>
              <w:pStyle w:val="P68B1DB1-Normal12"/>
              <w:spacing w:before="60" w:after="60"/>
              <w:jc w:val="center"/>
              <w:rPr>
                <w:rFonts w:eastAsia="Times New Roman"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8C99CD" w14:textId="77777777" w:rsidR="00FA40E8" w:rsidRDefault="00E74AE8">
            <w:pPr>
              <w:pStyle w:val="P68B1DB1-Normal12"/>
              <w:spacing w:before="60" w:after="60"/>
              <w:jc w:val="center"/>
              <w:rPr>
                <w:rFonts w:eastAsia="Times New Roman" w:cs="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F516E7" w14:textId="3CD5D6F2"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C760E" w14:textId="72A3CB6A" w:rsidR="00FA40E8" w:rsidRDefault="00E74AE8">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C9E4A2" w14:textId="10BFA8FB" w:rsidR="00FA40E8" w:rsidRDefault="00E74AE8">
            <w:pPr>
              <w:pStyle w:val="P68B1DB1-Normal12"/>
              <w:spacing w:before="60" w:after="60"/>
              <w:jc w:val="both"/>
              <w:rPr>
                <w:rFonts w:eastAsia="Times New Roman" w:cs="Times New Roman"/>
                <w:noProof/>
              </w:rPr>
            </w:pPr>
            <w:r>
              <w:rPr>
                <w:noProof/>
              </w:rPr>
              <w:t xml:space="preserve">Construction d’un centre de R &amp; D dans le domaine des TIC et fourniture d’équipements de R &amp; D. </w:t>
            </w:r>
          </w:p>
        </w:tc>
      </w:tr>
      <w:tr w:rsidR="00FA40E8" w14:paraId="51EA5F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B25933" w14:textId="77777777" w:rsidR="00FA40E8" w:rsidRDefault="00E74AE8">
            <w:pPr>
              <w:pStyle w:val="P68B1DB1-Normal12"/>
              <w:spacing w:before="60" w:after="60"/>
              <w:jc w:val="center"/>
              <w:rPr>
                <w:rFonts w:eastAsia="Times New Roman" w:cs="Times New Roman"/>
                <w:noProof/>
              </w:rPr>
            </w:pPr>
            <w:r>
              <w:rPr>
                <w:noProof/>
              </w:rPr>
              <w:t>83</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4DD8F" w14:textId="77777777" w:rsidR="00FA40E8" w:rsidRDefault="00E74AE8">
            <w:pPr>
              <w:pStyle w:val="P68B1DB1-Normal12"/>
              <w:spacing w:before="60" w:after="60"/>
              <w:rPr>
                <w:rFonts w:eastAsia="Times New Roman" w:cs="Times New Roman"/>
                <w:noProof/>
              </w:rPr>
            </w:pPr>
            <w:r>
              <w:rPr>
                <w:noProof/>
              </w:rPr>
              <w:t>C.1.5 Étape vers la 5G — C.1.5.1. Feuille de route pour la 5G</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847D3B" w14:textId="77777777"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C528CF" w14:textId="77777777" w:rsidR="00FA40E8" w:rsidRDefault="00E74AE8">
            <w:pPr>
              <w:pStyle w:val="P68B1DB1-Normal12"/>
              <w:spacing w:before="60" w:after="60"/>
              <w:rPr>
                <w:rFonts w:eastAsia="Times New Roman" w:cs="Times New Roman"/>
                <w:noProof/>
              </w:rPr>
            </w:pPr>
            <w:r>
              <w:rPr>
                <w:noProof/>
              </w:rPr>
              <w:t>Radiofréquences assignées pour le déploiement des réseaux 5G</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BB6803" w14:textId="77777777" w:rsidR="00FA40E8" w:rsidRDefault="00E74AE8">
            <w:pPr>
              <w:pStyle w:val="P68B1DB1-Normal12"/>
              <w:spacing w:before="60" w:after="60"/>
              <w:rPr>
                <w:rFonts w:eastAsia="Times New Roman" w:cs="Times New Roman"/>
                <w:noProof/>
              </w:rPr>
            </w:pPr>
            <w:r>
              <w:rPr>
                <w:noProof/>
              </w:rPr>
              <w:t>Radiofréquences assignées</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921AA0" w14:textId="4E64F783"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14364F" w14:textId="46B2A4B1"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4216E" w14:textId="049E4466"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3363A8" w14:textId="77777777" w:rsidR="00FA40E8" w:rsidRDefault="00E74AE8">
            <w:pPr>
              <w:pStyle w:val="P68B1DB1-Normal12"/>
              <w:spacing w:before="60" w:after="60"/>
              <w:jc w:val="center"/>
              <w:rPr>
                <w:rFonts w:eastAsia="Times New Roman" w:cs="Times New Roman"/>
                <w:noProof/>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83170B" w14:textId="77777777" w:rsidR="00FA40E8" w:rsidRDefault="00E74AE8">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7FA4E" w14:textId="77777777" w:rsidR="00FA40E8" w:rsidRDefault="00E74AE8">
            <w:pPr>
              <w:pStyle w:val="P68B1DB1-Normal12"/>
              <w:spacing w:before="60" w:after="60"/>
              <w:jc w:val="both"/>
              <w:rPr>
                <w:rFonts w:eastAsia="Times New Roman" w:cs="Times New Roman"/>
                <w:noProof/>
              </w:rPr>
            </w:pPr>
            <w:r>
              <w:rPr>
                <w:noProof/>
              </w:rPr>
              <w:t>Ventes aux enchères effectuées et autorisations accordées pour l’utilisation de radiofréquences (canaux) dans les bandes 3400-3 800 MHz et 694-790 MHz.</w:t>
            </w:r>
          </w:p>
        </w:tc>
      </w:tr>
      <w:tr w:rsidR="00FA40E8" w14:paraId="1C3629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4F16FA" w14:textId="77777777" w:rsidR="00FA40E8" w:rsidRDefault="00E74AE8">
            <w:pPr>
              <w:pStyle w:val="P68B1DB1-Normal12"/>
              <w:spacing w:before="60" w:after="60"/>
              <w:jc w:val="center"/>
              <w:rPr>
                <w:rFonts w:eastAsia="Times New Roman" w:cs="Times New Roman"/>
                <w:noProof/>
              </w:rPr>
            </w:pPr>
            <w:r>
              <w:rPr>
                <w:noProof/>
              </w:rPr>
              <w:t>84</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3146F2" w14:textId="77777777" w:rsidR="00FA40E8" w:rsidRDefault="00E74AE8">
            <w:pPr>
              <w:pStyle w:val="P68B1DB1-Normal12"/>
              <w:spacing w:before="60" w:after="60"/>
              <w:rPr>
                <w:rFonts w:eastAsia="Times New Roman" w:cs="Times New Roman"/>
                <w:noProof/>
              </w:rPr>
            </w:pPr>
            <w:r>
              <w:rPr>
                <w:noProof/>
              </w:rPr>
              <w:t>C.1.5 Étape vers la 5G — C.1.5.1. Feuille de route pour la 5G</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7B6864" w14:textId="77777777"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6079D4" w14:textId="0F846A5C" w:rsidR="00FA40E8" w:rsidRDefault="00E74AE8">
            <w:pPr>
              <w:pStyle w:val="P68B1DB1-Normal12"/>
              <w:spacing w:before="60" w:after="60"/>
              <w:rPr>
                <w:noProof/>
              </w:rPr>
            </w:pPr>
            <w:r>
              <w:rPr>
                <w:noProof/>
              </w:rPr>
              <w:t>Entrée en vigueur des modifications des lois pertinentes permettant une installation plus rapide de l’infrastructure de communications électroniques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2E8804" w14:textId="77777777" w:rsidR="00FA40E8" w:rsidRDefault="00E74AE8">
            <w:pPr>
              <w:pStyle w:val="P68B1DB1-Normal12"/>
              <w:spacing w:before="60" w:after="60"/>
              <w:rPr>
                <w:rFonts w:eastAsia="Times New Roman" w:cs="Times New Roman"/>
                <w:noProof/>
              </w:rPr>
            </w:pPr>
            <w:r>
              <w:rPr>
                <w:noProof/>
              </w:rPr>
              <w:t>Entrée en vigueur de la législation</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24DEAB" w14:textId="3AF8396E"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7EF81A" w14:textId="28936E39"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00B6D7" w14:textId="127834EF"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33530" w14:textId="77777777"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CC5F88" w14:textId="77777777" w:rsidR="00FA40E8" w:rsidRDefault="00E74AE8">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79D03A" w14:textId="77777777" w:rsidR="00FA40E8" w:rsidRDefault="00E74AE8">
            <w:pPr>
              <w:pStyle w:val="P68B1DB1-Normal12"/>
              <w:spacing w:before="60" w:after="60"/>
              <w:jc w:val="both"/>
              <w:rPr>
                <w:rFonts w:eastAsia="Times New Roman" w:cs="Times New Roman"/>
                <w:noProof/>
              </w:rPr>
            </w:pPr>
            <w:r>
              <w:rPr>
                <w:noProof/>
              </w:rPr>
              <w:t>Entrée en vigueur des modifications relatives aux exig</w:t>
            </w:r>
            <w:r>
              <w:rPr>
                <w:noProof/>
              </w:rPr>
              <w:t>ences des règlements techniques de construction et à l’installation de l’infrastructure de communications électroniques afin de promouvoir la disponibilité des services publics de communications mobiles dans tous les locaux des bâtiments publics et de faci</w:t>
            </w:r>
            <w:r>
              <w:rPr>
                <w:noProof/>
              </w:rPr>
              <w:t>liter le déploiement de réseaux de communications publics dans les voies routières nationales et municipales, les places, les ponts, les viaducs et les tunnels.</w:t>
            </w:r>
          </w:p>
        </w:tc>
      </w:tr>
      <w:tr w:rsidR="00FA40E8" w14:paraId="773EE7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E3B519" w14:textId="77777777" w:rsidR="00FA40E8" w:rsidRDefault="00E74AE8">
            <w:pPr>
              <w:pStyle w:val="P68B1DB1-Normal12"/>
              <w:spacing w:before="60" w:after="60"/>
              <w:jc w:val="center"/>
              <w:rPr>
                <w:rFonts w:eastAsia="Times New Roman" w:cs="Times New Roman"/>
                <w:noProof/>
              </w:rPr>
            </w:pPr>
            <w:r>
              <w:rPr>
                <w:noProof/>
              </w:rPr>
              <w:t>85</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75B7F" w14:textId="77777777" w:rsidR="00FA40E8" w:rsidRDefault="00E74AE8">
            <w:pPr>
              <w:pStyle w:val="P68B1DB1-Normal12"/>
              <w:spacing w:before="60" w:after="60"/>
              <w:rPr>
                <w:rFonts w:eastAsia="Times New Roman" w:cs="Times New Roman"/>
                <w:noProof/>
              </w:rPr>
            </w:pPr>
            <w:r>
              <w:rPr>
                <w:noProof/>
              </w:rPr>
              <w:t>C.1.5 Étape vers la 5G — C.1.5.1. Feuille de route pour la 5G</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DE1B1"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7812E0" w14:textId="23C2683F" w:rsidR="00FA40E8" w:rsidRDefault="00E74AE8">
            <w:pPr>
              <w:pStyle w:val="P68B1DB1-Normal12"/>
              <w:spacing w:before="60" w:after="60"/>
              <w:rPr>
                <w:rFonts w:eastAsia="Times New Roman" w:cs="Times New Roman"/>
                <w:noProof/>
              </w:rPr>
            </w:pPr>
            <w:r>
              <w:rPr>
                <w:noProof/>
              </w:rPr>
              <w:t>Services 5G dans les</w:t>
            </w:r>
            <w:r>
              <w:rPr>
                <w:noProof/>
              </w:rPr>
              <w:t xml:space="preserve"> zones urbaines et autres axes routiers et ferroviaires d’importance nationale, aéroports et ports maritimes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78F178" w14:textId="628E2D1F"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D4571E" w14:textId="5FBFF7B1" w:rsidR="00FA40E8" w:rsidRDefault="00E74AE8">
            <w:pPr>
              <w:pStyle w:val="P68B1DB1-Normal12"/>
              <w:spacing w:before="60" w:after="60"/>
              <w:jc w:val="center"/>
              <w:rPr>
                <w:rFonts w:eastAsia="Times New Roman" w:cs="Times New Roman"/>
                <w:noProof/>
              </w:rPr>
            </w:pPr>
            <w:r>
              <w:rPr>
                <w:noProof/>
              </w:rPr>
              <w:t>%</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1F0186" w14:textId="77777777" w:rsidR="00FA40E8" w:rsidRDefault="00E74AE8">
            <w:pPr>
              <w:pStyle w:val="P68B1DB1-Normal12"/>
              <w:spacing w:before="60" w:after="60"/>
              <w:jc w:val="center"/>
              <w:rPr>
                <w:rFonts w:eastAsia="Times New Roman"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8A5389" w14:textId="77777777" w:rsidR="00FA40E8" w:rsidRDefault="00E74AE8">
            <w:pPr>
              <w:pStyle w:val="P68B1DB1-Normal12"/>
              <w:spacing w:before="60" w:after="60"/>
              <w:jc w:val="center"/>
              <w:rPr>
                <w:rFonts w:eastAsia="Times New Roman" w:cs="Times New Roman"/>
                <w:noProof/>
              </w:rPr>
            </w:pPr>
            <w:r>
              <w:rPr>
                <w:noProof/>
              </w:rPr>
              <w:t>95</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B39127" w14:textId="77777777" w:rsidR="00FA40E8" w:rsidRDefault="00E74AE8">
            <w:pPr>
              <w:pStyle w:val="P68B1DB1-Normal12"/>
              <w:spacing w:before="60" w:after="60"/>
              <w:jc w:val="center"/>
              <w:rPr>
                <w:rFonts w:eastAsia="Times New Roman" w:cs="Times New Roman"/>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D44BAD" w14:textId="77777777" w:rsidR="00FA40E8" w:rsidRDefault="00E74AE8">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6802C3" w14:textId="712DF7D2" w:rsidR="00FA40E8" w:rsidRDefault="00E74AE8">
            <w:pPr>
              <w:pStyle w:val="P68B1DB1-Normal12"/>
              <w:spacing w:before="60" w:after="60"/>
              <w:jc w:val="both"/>
              <w:rPr>
                <w:rFonts w:eastAsia="Times New Roman" w:cs="Times New Roman"/>
                <w:noProof/>
              </w:rPr>
            </w:pPr>
            <w:r>
              <w:rPr>
                <w:noProof/>
              </w:rPr>
              <w:t xml:space="preserve">Les services 5G sont disponibles dans le commerce en moyenne sur 95 % du territoire des zones urbaines, des corridors </w:t>
            </w:r>
            <w:r>
              <w:rPr>
                <w:noProof/>
              </w:rPr>
              <w:t>internationaux de transport terrestre (Via Baltica, Rail Baltica), des routes principales et des lignes ferroviaires d’importance nationale, des aéroports et des ports maritimes.</w:t>
            </w:r>
          </w:p>
        </w:tc>
      </w:tr>
      <w:tr w:rsidR="00FA40E8" w14:paraId="200003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3A505" w14:textId="77777777" w:rsidR="00FA40E8" w:rsidRDefault="00E74AE8">
            <w:pPr>
              <w:pStyle w:val="P68B1DB1-Normal12"/>
              <w:spacing w:before="60" w:after="60"/>
              <w:jc w:val="center"/>
              <w:rPr>
                <w:rFonts w:eastAsia="Times New Roman" w:cs="Times New Roman"/>
                <w:noProof/>
              </w:rPr>
            </w:pPr>
            <w:r>
              <w:rPr>
                <w:noProof/>
              </w:rPr>
              <w:t>88</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0E6830" w14:textId="0B892928" w:rsidR="00FA40E8" w:rsidRDefault="00E74AE8">
            <w:pPr>
              <w:pStyle w:val="P68B1DB1-Normal12"/>
              <w:spacing w:before="60" w:after="60"/>
              <w:rPr>
                <w:rFonts w:eastAsia="Times New Roman" w:cs="Times New Roman"/>
                <w:noProof/>
              </w:rPr>
            </w:pPr>
            <w:r>
              <w:rPr>
                <w:noProof/>
              </w:rPr>
              <w:t>C.1.5 Étape vers la 5G — C.1.5.2. Poursuite de la construction de réseaux</w:t>
            </w:r>
            <w:r>
              <w:rPr>
                <w:noProof/>
              </w:rPr>
              <w:t xml:space="preserve"> de connexion à haut débit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BFDC31"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6F2D14" w14:textId="4A55EEEF" w:rsidR="00FA40E8" w:rsidRDefault="00E74AE8">
            <w:pPr>
              <w:pStyle w:val="P68B1DB1-Normal12"/>
              <w:spacing w:before="60" w:after="60"/>
              <w:rPr>
                <w:rFonts w:eastAsia="Times New Roman" w:cs="Times New Roman"/>
                <w:noProof/>
              </w:rPr>
            </w:pPr>
            <w:r>
              <w:rPr>
                <w:noProof/>
              </w:rPr>
              <w:t>Connexion à grande vitesse avec les acteurs socio-économiques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1139C" w14:textId="77777777"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FA1C1E" w14:textId="77777777"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157992" w14:textId="77777777" w:rsidR="00FA40E8" w:rsidRDefault="00E74AE8">
            <w:pPr>
              <w:pStyle w:val="P68B1DB1-Normal12"/>
              <w:spacing w:before="60" w:after="60"/>
              <w:jc w:val="center"/>
              <w:rPr>
                <w:rFonts w:eastAsia="Times New Roman"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E5CB9A" w14:textId="6D16ED1E" w:rsidR="00FA40E8" w:rsidRDefault="00E74AE8">
            <w:pPr>
              <w:pStyle w:val="P68B1DB1-Normal12"/>
              <w:spacing w:before="60" w:after="60"/>
              <w:jc w:val="center"/>
              <w:rPr>
                <w:rFonts w:eastAsia="Times New Roman" w:cs="Times New Roman"/>
                <w:noProof/>
              </w:rPr>
            </w:pPr>
            <w:r>
              <w:rPr>
                <w:noProof/>
              </w:rPr>
              <w:t>5 000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C0ACA3" w14:textId="2672EB89"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ABACF3" w14:textId="21C2AE8E" w:rsidR="00FA40E8" w:rsidRDefault="00E74AE8">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16C7E8" w14:textId="6C8449DC" w:rsidR="00FA40E8" w:rsidRDefault="00E74AE8">
            <w:pPr>
              <w:pStyle w:val="P68B1DB1-Normal12"/>
              <w:spacing w:before="60" w:after="60"/>
              <w:jc w:val="both"/>
              <w:rPr>
                <w:rFonts w:eastAsia="Times New Roman" w:cs="Times New Roman"/>
                <w:noProof/>
              </w:rPr>
            </w:pPr>
            <w:r>
              <w:rPr>
                <w:noProof/>
              </w:rPr>
              <w:t xml:space="preserve">Certificats d’achèvement des travaux d’installation de câbles à fibres optiques de connexion à grande vitesse pour 5 000 acteurs socio-économiques dans les zones rurales. </w:t>
            </w:r>
          </w:p>
        </w:tc>
      </w:tr>
      <w:tr w:rsidR="00FA40E8" w14:paraId="5E3ED1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48F0F" w14:textId="77777777" w:rsidR="00FA40E8" w:rsidRDefault="00E74AE8">
            <w:pPr>
              <w:pStyle w:val="P68B1DB1-Normal12"/>
              <w:spacing w:before="60" w:after="60"/>
              <w:jc w:val="center"/>
              <w:rPr>
                <w:rFonts w:eastAsia="Times New Roman" w:cs="Times New Roman"/>
                <w:noProof/>
              </w:rPr>
            </w:pPr>
            <w:r>
              <w:rPr>
                <w:noProof/>
              </w:rPr>
              <w:t>89</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10146" w14:textId="77777777" w:rsidR="00FA40E8" w:rsidRDefault="00E74AE8">
            <w:pPr>
              <w:pStyle w:val="P68B1DB1-Normal12"/>
              <w:spacing w:before="60" w:after="60"/>
              <w:rPr>
                <w:rFonts w:eastAsia="Times New Roman" w:cs="Times New Roman"/>
                <w:noProof/>
              </w:rPr>
            </w:pPr>
            <w:r>
              <w:rPr>
                <w:noProof/>
              </w:rPr>
              <w:t>C.1.5 Étape vers la 5G — C.1.5.3. Innovation en matière de mobilité</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4AB790" w14:textId="77777777" w:rsidR="00FA40E8" w:rsidRDefault="00E74AE8">
            <w:pPr>
              <w:pStyle w:val="P68B1DB1-Normal12"/>
              <w:spacing w:before="60" w:after="60"/>
              <w:jc w:val="center"/>
              <w:rPr>
                <w:rFonts w:eastAsia="Times New Roman" w:cs="Times New Roman"/>
                <w:noProof/>
              </w:rPr>
            </w:pPr>
            <w:r>
              <w:rPr>
                <w:noProof/>
              </w:rPr>
              <w:t>Étape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1070C" w14:textId="77777777" w:rsidR="00FA40E8" w:rsidRDefault="00E74AE8">
            <w:pPr>
              <w:pStyle w:val="P68B1DB1-Normal12"/>
              <w:spacing w:before="60" w:after="60"/>
              <w:rPr>
                <w:rFonts w:eastAsia="Times New Roman" w:cs="Times New Roman"/>
                <w:noProof/>
              </w:rPr>
            </w:pPr>
            <w:r>
              <w:rPr>
                <w:noProof/>
              </w:rPr>
              <w:t>Désigner une autorité compétente pour la gestion des mesures d’innovation dans le domaine des transports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283B63" w14:textId="3E388851"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7B319C" w14:textId="7FD15E74" w:rsidR="00FA40E8" w:rsidRDefault="00FA40E8">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2B160D" w14:textId="667A6068" w:rsidR="00FA40E8" w:rsidRDefault="00FA40E8">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F9A52C" w14:textId="30B9E45C"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426885" w14:textId="77777777"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B0807F" w14:textId="77777777" w:rsidR="00FA40E8" w:rsidRDefault="00E74AE8">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3E5B3B" w14:textId="77777777" w:rsidR="00FA40E8" w:rsidRDefault="00E74AE8">
            <w:pPr>
              <w:pStyle w:val="P68B1DB1-Normal12"/>
              <w:spacing w:before="60" w:after="60"/>
              <w:jc w:val="both"/>
              <w:rPr>
                <w:rFonts w:eastAsia="Times New Roman" w:cs="Times New Roman"/>
                <w:noProof/>
              </w:rPr>
            </w:pPr>
            <w:r>
              <w:rPr>
                <w:noProof/>
              </w:rPr>
              <w:t>Désignation d’une autorité compétente qui établit le programme d’activités à financer ainsi que les conditions et les critères de sélection</w:t>
            </w:r>
            <w:r>
              <w:rPr>
                <w:noProof/>
              </w:rPr>
              <w:t xml:space="preserve"> de la procédure de mise en concurrence pour l’innovation dans le domaine de la mobilité.</w:t>
            </w:r>
          </w:p>
        </w:tc>
      </w:tr>
      <w:tr w:rsidR="00FA40E8" w14:paraId="7B205E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9D201" w14:textId="77777777" w:rsidR="00FA40E8" w:rsidRDefault="00E74AE8">
            <w:pPr>
              <w:pStyle w:val="P68B1DB1-Normal12"/>
              <w:spacing w:before="60" w:after="60"/>
              <w:jc w:val="center"/>
              <w:rPr>
                <w:rFonts w:eastAsia="Times New Roman" w:cs="Times New Roman"/>
                <w:noProof/>
              </w:rPr>
            </w:pPr>
            <w:r>
              <w:rPr>
                <w:noProof/>
              </w:rPr>
              <w:t>90</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2A433B" w14:textId="77777777" w:rsidR="00FA40E8" w:rsidRDefault="00E74AE8">
            <w:pPr>
              <w:pStyle w:val="P68B1DB1-Normal12"/>
              <w:spacing w:before="60" w:after="60"/>
              <w:rPr>
                <w:rFonts w:eastAsia="Times New Roman" w:cs="Times New Roman"/>
                <w:noProof/>
              </w:rPr>
            </w:pPr>
            <w:r>
              <w:rPr>
                <w:noProof/>
              </w:rPr>
              <w:t>C.1.5 Étape vers la 5G — C.1.5.3. Innovation en matière de mobilité</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622A97" w14:textId="77777777" w:rsidR="00FA40E8" w:rsidRDefault="00E74AE8">
            <w:pPr>
              <w:pStyle w:val="P68B1DB1-Normal12"/>
              <w:spacing w:before="60" w:after="60"/>
              <w:jc w:val="center"/>
              <w:rPr>
                <w:rFonts w:eastAsia="Times New Roman" w:cs="Times New Roman"/>
                <w:noProof/>
              </w:rPr>
            </w:pPr>
            <w:r>
              <w:rPr>
                <w:noProof/>
              </w:rPr>
              <w:t>Objectif</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08BBDE" w14:textId="61ACB824" w:rsidR="00FA40E8" w:rsidRDefault="00E74AE8">
            <w:pPr>
              <w:pStyle w:val="P68B1DB1-Normal13"/>
              <w:spacing w:before="60" w:after="60"/>
              <w:rPr>
                <w:noProof/>
              </w:rPr>
            </w:pPr>
            <w:r>
              <w:rPr>
                <w:noProof/>
              </w:rPr>
              <w:t>Fourniture de solutions numériques expérimentales d’innovation en matière de mobilité</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C2BC2" w14:textId="77777777" w:rsidR="00FA40E8" w:rsidRDefault="00FA40E8">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C791D6" w14:textId="77777777" w:rsidR="00FA40E8" w:rsidRDefault="00E74AE8">
            <w:pPr>
              <w:pStyle w:val="P68B1DB1-Normal12"/>
              <w:spacing w:before="60" w:after="60"/>
              <w:jc w:val="center"/>
              <w:rPr>
                <w:rFonts w:eastAsia="Times New Roman" w:cs="Times New Roman"/>
                <w:noProof/>
              </w:rPr>
            </w:pPr>
            <w:r>
              <w:rPr>
                <w:noProof/>
              </w:rPr>
              <w:t>Nombre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3288D9" w14:textId="77777777" w:rsidR="00FA40E8" w:rsidRDefault="00E74AE8">
            <w:pPr>
              <w:pStyle w:val="P68B1DB1-Normal12"/>
              <w:spacing w:before="60" w:after="60"/>
              <w:jc w:val="center"/>
              <w:rPr>
                <w:rFonts w:eastAsia="Times New Roman"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B8B8F5" w14:textId="1505F74E" w:rsidR="00FA40E8" w:rsidRDefault="00E74AE8">
            <w:pPr>
              <w:pStyle w:val="P68B1DB1-Normal12"/>
              <w:spacing w:before="60" w:after="60"/>
              <w:jc w:val="center"/>
              <w:rPr>
                <w:rFonts w:eastAsia="Times New Roman" w:cs="Times New Roman"/>
                <w:noProof/>
              </w:rPr>
            </w:pPr>
            <w:r>
              <w:rPr>
                <w:noProof/>
              </w:rPr>
              <w:t>7</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C7DD4" w14:textId="4FE79221" w:rsidR="00FA40E8" w:rsidRDefault="00E74AE8">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93D3EE" w14:textId="01DDD8FA" w:rsidR="00FA40E8" w:rsidRDefault="00E74AE8">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A3C098" w14:textId="6FA91194" w:rsidR="00FA40E8" w:rsidRDefault="00E74AE8">
            <w:pPr>
              <w:pStyle w:val="P68B1DB1-Normal12"/>
              <w:spacing w:before="60" w:after="60"/>
              <w:jc w:val="both"/>
              <w:rPr>
                <w:rFonts w:eastAsia="Times New Roman" w:cs="Times New Roman"/>
                <w:noProof/>
              </w:rPr>
            </w:pPr>
            <w:r>
              <w:rPr>
                <w:noProof/>
              </w:rPr>
              <w:t xml:space="preserve">7 solutions numériques expérimentales pour la mobilité ont été mises au point, comme le confirment les rapports finaux et les listes de contrôle des inspections de la CPMA. </w:t>
            </w:r>
          </w:p>
        </w:tc>
      </w:tr>
    </w:tbl>
    <w:p w14:paraId="670E9415" w14:textId="77777777" w:rsidR="00FA40E8" w:rsidRDefault="00FA40E8">
      <w:pPr>
        <w:spacing w:before="120" w:after="120"/>
        <w:jc w:val="both"/>
        <w:rPr>
          <w:rFonts w:ascii="Times New Roman" w:eastAsia="Times New Roman" w:hAnsi="Times New Roman" w:cs="Times New Roman"/>
          <w:b/>
          <w:noProof/>
          <w:sz w:val="24"/>
          <w:u w:val="single"/>
        </w:rPr>
        <w:sectPr w:rsidR="00FA40E8" w:rsidSect="0074650A">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464A5156" w14:textId="3374ADC8" w:rsidR="00FA40E8" w:rsidRDefault="00E74AE8">
      <w:pPr>
        <w:pStyle w:val="ManualHeading1"/>
        <w:tabs>
          <w:tab w:val="clear" w:pos="850"/>
        </w:tabs>
        <w:spacing w:before="0" w:after="200"/>
        <w:ind w:left="0" w:firstLine="0"/>
        <w:rPr>
          <w:noProof/>
        </w:rPr>
      </w:pPr>
      <w:r>
        <w:rPr>
          <w:noProof/>
        </w:rPr>
        <w:t>D. COMPOSANTE 4: Une éducation de qualité et accessible pour l’ensemble du cycle de vie</w:t>
      </w:r>
      <w:bookmarkStart w:id="8" w:name="_Ref68858967"/>
      <w:bookmarkStart w:id="9" w:name="_Ref68858935"/>
      <w:bookmarkStart w:id="10" w:name="_Ref68858903"/>
      <w:bookmarkStart w:id="11" w:name="_Ref68858607"/>
      <w:bookmarkEnd w:id="8"/>
      <w:bookmarkEnd w:id="9"/>
      <w:bookmarkEnd w:id="10"/>
      <w:bookmarkEnd w:id="11"/>
    </w:p>
    <w:p w14:paraId="2C1F1F71" w14:textId="499DE92F" w:rsidR="00FA40E8" w:rsidRDefault="00E74AE8">
      <w:pPr>
        <w:pStyle w:val="P68B1DB1-Normal25"/>
        <w:jc w:val="both"/>
        <w:rPr>
          <w:rFonts w:eastAsiaTheme="minorEastAsia" w:cs="Times New Roman"/>
          <w:noProof/>
          <w:sz w:val="24"/>
        </w:rPr>
      </w:pPr>
      <w:r>
        <w:rPr>
          <w:noProof/>
        </w:rPr>
        <w:t xml:space="preserve">Le </w:t>
      </w:r>
      <w:r>
        <w:rPr>
          <w:noProof/>
          <w:sz w:val="24"/>
        </w:rPr>
        <w:t xml:space="preserve">volet du plan lituanien pour la reprise et la résilience dans le domaine de l’éducation vise à améliorer la qualité et l’efficacité de tous les niveaux d’éducation </w:t>
      </w:r>
      <w:r>
        <w:rPr>
          <w:noProof/>
          <w:sz w:val="24"/>
        </w:rPr>
        <w:t>et de formation, y compris l’éducation et la formation des adultes, ainsi qu’à promouvoir le développement des compétences. Les réformes et les investissements visent à: 1. moderniser l’enseignement général, 2. améliorer les compétences et la reconnaissanc</w:t>
      </w:r>
      <w:r>
        <w:rPr>
          <w:noProof/>
          <w:sz w:val="24"/>
        </w:rPr>
        <w:t>e des qualifications des adultes, 3. mettre en place un système d’orientation professionnelle et 4. améliorer l’enseignement et la formation professionnels (EFP), y compris par la formation par le travail.</w:t>
      </w:r>
      <w:r>
        <w:rPr>
          <w:noProof/>
        </w:rPr>
        <w:t xml:space="preserve"> Les </w:t>
      </w:r>
      <w:r>
        <w:rPr>
          <w:noProof/>
          <w:sz w:val="24"/>
        </w:rPr>
        <w:t>réformes sont axées sur l’amélioration de l’ac</w:t>
      </w:r>
      <w:r>
        <w:rPr>
          <w:noProof/>
          <w:sz w:val="24"/>
        </w:rPr>
        <w:t>cès et de la qualité de l’éducation de la petite enfance et de l’enseignement scolaire, le renforcement des compétences des enseignants et des chefs d’établissement, la mise à jour des contenus d’apprentissage et la mise en place d’un système d’orientation</w:t>
      </w:r>
      <w:r>
        <w:rPr>
          <w:noProof/>
          <w:sz w:val="24"/>
        </w:rPr>
        <w:t xml:space="preserve"> professionnelle. Les investissements visent à améliorer et à consolider les infrastructures scolaires, à améliorer l’écosystème éducatif dans le domaine des STIAM, à mettre en place une plateforme de guichet unique pour la formation tout au long de la vie</w:t>
      </w:r>
      <w:r>
        <w:rPr>
          <w:noProof/>
          <w:sz w:val="24"/>
        </w:rPr>
        <w:t xml:space="preserve">, à soutenir les apprentissages et à financer des comptes de formation individuels, à soutenir les spécialistes de l’orientation professionnelle, les apprentissages et la participation à des programmes d’EFP et à des programmes de mobilité. </w:t>
      </w:r>
    </w:p>
    <w:p w14:paraId="41060BAA" w14:textId="77777777" w:rsidR="00FA40E8" w:rsidRDefault="00E74AE8">
      <w:pPr>
        <w:pStyle w:val="P68B1DB1-Normal4"/>
        <w:jc w:val="both"/>
        <w:rPr>
          <w:rFonts w:eastAsia="Times New Roman" w:cs="Times New Roman"/>
          <w:noProof/>
        </w:rPr>
      </w:pPr>
      <w:r>
        <w:rPr>
          <w:noProof/>
        </w:rPr>
        <w:t>Les mesures in</w:t>
      </w:r>
      <w:r>
        <w:rPr>
          <w:noProof/>
        </w:rPr>
        <w:t>cluses dans le volet soutiennent la mise en œuvre des recommandations par pays sur l’amélioration de la qualité et de l’efficacité à tous les niveaux d’éducation et de formation, y compris l’éducation et la formation des adultes et la promotion des compéte</w:t>
      </w:r>
      <w:r>
        <w:rPr>
          <w:noProof/>
        </w:rPr>
        <w:t>nces (CSR2 2019, CSR2 2020).</w:t>
      </w:r>
    </w:p>
    <w:p w14:paraId="1FFA5BE4" w14:textId="77777777" w:rsidR="00FA40E8" w:rsidRDefault="00E74AE8">
      <w:pPr>
        <w:pStyle w:val="P68B1DB1-Normal4"/>
        <w:jc w:val="both"/>
        <w:rPr>
          <w:rFonts w:eastAsiaTheme="minorEastAsia" w:cs="Times New Roman"/>
          <w:noProof/>
        </w:rPr>
      </w:pPr>
      <w:r>
        <w:rPr>
          <w:noProof/>
        </w:rPr>
        <w:t>Aucune mesure relevant de ce volet ne devrait causer de préjudice important aux objectifs environnementaux au sens de l’article 17 du règlement (UE) 2020/852, compte tenu de la description des mesures et des mesures d’atténuati</w:t>
      </w:r>
      <w:r>
        <w:rPr>
          <w:noProof/>
        </w:rPr>
        <w:t>on prévues dans le plan pour la reprise et la résilience conformément aux orientations techniques DNSH (2021/C58/01).</w:t>
      </w:r>
    </w:p>
    <w:p w14:paraId="62A3F937" w14:textId="1675DC65" w:rsidR="00FA40E8" w:rsidRDefault="00E74AE8">
      <w:pPr>
        <w:pStyle w:val="P68B1DB1-Text15"/>
        <w:keepNext/>
        <w:keepLines/>
        <w:spacing w:before="0" w:after="200" w:line="276" w:lineRule="auto"/>
        <w:ind w:left="0"/>
        <w:outlineLvl w:val="1"/>
        <w:rPr>
          <w:noProof/>
        </w:rPr>
      </w:pPr>
      <w:r>
        <w:rPr>
          <w:noProof/>
        </w:rPr>
        <w:t>D.1. Description des réformes et des investissements en vue d’un soutien financier non remboursable</w:t>
      </w:r>
    </w:p>
    <w:p w14:paraId="479CA672" w14:textId="77777777" w:rsidR="00FA40E8" w:rsidRDefault="00E74AE8">
      <w:pPr>
        <w:pStyle w:val="P68B1DB1-Text126"/>
        <w:keepNext/>
        <w:keepLines/>
        <w:spacing w:before="0" w:after="200" w:line="276" w:lineRule="auto"/>
        <w:ind w:left="0"/>
        <w:rPr>
          <w:noProof/>
        </w:rPr>
      </w:pPr>
      <w:r>
        <w:rPr>
          <w:noProof/>
        </w:rPr>
        <w:t xml:space="preserve">D.1.1 Réforme 1 «Enseignement général </w:t>
      </w:r>
      <w:r>
        <w:rPr>
          <w:noProof/>
        </w:rPr>
        <w:t xml:space="preserve">moderne — Contexte des compétences concurrentielles» </w:t>
      </w:r>
    </w:p>
    <w:p w14:paraId="5FAA39BB" w14:textId="4F2C1FC3" w:rsidR="00FA40E8" w:rsidRDefault="00E74AE8">
      <w:pPr>
        <w:pStyle w:val="Text1"/>
        <w:spacing w:before="0" w:after="200" w:line="276" w:lineRule="auto"/>
        <w:ind w:left="0"/>
        <w:rPr>
          <w:rFonts w:eastAsiaTheme="minorEastAsia"/>
          <w:noProof/>
        </w:rPr>
      </w:pPr>
      <w:r>
        <w:rPr>
          <w:noProof/>
        </w:rPr>
        <w:t>L’objectif de la réforme est de soutenir l’enseignement général afin de réduire les écarts de réussite parmi les élèves. La réforme se compose de sept sous-mesures: 1. Améliorer la qualité de l’éducatio</w:t>
      </w:r>
      <w:r>
        <w:rPr>
          <w:noProof/>
        </w:rPr>
        <w:t xml:space="preserve">n 2. Réorganisation du réseau scolaire 3. Programme scolaire du millénaire, 4. Formation du personnel pédagogique 5. </w:t>
      </w:r>
      <w:r>
        <w:rPr>
          <w:rFonts w:eastAsiaTheme="minorEastAsia"/>
          <w:noProof/>
        </w:rPr>
        <w:t xml:space="preserve">Soutien à l’acquisition d’équipements pour les centres STEAM et les laboratoires mobiles </w:t>
      </w:r>
      <w:r>
        <w:rPr>
          <w:noProof/>
        </w:rPr>
        <w:t>6. Transformation de l’éducation numérique 7. Amél</w:t>
      </w:r>
      <w:r>
        <w:rPr>
          <w:noProof/>
        </w:rPr>
        <w:t>iorer l’éducation et l’accueil de la petite enfance.</w:t>
      </w:r>
    </w:p>
    <w:p w14:paraId="20759E5E" w14:textId="77777777" w:rsidR="00FA40E8" w:rsidRDefault="00E74AE8">
      <w:pPr>
        <w:pStyle w:val="P68B1DB1-Normal6"/>
        <w:keepNext/>
        <w:keepLines/>
        <w:jc w:val="both"/>
        <w:rPr>
          <w:rFonts w:eastAsia="Times New Roman" w:cs="Times New Roman"/>
          <w:noProof/>
          <w:szCs w:val="24"/>
        </w:rPr>
      </w:pPr>
      <w:r>
        <w:rPr>
          <w:noProof/>
        </w:rPr>
        <w:t xml:space="preserve">D.1.1.1 Sous-mesure 1: Améliorer la qualité de l’éducation </w:t>
      </w:r>
    </w:p>
    <w:p w14:paraId="22A506F9" w14:textId="6D9FDDE8" w:rsidR="00FA40E8" w:rsidRDefault="00E74AE8">
      <w:pPr>
        <w:pStyle w:val="P68B1DB1-Normal4"/>
        <w:jc w:val="both"/>
        <w:rPr>
          <w:rFonts w:eastAsia="Times New Roman" w:cs="Times New Roman"/>
          <w:noProof/>
          <w:szCs w:val="24"/>
        </w:rPr>
      </w:pPr>
      <w:r>
        <w:rPr>
          <w:noProof/>
        </w:rPr>
        <w:t>L’objectif de la sous-mesure est d’améliorer la qualité de l’éducation. Le contenu des programmes-cadres de l’enseignement préprimaire, primair</w:t>
      </w:r>
      <w:r>
        <w:rPr>
          <w:noProof/>
        </w:rPr>
        <w:t>e, secondaire inférieur et secondaire est mis à jour au plus tard le 30 septembre 2022 afin de tenir compte des connaissances et évolutions scientifiques les plus récentes. Des indicateurs minimaux pour le suivi de la qualité de l’enseignement scolaire son</w:t>
      </w:r>
      <w:r>
        <w:rPr>
          <w:noProof/>
        </w:rPr>
        <w:t>t adoptés et la procédure d’organisation et de réalisation de l’évaluation externe des écoles qui mettent en œuvre des programmes d’enseignement scolaire est modifiée au plus tard le 30 juin 2022 en vue d’obtenir de meilleurs résultats, d’accroître l’inclu</w:t>
      </w:r>
      <w:r>
        <w:rPr>
          <w:noProof/>
        </w:rPr>
        <w:t xml:space="preserve">sion et l’efficacité et de réduire les écarts de résultats parmi les élèves. La procédure d’organisation et de réalisation de l’évaluation externe des activités des écoles d’enseignement général est mise en place. </w:t>
      </w:r>
    </w:p>
    <w:p w14:paraId="30095659" w14:textId="40BD581F" w:rsidR="00FA40E8" w:rsidRDefault="00E74AE8">
      <w:pPr>
        <w:pStyle w:val="P68B1DB1-Normal4"/>
        <w:jc w:val="both"/>
        <w:rPr>
          <w:rFonts w:eastAsia="Times New Roman" w:cs="Times New Roman"/>
          <w:noProof/>
          <w:szCs w:val="24"/>
          <w:u w:val="single"/>
        </w:rPr>
      </w:pPr>
      <w:r>
        <w:rPr>
          <w:noProof/>
        </w:rPr>
        <w:t>La sous-mesure est achevée au plus tard l</w:t>
      </w:r>
      <w:r>
        <w:rPr>
          <w:noProof/>
        </w:rPr>
        <w:t>e 30 septembre 2022.</w:t>
      </w:r>
      <w:r>
        <w:rPr>
          <w:noProof/>
          <w:u w:val="single"/>
        </w:rPr>
        <w:t xml:space="preserve"> </w:t>
      </w:r>
    </w:p>
    <w:p w14:paraId="620DED6B" w14:textId="6315ECD8" w:rsidR="00FA40E8" w:rsidRDefault="00E74AE8">
      <w:pPr>
        <w:pStyle w:val="P68B1DB1-Normal6"/>
        <w:keepNext/>
        <w:keepLines/>
        <w:jc w:val="both"/>
        <w:rPr>
          <w:rFonts w:eastAsia="Times New Roman" w:cs="Times New Roman"/>
          <w:noProof/>
          <w:szCs w:val="24"/>
        </w:rPr>
      </w:pPr>
      <w:r>
        <w:rPr>
          <w:noProof/>
        </w:rPr>
        <w:t>D.1.1.2. Sous-mesure 2: Réorganisation du réseau scolaire</w:t>
      </w:r>
    </w:p>
    <w:p w14:paraId="4B5A1D94" w14:textId="77777777" w:rsidR="00FA40E8" w:rsidRDefault="00E74AE8">
      <w:pPr>
        <w:pStyle w:val="P68B1DB1-Normal4"/>
        <w:jc w:val="both"/>
        <w:rPr>
          <w:rFonts w:eastAsia="Times New Roman" w:cs="Times New Roman"/>
          <w:noProof/>
          <w:szCs w:val="24"/>
        </w:rPr>
      </w:pPr>
      <w:r>
        <w:rPr>
          <w:noProof/>
        </w:rPr>
        <w:t>L’objectif de la sous-mesure est de modifier les règles relatives à la création du réseau d’écoles menant des programmes d’enseignement formel en vue de fixer de nouvelles exig</w:t>
      </w:r>
      <w:r>
        <w:rPr>
          <w:noProof/>
        </w:rPr>
        <w:t>ences pour les municipalités en ce qui concerne la taille de l’école, les règles applicables aux classes jointes et d’autres procédures de réorganisation et exigences de financement. Les critères comprennent la suppression de la possibilité de fusionner le</w:t>
      </w:r>
      <w:r>
        <w:rPr>
          <w:noProof/>
        </w:rPr>
        <w:t>s grades 5 à 8 et l’obligation de réorganiser les écoles publiques avec 60 élèves ou moins. Les nouvelles règles ont pour effet de réduire le nombre de classes communes; le nombre de petites salles de gymnastique et le nombre de petites écoles (comptant mo</w:t>
      </w:r>
      <w:r>
        <w:rPr>
          <w:noProof/>
        </w:rPr>
        <w:t xml:space="preserve">ins de 200 élèves). </w:t>
      </w:r>
    </w:p>
    <w:p w14:paraId="5B2D8C55" w14:textId="377431E5" w:rsidR="00FA40E8" w:rsidRDefault="00E74AE8">
      <w:pPr>
        <w:pStyle w:val="P68B1DB1-Normal4"/>
        <w:jc w:val="both"/>
        <w:rPr>
          <w:rFonts w:eastAsia="Times New Roman" w:cs="Times New Roman"/>
          <w:noProof/>
          <w:szCs w:val="24"/>
        </w:rPr>
      </w:pPr>
      <w:r>
        <w:rPr>
          <w:noProof/>
        </w:rPr>
        <w:t>La sous-mesure sera achevée au plus tard le 31 décembre 2021.</w:t>
      </w:r>
    </w:p>
    <w:p w14:paraId="7D6D8359" w14:textId="77777777" w:rsidR="00FA40E8" w:rsidRDefault="00E74AE8">
      <w:pPr>
        <w:pStyle w:val="P68B1DB1-Normal6"/>
        <w:keepNext/>
        <w:keepLines/>
        <w:jc w:val="both"/>
        <w:rPr>
          <w:rFonts w:eastAsia="Times New Roman" w:cs="Times New Roman"/>
          <w:noProof/>
        </w:rPr>
      </w:pPr>
      <w:r>
        <w:rPr>
          <w:noProof/>
        </w:rPr>
        <w:t>D.1.1.3: Sous-mesure 3: Programme des écoles du millénaire</w:t>
      </w:r>
    </w:p>
    <w:p w14:paraId="6ECD4B11" w14:textId="3B87775C" w:rsidR="00FA40E8" w:rsidRDefault="00E74AE8">
      <w:pPr>
        <w:pStyle w:val="Text1"/>
        <w:spacing w:before="0" w:after="200" w:line="276" w:lineRule="auto"/>
        <w:ind w:left="0"/>
        <w:rPr>
          <w:noProof/>
        </w:rPr>
      </w:pPr>
      <w:r>
        <w:rPr>
          <w:noProof/>
        </w:rPr>
        <w:t>L’objectif de cette sous-mesure est d’optimiser le réseau scolaire et de garantir l’égalité des chances en matière</w:t>
      </w:r>
      <w:r>
        <w:rPr>
          <w:noProof/>
        </w:rPr>
        <w:t xml:space="preserve"> d’éducation pour les enfants lituaniens. La sous-mesure consiste à soutenir les écoles dans le cadre d’un programme de progrès pour les «écoles du Millénaire».</w:t>
      </w:r>
    </w:p>
    <w:p w14:paraId="2C04C3DB" w14:textId="321677CB" w:rsidR="00FA40E8" w:rsidRDefault="00E74AE8">
      <w:pPr>
        <w:pStyle w:val="P68B1DB1-Normal6"/>
        <w:keepNext/>
        <w:keepLines/>
        <w:jc w:val="both"/>
        <w:rPr>
          <w:noProof/>
          <w:szCs w:val="24"/>
        </w:rPr>
      </w:pPr>
      <w:r>
        <w:rPr>
          <w:noProof/>
        </w:rPr>
        <w:t>D.1.1.4: Sous-mesure 4: Formation du personnel pédagogique</w:t>
      </w:r>
    </w:p>
    <w:p w14:paraId="43F59857" w14:textId="7953E866" w:rsidR="00FA40E8" w:rsidRDefault="00E74AE8">
      <w:pPr>
        <w:pStyle w:val="P68B1DB1-Normal4"/>
        <w:jc w:val="both"/>
        <w:rPr>
          <w:noProof/>
        </w:rPr>
      </w:pPr>
      <w:r>
        <w:rPr>
          <w:noProof/>
        </w:rPr>
        <w:t xml:space="preserve">L’objectif de la sous-mesure est de </w:t>
      </w:r>
      <w:r>
        <w:rPr>
          <w:noProof/>
        </w:rPr>
        <w:t>soutenir la formation du personnel pédagogique. La sous-mesure consiste en l’entrée en vigueur de la législation sur les exigences qualitatives pour l’élaboration et l’enregistrement des programmes nationaux de développement des qualifications du personnel</w:t>
      </w:r>
      <w:r>
        <w:rPr>
          <w:noProof/>
        </w:rPr>
        <w:t xml:space="preserve"> pédagogique et la formation des personnes.</w:t>
      </w:r>
    </w:p>
    <w:p w14:paraId="3FE21899" w14:textId="2BACFE51" w:rsidR="00FA40E8" w:rsidRDefault="00E74AE8">
      <w:pPr>
        <w:pStyle w:val="P68B1DB1-Normal6"/>
        <w:keepNext/>
        <w:keepLines/>
        <w:jc w:val="both"/>
        <w:rPr>
          <w:rFonts w:eastAsia="Times New Roman" w:cs="Times New Roman"/>
          <w:noProof/>
        </w:rPr>
      </w:pPr>
      <w:r>
        <w:rPr>
          <w:noProof/>
        </w:rPr>
        <w:t>D.1.1.5: Sous-mesure 5: Soutien à l’acquisition d’équipements pour les centres STEAM et les laboratoires mobiles</w:t>
      </w:r>
    </w:p>
    <w:p w14:paraId="42398B89" w14:textId="791A22BE" w:rsidR="00FA40E8" w:rsidRDefault="00E74AE8">
      <w:pPr>
        <w:pStyle w:val="P68B1DB1-Normal4"/>
        <w:jc w:val="both"/>
        <w:rPr>
          <w:rFonts w:eastAsia="Calibri" w:cs="Times New Roman"/>
          <w:noProof/>
        </w:rPr>
      </w:pPr>
      <w:r>
        <w:rPr>
          <w:noProof/>
        </w:rPr>
        <w:t>L’objectif de la sous-mesure est de soutenir le renouvellement des centres STEAM et des labarota</w:t>
      </w:r>
      <w:r>
        <w:rPr>
          <w:noProof/>
        </w:rPr>
        <w:t>ires mobiles. La sous-mesure consiste en l’achat d’équipements pour les centres STEAM et les labarotaires mobiles.</w:t>
      </w:r>
    </w:p>
    <w:p w14:paraId="34AAED1F" w14:textId="77777777" w:rsidR="00FA40E8" w:rsidRDefault="00E74AE8">
      <w:pPr>
        <w:pStyle w:val="P68B1DB1-Normal6"/>
        <w:keepNext/>
        <w:keepLines/>
        <w:jc w:val="both"/>
        <w:rPr>
          <w:rFonts w:eastAsia="Times New Roman" w:cs="Times New Roman"/>
          <w:noProof/>
          <w:szCs w:val="24"/>
        </w:rPr>
      </w:pPr>
      <w:r>
        <w:rPr>
          <w:noProof/>
        </w:rPr>
        <w:t>D.1.1.6: Sous-mesure 6: Transformation de l’éducation numérique</w:t>
      </w:r>
    </w:p>
    <w:p w14:paraId="1C579CC0" w14:textId="3C4F8577" w:rsidR="00FA40E8" w:rsidRDefault="00E74AE8">
      <w:pPr>
        <w:pStyle w:val="P68B1DB1-Normal4"/>
        <w:jc w:val="both"/>
        <w:rPr>
          <w:rFonts w:eastAsia="Times New Roman" w:cs="Times New Roman"/>
          <w:noProof/>
          <w:szCs w:val="24"/>
        </w:rPr>
      </w:pPr>
      <w:r>
        <w:rPr>
          <w:noProof/>
        </w:rPr>
        <w:t>L’objectif de la sous-mesure est de favoriser l’adoption d’innovations éducat</w:t>
      </w:r>
      <w:r>
        <w:rPr>
          <w:noProof/>
        </w:rPr>
        <w:t>ives axées sur le numérique dans les écoles et de renforcer les compétences numériques de tous les enseignants. Une équipe d’experts et un projet-cadre EDtech sont mis en place pour soutenir le développement de l’innovation numérique dans l’éducation et po</w:t>
      </w:r>
      <w:r>
        <w:rPr>
          <w:noProof/>
        </w:rPr>
        <w:t>ur créer une plateforme permettant de tester l’innovation dans les établissements d’enseignement. La plateforme EDtech établit un lien entre les jeunes pousses et les innovateurs, d’une part, et les écoles et leurs besoins de formation, d’autre part, et pe</w:t>
      </w:r>
      <w:r>
        <w:rPr>
          <w:noProof/>
        </w:rPr>
        <w:t>rmet de tester des solutions innovantes. Les compétences numériques à tous les niveaux d’enseignement, des enseignants du préprimaire aux enseignants de l’enseignement supérieur, sont également améliorées, et il convient de promouvoir l’utilisation de cont</w:t>
      </w:r>
      <w:r>
        <w:rPr>
          <w:noProof/>
        </w:rPr>
        <w:t xml:space="preserve">enus numériques et d’outils technologiques dans le processus éducatif afin d’améliorer les résultats scolaires. </w:t>
      </w:r>
    </w:p>
    <w:p w14:paraId="68252719" w14:textId="77777777" w:rsidR="00FA40E8" w:rsidRDefault="00E74AE8">
      <w:pPr>
        <w:pStyle w:val="P68B1DB1-Normal4"/>
        <w:jc w:val="both"/>
        <w:rPr>
          <w:rFonts w:eastAsia="Calibri" w:cs="Times New Roman"/>
          <w:noProof/>
          <w:szCs w:val="24"/>
        </w:rPr>
      </w:pPr>
      <w:r>
        <w:rPr>
          <w:noProof/>
        </w:rPr>
        <w:t>La sous-mesure est achevée au plus tard le 30 juin 2024.</w:t>
      </w:r>
    </w:p>
    <w:p w14:paraId="7459D082" w14:textId="77777777" w:rsidR="00FA40E8" w:rsidRDefault="00E74AE8">
      <w:pPr>
        <w:pStyle w:val="P68B1DB1-Normal6"/>
        <w:keepNext/>
        <w:keepLines/>
        <w:jc w:val="both"/>
        <w:rPr>
          <w:rFonts w:eastAsia="Arial" w:cs="Times New Roman"/>
          <w:noProof/>
          <w:szCs w:val="24"/>
        </w:rPr>
      </w:pPr>
      <w:r>
        <w:rPr>
          <w:noProof/>
        </w:rPr>
        <w:t>D.1.1.7: Sous-mesure 7: Améliorer l’éducation et l’accueil de la petite enfance</w:t>
      </w:r>
    </w:p>
    <w:p w14:paraId="34A0F0AE" w14:textId="1A12DDF3" w:rsidR="00FA40E8" w:rsidRDefault="00E74AE8">
      <w:pPr>
        <w:pStyle w:val="P68B1DB1-Normal4"/>
        <w:jc w:val="both"/>
        <w:rPr>
          <w:rFonts w:eastAsia="Arial" w:cs="Times New Roman"/>
          <w:noProof/>
          <w:szCs w:val="24"/>
        </w:rPr>
      </w:pPr>
      <w:r>
        <w:rPr>
          <w:noProof/>
        </w:rPr>
        <w:t>La sou</w:t>
      </w:r>
      <w:r>
        <w:rPr>
          <w:noProof/>
        </w:rPr>
        <w:t>s-mesure vise à améliorer l’accès et la qualité de l’éducation et de l’accueil de la petite enfance en réexaminant les critères applicables aux programmes préscolaires afin de veiller à ce que le contenu soit à jour, en tenant compte des connaissances scie</w:t>
      </w:r>
      <w:r>
        <w:rPr>
          <w:noProof/>
        </w:rPr>
        <w:t>ntifiques les plus récentes sur les caractéristiques des enfants en âge préscolaire, l’identification de leurs capacités et de leurs préférences ou besoins, et l’offre d’un enseignement fondé sur le développement individuel de l’enfant. En outre, une étude</w:t>
      </w:r>
      <w:r>
        <w:rPr>
          <w:noProof/>
        </w:rPr>
        <w:t xml:space="preserve"> sera réalisée au plus tard le 30 juin 2022 afin de recenser les besoins en infrastructures pour l’éducation et l’accueil de la petite enfance afin de garantir à tous les enfants un accès égal à l’éducation et à l’accueil de la petite enfance sur l’ensembl</w:t>
      </w:r>
      <w:r>
        <w:rPr>
          <w:noProof/>
        </w:rPr>
        <w:t>e du territoire.</w:t>
      </w:r>
    </w:p>
    <w:p w14:paraId="1D3E1AF4" w14:textId="77777777" w:rsidR="00FA40E8" w:rsidRDefault="00E74AE8">
      <w:pPr>
        <w:pStyle w:val="Text1"/>
        <w:spacing w:before="0" w:after="200" w:line="276" w:lineRule="auto"/>
        <w:ind w:left="0"/>
        <w:rPr>
          <w:noProof/>
        </w:rPr>
      </w:pPr>
      <w:bookmarkStart w:id="12" w:name="_Ref70075874"/>
      <w:bookmarkStart w:id="13" w:name="_Ref70075911"/>
      <w:r>
        <w:rPr>
          <w:noProof/>
        </w:rPr>
        <w:t xml:space="preserve">La sous-mesure est achevée le 30 septembre 2023. </w:t>
      </w:r>
    </w:p>
    <w:p w14:paraId="729CD103" w14:textId="7AB3C6A2" w:rsidR="00FA40E8" w:rsidRDefault="00E74AE8">
      <w:pPr>
        <w:pStyle w:val="P68B1DB1-Normal6"/>
        <w:keepNext/>
        <w:keepLines/>
        <w:jc w:val="both"/>
        <w:rPr>
          <w:rFonts w:eastAsia="Times New Roman" w:cs="Times New Roman"/>
          <w:noProof/>
          <w:szCs w:val="24"/>
        </w:rPr>
      </w:pPr>
      <w:r>
        <w:rPr>
          <w:noProof/>
        </w:rPr>
        <w:t>D.1.2. Réforme 2 «Accès des adultes au système informatique d’éducation et de formation tout au long de la vie</w:t>
      </w:r>
      <w:bookmarkEnd w:id="12"/>
      <w:bookmarkEnd w:id="13"/>
      <w:r>
        <w:rPr>
          <w:noProof/>
        </w:rPr>
        <w:t>»</w:t>
      </w:r>
    </w:p>
    <w:p w14:paraId="1C1F7E8D" w14:textId="4CBBA332" w:rsidR="00FA40E8" w:rsidRDefault="00E74AE8">
      <w:pPr>
        <w:pStyle w:val="P68B1DB1-Normal4"/>
        <w:jc w:val="both"/>
        <w:rPr>
          <w:rFonts w:eastAsiaTheme="minorEastAsia" w:cs="Times New Roman"/>
          <w:noProof/>
          <w:szCs w:val="24"/>
        </w:rPr>
      </w:pPr>
      <w:r>
        <w:rPr>
          <w:noProof/>
        </w:rPr>
        <w:t>L’objectif de la mesure est de mettre en place un modèle unifié pour le fonct</w:t>
      </w:r>
      <w:r>
        <w:rPr>
          <w:noProof/>
        </w:rPr>
        <w:t xml:space="preserve">ionnement et la gouvernance du cadre d’apprentissage tout au long de la vie. La mesure consiste en l’entrée en vigueur de la législation sur le modèle d’apprentissage tout au long de la vie établissant les éléments de coordination, de fonctionnement et de </w:t>
      </w:r>
      <w:r>
        <w:rPr>
          <w:noProof/>
        </w:rPr>
        <w:t>financement, la mise en service du système d’information à guichet unique pour l’apprentissage tout au long de la vie et les personnes formées à l’aide du système informatique d’apprentissage tout au long de la vie.</w:t>
      </w:r>
    </w:p>
    <w:p w14:paraId="7F46BA64" w14:textId="77777777" w:rsidR="00FA40E8" w:rsidRDefault="00E74AE8">
      <w:pPr>
        <w:pStyle w:val="P68B1DB1-Normal6"/>
        <w:keepNext/>
        <w:keepLines/>
        <w:jc w:val="both"/>
        <w:rPr>
          <w:rFonts w:eastAsia="Times New Roman" w:cs="Times New Roman"/>
          <w:noProof/>
          <w:szCs w:val="24"/>
        </w:rPr>
      </w:pPr>
      <w:r>
        <w:rPr>
          <w:noProof/>
        </w:rPr>
        <w:t xml:space="preserve">D.1.3. Réforme 3 «Système d’orientation </w:t>
      </w:r>
      <w:r>
        <w:rPr>
          <w:noProof/>
        </w:rPr>
        <w:t>professionnelle pour équilibrer l’offre et la demande sur le marché du travail»</w:t>
      </w:r>
    </w:p>
    <w:p w14:paraId="57697FFE" w14:textId="77777777" w:rsidR="00FA40E8" w:rsidRDefault="00E74AE8">
      <w:pPr>
        <w:pStyle w:val="P68B1DB1-Normal4"/>
        <w:jc w:val="both"/>
        <w:rPr>
          <w:rFonts w:eastAsia="Calibri" w:cs="Times New Roman"/>
          <w:noProof/>
          <w:szCs w:val="24"/>
        </w:rPr>
      </w:pPr>
      <w:r>
        <w:rPr>
          <w:noProof/>
        </w:rPr>
        <w:t xml:space="preserve">L’objectif de la mesure est de mettre en place un système d’évolution de carrière et d’orientation professionnelle qui commence dès le plus jeune âge (à partir du grade 1). Un </w:t>
      </w:r>
      <w:r>
        <w:rPr>
          <w:noProof/>
        </w:rPr>
        <w:t>système d’orientation professionnelle et de planification des carrières aide les étudiants à identifier les domaines d’intérêt et à décider des parcours professionnels possibles dès le plus jeune âge. Les enfants acquièrent des connaissances sur les compét</w:t>
      </w:r>
      <w:r>
        <w:rPr>
          <w:noProof/>
        </w:rPr>
        <w:t>ences acquises dans les établissements d’enseignement pour s’informer sur la transition entre les différents niveaux d’enseignement. Les écoles et les municipalités deviennent responsables des carrières scolaires et de la planification des carrières en ver</w:t>
      </w:r>
      <w:r>
        <w:rPr>
          <w:noProof/>
        </w:rPr>
        <w:t>tu du cadre juridique modifié. Les services d’orientation professionnelle dans les écoles sont fournis par des professionnels de la carrière. L’un des éléments clés du système est la fourniture d’informations de qualité sur les possibilités d’apprentissage</w:t>
      </w:r>
      <w:r>
        <w:rPr>
          <w:noProof/>
        </w:rPr>
        <w:t xml:space="preserve"> ou de carrière. Ces informations sont fondées sur des données provenant du système national de suivi des ressources humaines. L’orientation professionnelle fait également partie intégrante du système d’éducation et de formation tout au long de la vie, per</w:t>
      </w:r>
      <w:r>
        <w:rPr>
          <w:noProof/>
        </w:rPr>
        <w:t>mettant aux personnes possédant une qualification et/ou une expérience professionnelle de bénéficier d’une orientation professionnelle, qui sera fournie non seulement par l’intermédiaire du système d’information sur l’éducation et la formation tout au long</w:t>
      </w:r>
      <w:r>
        <w:rPr>
          <w:noProof/>
        </w:rPr>
        <w:t xml:space="preserve"> de la vie, mais aussi par l’intermédiaire du réseau des centres régionaux pour les carrières. La législation entre en vigueur au plus tard le 31 mars 2022. Au moins 380 spécialistes des carrières fournissent des services d’orientation professionnelle dans</w:t>
      </w:r>
      <w:r>
        <w:rPr>
          <w:noProof/>
        </w:rPr>
        <w:t xml:space="preserve"> les écoles.</w:t>
      </w:r>
    </w:p>
    <w:p w14:paraId="0560223F" w14:textId="77777777" w:rsidR="00FA40E8" w:rsidRDefault="00E74AE8">
      <w:pPr>
        <w:pStyle w:val="P68B1DB1-Normal4"/>
        <w:jc w:val="both"/>
        <w:rPr>
          <w:rFonts w:cs="Times New Roman"/>
          <w:noProof/>
          <w:szCs w:val="24"/>
        </w:rPr>
      </w:pPr>
      <w:r>
        <w:rPr>
          <w:noProof/>
        </w:rPr>
        <w:t>La sous-mesure est achevée au plus tard le 31 décembre 2024.</w:t>
      </w:r>
    </w:p>
    <w:p w14:paraId="4B20E6CF" w14:textId="1E2FBA11" w:rsidR="00FA40E8" w:rsidRDefault="00E74AE8">
      <w:pPr>
        <w:pStyle w:val="P68B1DB1-Normal6"/>
        <w:keepNext/>
        <w:keepLines/>
        <w:jc w:val="both"/>
        <w:rPr>
          <w:rFonts w:eastAsia="Times New Roman" w:cs="Times New Roman"/>
          <w:noProof/>
        </w:rPr>
      </w:pPr>
      <w:r>
        <w:rPr>
          <w:noProof/>
        </w:rPr>
        <w:t>D.1.4. Réforme 4 «Compétences pour la transformation numérique acquises dans l’enseignement et la formation professionnels»</w:t>
      </w:r>
    </w:p>
    <w:p w14:paraId="2195AC66" w14:textId="5214D165" w:rsidR="00FA40E8" w:rsidRDefault="00E74AE8">
      <w:pPr>
        <w:pStyle w:val="P68B1DB1-Normal4"/>
        <w:keepNext/>
        <w:keepLines/>
        <w:jc w:val="both"/>
        <w:rPr>
          <w:noProof/>
          <w:szCs w:val="24"/>
        </w:rPr>
      </w:pPr>
      <w:r>
        <w:rPr>
          <w:noProof/>
        </w:rPr>
        <w:t>L’objectif de la mesure est de soutenir les compétences en</w:t>
      </w:r>
      <w:r>
        <w:rPr>
          <w:noProof/>
        </w:rPr>
        <w:t xml:space="preserve"> matière de transformation numérique acquises dans le cadre de l’enseignement et de la formation professionnels. La mesure se compose de quatre sous-mesures: 1. Plateforme nationale pour l’avancement de l’enseignement et de la formation professionnels 2. É</w:t>
      </w:r>
      <w:r>
        <w:rPr>
          <w:noProof/>
        </w:rPr>
        <w:t xml:space="preserve">valuation des compétences 3. Apprentissage et formations 5. Davantage de possibilités d’étudier dans des modules d’EFP pour les élèves de l’enseignement général </w:t>
      </w:r>
    </w:p>
    <w:p w14:paraId="6052EC6E" w14:textId="4FA5AAC8" w:rsidR="00FA40E8" w:rsidRDefault="00E74AE8">
      <w:pPr>
        <w:pStyle w:val="P68B1DB1-Normal6"/>
        <w:keepNext/>
        <w:keepLines/>
        <w:jc w:val="both"/>
        <w:rPr>
          <w:rFonts w:eastAsiaTheme="minorEastAsia" w:cs="Times New Roman"/>
          <w:noProof/>
        </w:rPr>
      </w:pPr>
      <w:r>
        <w:rPr>
          <w:noProof/>
        </w:rPr>
        <w:t>D.1.4.1: Sous-mesure 1: Plateforme nationale pour l’avancement de l’enseignement et de la form</w:t>
      </w:r>
      <w:r>
        <w:rPr>
          <w:noProof/>
        </w:rPr>
        <w:t>ation professionnels</w:t>
      </w:r>
    </w:p>
    <w:p w14:paraId="3DC88BA3" w14:textId="141A4868" w:rsidR="00FA40E8" w:rsidRDefault="00E74AE8">
      <w:pPr>
        <w:pStyle w:val="P68B1DB1-ListParagraph16"/>
        <w:spacing w:after="200" w:line="276" w:lineRule="auto"/>
        <w:ind w:left="0"/>
        <w:jc w:val="both"/>
        <w:rPr>
          <w:rFonts w:eastAsiaTheme="minorEastAsia" w:cs="Times New Roman"/>
          <w:noProof/>
        </w:rPr>
      </w:pPr>
      <w:r>
        <w:rPr>
          <w:noProof/>
        </w:rPr>
        <w:t xml:space="preserve">L’objectif de la sous-mesure est de créer un comité consultatif — la plateforme nationale pour le progrès de l’enseignement et de la formation professionnels. La sous-mesure consiste en l’entrée en vigueur de la législation relative à </w:t>
      </w:r>
      <w:r>
        <w:rPr>
          <w:noProof/>
        </w:rPr>
        <w:t xml:space="preserve">la mise en place de la plateforme sur le progrès de la formation professionnelle, à la mise à jour des programmes d’enseignement et de formation professionnels et à la participation aux formations. </w:t>
      </w:r>
    </w:p>
    <w:p w14:paraId="51A1B019" w14:textId="77777777" w:rsidR="00FA40E8" w:rsidRDefault="00E74AE8">
      <w:pPr>
        <w:pStyle w:val="P68B1DB1-Normal6"/>
        <w:keepNext/>
        <w:keepLines/>
        <w:jc w:val="both"/>
        <w:rPr>
          <w:rFonts w:eastAsia="Times New Roman" w:cs="Times New Roman"/>
          <w:noProof/>
          <w:szCs w:val="24"/>
        </w:rPr>
      </w:pPr>
      <w:r>
        <w:rPr>
          <w:noProof/>
        </w:rPr>
        <w:t xml:space="preserve">D.1.4.2: Sous-mesure 2: Évaluation des compétences </w:t>
      </w:r>
    </w:p>
    <w:p w14:paraId="36C14EB4" w14:textId="2A125F01" w:rsidR="00FA40E8" w:rsidRDefault="00E74AE8">
      <w:pPr>
        <w:pStyle w:val="P68B1DB1-Normal4"/>
        <w:jc w:val="both"/>
        <w:rPr>
          <w:rFonts w:eastAsiaTheme="minorEastAsia" w:cs="Times New Roman"/>
          <w:noProof/>
          <w:szCs w:val="24"/>
        </w:rPr>
      </w:pPr>
      <w:r>
        <w:rPr>
          <w:noProof/>
        </w:rPr>
        <w:t>L’obj</w:t>
      </w:r>
      <w:r>
        <w:rPr>
          <w:noProof/>
        </w:rPr>
        <w:t>ectif de la sous-mesure est d’améliorer la reconnaissance des compétences formelles et non formelles acquises. À cette fin, des modifications de la loi sur la formation professionnelle et de la législation d’application entrent en vigueur et désignent 18 c</w:t>
      </w:r>
      <w:r>
        <w:rPr>
          <w:noProof/>
        </w:rPr>
        <w:t xml:space="preserve">entres d’évaluation des compétences, qui deviendront à terme des centres méthodologiques dans le domaine de l’éducation afin de mettre en commun les connaissances par la mise en réseau avec des centres de formation sectoriels dans le même domaine. </w:t>
      </w:r>
    </w:p>
    <w:p w14:paraId="30EC31E7" w14:textId="66A07D6B" w:rsidR="00FA40E8" w:rsidRDefault="00E74AE8">
      <w:pPr>
        <w:pStyle w:val="P68B1DB1-Normal4"/>
        <w:jc w:val="both"/>
        <w:rPr>
          <w:rFonts w:eastAsiaTheme="minorEastAsia" w:cs="Times New Roman"/>
          <w:noProof/>
          <w:szCs w:val="24"/>
        </w:rPr>
      </w:pPr>
      <w:r>
        <w:rPr>
          <w:noProof/>
        </w:rPr>
        <w:t>La sous</w:t>
      </w:r>
      <w:r>
        <w:rPr>
          <w:noProof/>
        </w:rPr>
        <w:t>-mesure est achevée au plus tard le 31 décembre 2022.</w:t>
      </w:r>
    </w:p>
    <w:p w14:paraId="70433E76" w14:textId="13089418" w:rsidR="00FA40E8" w:rsidRDefault="00E74AE8">
      <w:pPr>
        <w:pStyle w:val="P68B1DB1-Normal6"/>
        <w:keepNext/>
        <w:keepLines/>
        <w:jc w:val="both"/>
        <w:rPr>
          <w:rFonts w:eastAsia="Times New Roman" w:cs="Times New Roman"/>
          <w:noProof/>
          <w:szCs w:val="24"/>
        </w:rPr>
      </w:pPr>
      <w:r>
        <w:rPr>
          <w:noProof/>
        </w:rPr>
        <w:t>D.1.4.3: Sous-mesure 3: Apprentissage et formations</w:t>
      </w:r>
    </w:p>
    <w:p w14:paraId="0C0C0488" w14:textId="03B1F05A" w:rsidR="00FA40E8" w:rsidRDefault="00E74AE8">
      <w:pPr>
        <w:pStyle w:val="P68B1DB1-Normal4"/>
        <w:jc w:val="both"/>
        <w:rPr>
          <w:rFonts w:eastAsiaTheme="minorEastAsia" w:cs="Times New Roman"/>
          <w:noProof/>
          <w:szCs w:val="24"/>
        </w:rPr>
      </w:pPr>
      <w:r>
        <w:rPr>
          <w:noProof/>
        </w:rPr>
        <w:t>L’objectif de la sous-mesure est d’accroître les compétences pratiques des étudiants. La sous-mesure consiste en l’entrée en vigueur de la législation</w:t>
      </w:r>
      <w:r>
        <w:rPr>
          <w:noProof/>
        </w:rPr>
        <w:t xml:space="preserve"> établissant un programme de soutien à l’apprentissage et des formations.</w:t>
      </w:r>
    </w:p>
    <w:p w14:paraId="457F00F4" w14:textId="659630A1" w:rsidR="00FA40E8" w:rsidRDefault="00E74AE8">
      <w:pPr>
        <w:pStyle w:val="P68B1DB1-Normal6"/>
        <w:keepNext/>
        <w:keepLines/>
        <w:jc w:val="both"/>
        <w:rPr>
          <w:rFonts w:eastAsia="Times New Roman" w:cs="Times New Roman"/>
          <w:noProof/>
        </w:rPr>
      </w:pPr>
      <w:r>
        <w:rPr>
          <w:noProof/>
        </w:rPr>
        <w:t>D.1.4.5. Sous-mesure 5: Davantage de possibilités d’étudier dans des modules d’EFP pour les élèves de l’enseignement général</w:t>
      </w:r>
    </w:p>
    <w:p w14:paraId="669531AE" w14:textId="51311ACE" w:rsidR="00FA40E8" w:rsidRDefault="00E74AE8">
      <w:pPr>
        <w:pStyle w:val="Text1"/>
        <w:spacing w:before="0" w:after="200" w:line="276" w:lineRule="auto"/>
        <w:ind w:left="0"/>
        <w:rPr>
          <w:noProof/>
        </w:rPr>
      </w:pPr>
      <w:r>
        <w:rPr>
          <w:noProof/>
        </w:rPr>
        <w:t xml:space="preserve">L’objectif de la sous-mesure est d’augmenter le taux de </w:t>
      </w:r>
      <w:r>
        <w:rPr>
          <w:noProof/>
        </w:rPr>
        <w:t>scolarisation des élèves dans l’enseignement et la formation professionnels (EFP). La sous-mesure consiste en la participation d’élèves à des modules d’EFP et à des programmes de formation professionnelle à partir de la 9e année.</w:t>
      </w:r>
    </w:p>
    <w:p w14:paraId="67E6C334" w14:textId="77777777" w:rsidR="00FA40E8" w:rsidRDefault="00FA40E8">
      <w:pPr>
        <w:pStyle w:val="Text1"/>
        <w:ind w:left="709"/>
        <w:rPr>
          <w:noProof/>
          <w:sz w:val="22"/>
        </w:rPr>
        <w:sectPr w:rsidR="00FA40E8" w:rsidSect="0074650A">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1ADB8BB1" w14:textId="4294C0F8" w:rsidR="00FA40E8" w:rsidRDefault="00E74AE8">
      <w:pPr>
        <w:pStyle w:val="P68B1DB1-Text15"/>
        <w:keepNext/>
        <w:keepLines/>
        <w:spacing w:before="0" w:after="200" w:line="276" w:lineRule="auto"/>
        <w:ind w:left="0"/>
        <w:outlineLvl w:val="1"/>
        <w:rPr>
          <w:noProof/>
        </w:rPr>
      </w:pPr>
      <w:r>
        <w:rPr>
          <w:noProof/>
        </w:rPr>
        <w:t>D.2. Jalons, cibles, indicateurs et calendrier de suivi et de mise en œuvre du soutien financier non remboursable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496"/>
        <w:gridCol w:w="1701"/>
        <w:gridCol w:w="993"/>
        <w:gridCol w:w="1560"/>
        <w:gridCol w:w="1440"/>
        <w:gridCol w:w="1200"/>
        <w:gridCol w:w="960"/>
        <w:gridCol w:w="792"/>
        <w:gridCol w:w="993"/>
        <w:gridCol w:w="708"/>
        <w:gridCol w:w="3868"/>
      </w:tblGrid>
      <w:tr w:rsidR="00FA40E8" w14:paraId="0EFBF3B2" w14:textId="77777777">
        <w:trPr>
          <w:tblHeader/>
          <w:jc w:val="center"/>
        </w:trPr>
        <w:tc>
          <w:tcPr>
            <w:tcW w:w="49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8ACB0E" w14:textId="0CF04B33" w:rsidR="00FA40E8" w:rsidRDefault="00E74AE8">
            <w:pPr>
              <w:pStyle w:val="P68B1DB1-Normal9"/>
              <w:spacing w:before="60" w:after="60"/>
              <w:jc w:val="center"/>
              <w:rPr>
                <w:rFonts w:cs="Times New Roman"/>
                <w:noProof/>
              </w:rPr>
            </w:pPr>
            <w:r>
              <w:rPr>
                <w:noProof/>
              </w:rPr>
              <w:t>Non.</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9CDC69" w14:textId="77777777" w:rsidR="00FA40E8" w:rsidRDefault="00E74AE8">
            <w:pPr>
              <w:pStyle w:val="P68B1DB1-Normal9"/>
              <w:spacing w:before="60" w:after="60"/>
              <w:rPr>
                <w:rFonts w:cs="Times New Roman"/>
                <w:noProof/>
              </w:rPr>
            </w:pPr>
            <w:r>
              <w:rPr>
                <w:noProof/>
              </w:rPr>
              <w:t>Mesure connexe (réforme ou investissement)</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D0580B4" w14:textId="0AF483C9" w:rsidR="00FA40E8" w:rsidRDefault="00E74AE8">
            <w:pPr>
              <w:pStyle w:val="P68B1DB1-Normal9"/>
              <w:spacing w:before="60" w:after="60"/>
              <w:jc w:val="center"/>
              <w:rPr>
                <w:rFonts w:cs="Times New Roman"/>
                <w:noProof/>
              </w:rPr>
            </w:pPr>
            <w:r>
              <w:rPr>
                <w:noProof/>
              </w:rPr>
              <w:t>Étape/cible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72753FB" w14:textId="77777777" w:rsidR="00FA40E8" w:rsidRDefault="00E74AE8">
            <w:pPr>
              <w:pStyle w:val="P68B1DB1-Normal9"/>
              <w:spacing w:before="60" w:after="60"/>
              <w:jc w:val="center"/>
              <w:rPr>
                <w:rFonts w:cs="Times New Roman"/>
                <w:noProof/>
              </w:rPr>
            </w:pPr>
            <w:r>
              <w:rPr>
                <w:noProof/>
              </w:rPr>
              <w:t>Titre</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ACD8ED0" w14:textId="4BC3E744"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étapes)</w:t>
            </w:r>
          </w:p>
        </w:tc>
        <w:tc>
          <w:tcPr>
            <w:tcW w:w="295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EC981B" w14:textId="77777777"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9415C9" w14:textId="68B3FD7D" w:rsidR="00FA40E8" w:rsidRDefault="00E74AE8">
            <w:pPr>
              <w:pStyle w:val="P68B1DB1-Normal9"/>
              <w:spacing w:before="60" w:after="60"/>
              <w:jc w:val="center"/>
              <w:rPr>
                <w:rFonts w:cs="Times New Roman"/>
                <w:noProof/>
              </w:rPr>
            </w:pPr>
            <w:r>
              <w:rPr>
                <w:noProof/>
              </w:rPr>
              <w:t>Calendrier indicatif d’achèvement</w:t>
            </w:r>
          </w:p>
        </w:tc>
        <w:tc>
          <w:tcPr>
            <w:tcW w:w="386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914688F" w14:textId="77777777" w:rsidR="00FA40E8" w:rsidRDefault="00E74AE8">
            <w:pPr>
              <w:pStyle w:val="P68B1DB1-Normal9"/>
              <w:spacing w:before="60" w:after="60"/>
              <w:jc w:val="center"/>
              <w:rPr>
                <w:rFonts w:cs="Times New Roman"/>
                <w:noProof/>
              </w:rPr>
            </w:pPr>
            <w:r>
              <w:rPr>
                <w:noProof/>
              </w:rPr>
              <w:t>Description et définition claire de chaque jalon et cible</w:t>
            </w:r>
          </w:p>
        </w:tc>
      </w:tr>
      <w:tr w:rsidR="00FA40E8" w14:paraId="384600DA" w14:textId="77777777">
        <w:trPr>
          <w:tblHeader/>
          <w:jc w:val="center"/>
        </w:trPr>
        <w:tc>
          <w:tcPr>
            <w:tcW w:w="496" w:type="dxa"/>
            <w:vMerge/>
            <w:tcBorders>
              <w:top w:val="single" w:sz="4" w:space="0" w:color="auto"/>
              <w:left w:val="single" w:sz="4" w:space="0" w:color="auto"/>
              <w:bottom w:val="single" w:sz="4" w:space="0" w:color="auto"/>
              <w:right w:val="single" w:sz="4" w:space="0" w:color="auto"/>
            </w:tcBorders>
            <w:vAlign w:val="center"/>
          </w:tcPr>
          <w:p w14:paraId="72C0A60D" w14:textId="77777777" w:rsidR="00FA40E8" w:rsidRDefault="00FA40E8">
            <w:pPr>
              <w:spacing w:before="60" w:after="60"/>
              <w:jc w:val="center"/>
              <w:rPr>
                <w:rFonts w:ascii="Times New Roman" w:hAnsi="Times New Roman" w:cs="Times New Roman"/>
                <w:b/>
                <w:noProof/>
                <w:sz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63AF33A0" w14:textId="77777777" w:rsidR="00FA40E8" w:rsidRDefault="00FA40E8">
            <w:pPr>
              <w:spacing w:before="60" w:after="60"/>
              <w:rPr>
                <w:rFonts w:ascii="Times New Roman" w:hAnsi="Times New Roman" w:cs="Times New Roman"/>
                <w:b/>
                <w:noProof/>
                <w:sz w:val="20"/>
              </w:rPr>
            </w:pPr>
          </w:p>
        </w:tc>
        <w:tc>
          <w:tcPr>
            <w:tcW w:w="993" w:type="dxa"/>
            <w:vMerge/>
            <w:tcBorders>
              <w:top w:val="single" w:sz="4" w:space="0" w:color="auto"/>
              <w:left w:val="single" w:sz="4" w:space="0" w:color="auto"/>
              <w:bottom w:val="single" w:sz="4" w:space="0" w:color="auto"/>
              <w:right w:val="single" w:sz="4" w:space="0" w:color="auto"/>
            </w:tcBorders>
            <w:vAlign w:val="center"/>
          </w:tcPr>
          <w:p w14:paraId="535C5CC3" w14:textId="77777777" w:rsidR="00FA40E8" w:rsidRDefault="00FA40E8">
            <w:pPr>
              <w:spacing w:before="60" w:after="60"/>
              <w:jc w:val="center"/>
              <w:rPr>
                <w:rFonts w:ascii="Times New Roman" w:hAnsi="Times New Roman" w:cs="Times New Roman"/>
                <w:b/>
                <w:noProof/>
                <w:sz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195F844D" w14:textId="77777777" w:rsidR="00FA40E8" w:rsidRDefault="00FA40E8">
            <w:pPr>
              <w:spacing w:before="60" w:after="60"/>
              <w:rPr>
                <w:rFonts w:ascii="Times New Roman" w:hAnsi="Times New Roman" w:cs="Times New Roman"/>
                <w:b/>
                <w:noProof/>
                <w:sz w:val="20"/>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00634130" w14:textId="77777777" w:rsidR="00FA40E8" w:rsidRDefault="00FA40E8">
            <w:pPr>
              <w:spacing w:before="60" w:after="60"/>
              <w:rPr>
                <w:rFonts w:ascii="Times New Roman" w:hAnsi="Times New Roman" w:cs="Times New Roman"/>
                <w:b/>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C87F4A" w14:textId="77777777" w:rsidR="00FA40E8" w:rsidRDefault="00E74AE8">
            <w:pPr>
              <w:pStyle w:val="P68B1DB1-Normal9"/>
              <w:spacing w:before="60" w:after="60"/>
              <w:jc w:val="center"/>
              <w:rPr>
                <w:rFonts w:cs="Times New Roman"/>
                <w:noProof/>
              </w:rPr>
            </w:pPr>
            <w:r>
              <w:rPr>
                <w:noProof/>
              </w:rPr>
              <w:t>Unité</w:t>
            </w:r>
          </w:p>
        </w:tc>
        <w:tc>
          <w:tcPr>
            <w:tcW w:w="96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C82434" w14:textId="77777777" w:rsidR="00FA40E8" w:rsidRDefault="00E74AE8">
            <w:pPr>
              <w:pStyle w:val="P68B1DB1-Normal9"/>
              <w:spacing w:before="60" w:after="60"/>
              <w:jc w:val="center"/>
              <w:rPr>
                <w:rFonts w:cs="Times New Roman"/>
                <w:noProof/>
              </w:rPr>
            </w:pPr>
            <w:r>
              <w:rPr>
                <w:noProof/>
              </w:rPr>
              <w:t>Niveau de référence</w:t>
            </w:r>
          </w:p>
        </w:tc>
        <w:tc>
          <w:tcPr>
            <w:tcW w:w="7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121E3E4" w14:textId="77777777" w:rsidR="00FA40E8" w:rsidRDefault="00E74AE8">
            <w:pPr>
              <w:pStyle w:val="P68B1DB1-Normal9"/>
              <w:spacing w:before="60" w:after="60"/>
              <w:jc w:val="center"/>
              <w:rPr>
                <w:rFonts w:cs="Times New Roman"/>
                <w:noProof/>
              </w:rPr>
            </w:pPr>
            <w:r>
              <w:rPr>
                <w:noProof/>
              </w:rPr>
              <w:t>Objectif</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C30652F" w14:textId="77777777" w:rsidR="00FA40E8" w:rsidRDefault="00E74AE8">
            <w:pPr>
              <w:pStyle w:val="P68B1DB1-Normal9"/>
              <w:spacing w:before="60" w:after="60"/>
              <w:jc w:val="center"/>
              <w:rPr>
                <w:rFonts w:cs="Times New Roman"/>
                <w:noProof/>
              </w:rPr>
            </w:pPr>
            <w:r>
              <w:rPr>
                <w:noProof/>
              </w:rPr>
              <w:t>Trimestre</w:t>
            </w:r>
          </w:p>
        </w:tc>
        <w:tc>
          <w:tcPr>
            <w:tcW w:w="70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A6C797" w14:textId="77777777" w:rsidR="00FA40E8" w:rsidRDefault="00E74AE8">
            <w:pPr>
              <w:pStyle w:val="P68B1DB1-Normal9"/>
              <w:spacing w:before="60" w:after="60"/>
              <w:jc w:val="center"/>
              <w:rPr>
                <w:rFonts w:cs="Times New Roman"/>
                <w:noProof/>
              </w:rPr>
            </w:pPr>
            <w:r>
              <w:rPr>
                <w:noProof/>
              </w:rPr>
              <w:t>Année</w:t>
            </w:r>
          </w:p>
        </w:tc>
        <w:tc>
          <w:tcPr>
            <w:tcW w:w="3868" w:type="dxa"/>
            <w:vMerge/>
            <w:tcBorders>
              <w:top w:val="single" w:sz="4" w:space="0" w:color="auto"/>
              <w:left w:val="single" w:sz="4" w:space="0" w:color="auto"/>
              <w:bottom w:val="single" w:sz="4" w:space="0" w:color="auto"/>
              <w:right w:val="single" w:sz="4" w:space="0" w:color="auto"/>
            </w:tcBorders>
            <w:vAlign w:val="center"/>
          </w:tcPr>
          <w:p w14:paraId="0443CE17" w14:textId="77777777" w:rsidR="00FA40E8" w:rsidRDefault="00FA40E8">
            <w:pPr>
              <w:spacing w:before="60" w:after="60"/>
              <w:rPr>
                <w:rFonts w:ascii="Times New Roman" w:hAnsi="Times New Roman" w:cs="Times New Roman"/>
                <w:b/>
                <w:noProof/>
                <w:sz w:val="20"/>
              </w:rPr>
            </w:pPr>
          </w:p>
        </w:tc>
      </w:tr>
      <w:tr w:rsidR="00FA40E8" w14:paraId="1030E31E"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09B8362" w14:textId="77777777" w:rsidR="00FA40E8" w:rsidRDefault="00E74AE8">
            <w:pPr>
              <w:pStyle w:val="P68B1DB1-Normal12"/>
              <w:spacing w:before="60" w:after="60"/>
              <w:jc w:val="center"/>
              <w:rPr>
                <w:rFonts w:cs="Times New Roman"/>
                <w:noProof/>
              </w:rPr>
            </w:pPr>
            <w:r>
              <w:rPr>
                <w:noProof/>
              </w:rPr>
              <w:t>91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CB0942" w14:textId="161FD713" w:rsidR="00FA40E8" w:rsidRDefault="00E74AE8">
            <w:pPr>
              <w:pStyle w:val="P68B1DB1-Normal12"/>
              <w:spacing w:before="60" w:after="60"/>
              <w:rPr>
                <w:rFonts w:eastAsia="Times New Roman" w:cs="Times New Roman"/>
                <w:noProof/>
              </w:rPr>
            </w:pPr>
            <w:r>
              <w:rPr>
                <w:noProof/>
              </w:rPr>
              <w:t xml:space="preserve">D.1.1. Enseignement général moderne — Contexte des </w:t>
            </w:r>
            <w:r>
              <w:rPr>
                <w:noProof/>
              </w:rPr>
              <w:t>compétences de base</w:t>
            </w:r>
          </w:p>
          <w:p w14:paraId="0DA007EE" w14:textId="5D33C02E" w:rsidR="00FA40E8" w:rsidRDefault="00E74AE8">
            <w:pPr>
              <w:pStyle w:val="P68B1DB1-Normal12"/>
              <w:spacing w:before="60" w:after="60"/>
              <w:rPr>
                <w:rFonts w:cs="Times New Roman"/>
                <w:noProof/>
              </w:rPr>
            </w:pPr>
            <w:r>
              <w:rPr>
                <w:noProof/>
              </w:rPr>
              <w:t>D.1.1.1: Améliorer la qualité de l’éducation</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5CFA65"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E701D7" w14:textId="5C5E6C4F" w:rsidR="00FA40E8" w:rsidRDefault="00E74AE8">
            <w:pPr>
              <w:pStyle w:val="P68B1DB1-Normal12"/>
              <w:spacing w:before="60" w:after="60"/>
              <w:rPr>
                <w:rFonts w:cs="Times New Roman"/>
                <w:noProof/>
              </w:rPr>
            </w:pPr>
            <w:r>
              <w:rPr>
                <w:noProof/>
              </w:rPr>
              <w:t>Entrée en vigueur de la législation sur la méthodologie de la procédure d’évaluation externe de la qualité des activités des établissements d’enseignement mettant en œuvre des programme</w:t>
            </w:r>
            <w:r>
              <w:rPr>
                <w:noProof/>
              </w:rPr>
              <w:t>s d’enseignement scolaire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73E4788" w14:textId="77777777" w:rsidR="00FA40E8" w:rsidRDefault="00E74AE8">
            <w:pPr>
              <w:pStyle w:val="P68B1DB1-Normal12"/>
              <w:spacing w:before="60" w:after="60"/>
              <w:rPr>
                <w:rFonts w:cs="Times New Roman"/>
                <w:noProof/>
              </w:rPr>
            </w:pPr>
            <w:r>
              <w:rPr>
                <w:noProof/>
              </w:rPr>
              <w:t xml:space="preserve">Entrée en vigueur de la législation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B4B0F9C" w14:textId="77777777"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A2C065" w14:textId="61420AEC"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BBABBF" w14:textId="3E190783"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B89C0C"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475425" w14:textId="77777777" w:rsidR="00FA40E8" w:rsidRDefault="00E74AE8">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73FCD6" w14:textId="77777777" w:rsidR="00FA40E8" w:rsidRDefault="00E74AE8">
            <w:pPr>
              <w:pStyle w:val="P68B1DB1-Normal12"/>
              <w:spacing w:before="60" w:after="60"/>
              <w:jc w:val="both"/>
              <w:rPr>
                <w:rFonts w:eastAsia="Times New Roman" w:cs="Times New Roman"/>
                <w:noProof/>
              </w:rPr>
            </w:pPr>
            <w:r>
              <w:rPr>
                <w:noProof/>
              </w:rPr>
              <w:t xml:space="preserve">Entrée en vigueur de la législation sur la méthodologie qui </w:t>
            </w:r>
          </w:p>
          <w:p w14:paraId="2DB77F13" w14:textId="77777777" w:rsidR="00FA40E8" w:rsidRDefault="00E74AE8">
            <w:pPr>
              <w:pStyle w:val="P68B1DB1-ListParagraph22"/>
              <w:numPr>
                <w:ilvl w:val="0"/>
                <w:numId w:val="29"/>
              </w:numPr>
              <w:spacing w:before="60" w:after="60" w:line="276" w:lineRule="auto"/>
              <w:ind w:left="357" w:hanging="357"/>
              <w:jc w:val="both"/>
              <w:rPr>
                <w:rFonts w:eastAsiaTheme="minorEastAsia" w:cs="Times New Roman"/>
                <w:noProof/>
              </w:rPr>
            </w:pPr>
            <w:r>
              <w:rPr>
                <w:noProof/>
              </w:rPr>
              <w:t>fournir aux écoles des indicateurs de performance concernant l’organisation des processus éducatifs, le soutien aux élève</w:t>
            </w:r>
            <w:r>
              <w:rPr>
                <w:noProof/>
              </w:rPr>
              <w:t>s, la gestion et le leadership, l’environnement scolaire,</w:t>
            </w:r>
          </w:p>
          <w:p w14:paraId="7392D3DE" w14:textId="77777777" w:rsidR="00FA40E8" w:rsidRDefault="00E74AE8">
            <w:pPr>
              <w:pStyle w:val="P68B1DB1-ListParagraph22"/>
              <w:numPr>
                <w:ilvl w:val="0"/>
                <w:numId w:val="29"/>
              </w:numPr>
              <w:spacing w:before="60" w:after="60" w:line="276" w:lineRule="auto"/>
              <w:ind w:left="357" w:hanging="357"/>
              <w:jc w:val="both"/>
              <w:rPr>
                <w:rFonts w:cs="Times New Roman"/>
                <w:noProof/>
              </w:rPr>
            </w:pPr>
            <w:r>
              <w:rPr>
                <w:noProof/>
              </w:rPr>
              <w:t xml:space="preserve">définir les procédures d’autoévaluation et d’évaluation externe des établissements scolaires; </w:t>
            </w:r>
          </w:p>
          <w:p w14:paraId="62D6CEED" w14:textId="77777777" w:rsidR="00FA40E8" w:rsidRDefault="00E74AE8">
            <w:pPr>
              <w:pStyle w:val="P68B1DB1-ListParagraph22"/>
              <w:numPr>
                <w:ilvl w:val="0"/>
                <w:numId w:val="29"/>
              </w:numPr>
              <w:spacing w:before="60" w:after="60" w:line="276" w:lineRule="auto"/>
              <w:ind w:left="357" w:hanging="357"/>
              <w:jc w:val="both"/>
              <w:rPr>
                <w:rFonts w:eastAsiaTheme="minorEastAsia" w:cs="Times New Roman"/>
                <w:noProof/>
              </w:rPr>
            </w:pPr>
            <w:r>
              <w:rPr>
                <w:noProof/>
              </w:rPr>
              <w:t>autoriser l’Agence nationale pour l’éducation à procéder à l’évaluation externe des centres de garde d’</w:t>
            </w:r>
            <w:r>
              <w:rPr>
                <w:noProof/>
              </w:rPr>
              <w:t xml:space="preserve">enfants et des écoles; </w:t>
            </w:r>
          </w:p>
          <w:p w14:paraId="65CD4DDC" w14:textId="49B63D4F" w:rsidR="00FA40E8" w:rsidRDefault="00E74AE8">
            <w:pPr>
              <w:pStyle w:val="P68B1DB1-ListParagraph22"/>
              <w:numPr>
                <w:ilvl w:val="0"/>
                <w:numId w:val="29"/>
              </w:numPr>
              <w:spacing w:before="60" w:after="60" w:line="276" w:lineRule="auto"/>
              <w:ind w:left="357" w:hanging="357"/>
              <w:jc w:val="both"/>
              <w:rPr>
                <w:rFonts w:cs="Times New Roman"/>
                <w:noProof/>
              </w:rPr>
            </w:pPr>
            <w:r>
              <w:rPr>
                <w:noProof/>
              </w:rPr>
              <w:t xml:space="preserve">établir l’obligation pour les écoles d’améliorer les activités scolaires sur la base des données fournies dans l’évaluation externe. </w:t>
            </w:r>
          </w:p>
        </w:tc>
      </w:tr>
      <w:tr w:rsidR="00FA40E8" w14:paraId="25DB5768"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E85A27B" w14:textId="77777777" w:rsidR="00FA40E8" w:rsidRDefault="00E74AE8">
            <w:pPr>
              <w:pStyle w:val="P68B1DB1-Normal12"/>
              <w:spacing w:before="60" w:after="60"/>
              <w:jc w:val="center"/>
              <w:rPr>
                <w:rFonts w:cs="Times New Roman"/>
                <w:noProof/>
              </w:rPr>
            </w:pPr>
            <w:r>
              <w:rPr>
                <w:noProof/>
              </w:rPr>
              <w:t>92</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ED66311" w14:textId="77777777" w:rsidR="00FA40E8" w:rsidRDefault="00E74AE8">
            <w:pPr>
              <w:pStyle w:val="P68B1DB1-Normal12"/>
              <w:spacing w:before="60" w:after="60"/>
              <w:rPr>
                <w:rFonts w:cs="Times New Roman"/>
                <w:noProof/>
              </w:rPr>
            </w:pPr>
            <w:r>
              <w:rPr>
                <w:noProof/>
              </w:rPr>
              <w:t>D.1.1. Enseignement général moderne — Contexte des compétences de base</w:t>
            </w:r>
          </w:p>
          <w:p w14:paraId="6CCBD01F" w14:textId="0AECEAB0" w:rsidR="00FA40E8" w:rsidRDefault="00E74AE8">
            <w:pPr>
              <w:pStyle w:val="P68B1DB1-Normal12"/>
              <w:spacing w:before="60" w:after="60"/>
              <w:rPr>
                <w:rFonts w:cs="Times New Roman"/>
                <w:noProof/>
              </w:rPr>
            </w:pPr>
            <w:r>
              <w:rPr>
                <w:noProof/>
              </w:rPr>
              <w:t xml:space="preserve">D.1.1.1: Améliorer la </w:t>
            </w:r>
            <w:r>
              <w:rPr>
                <w:noProof/>
              </w:rPr>
              <w:t>qualité de l’éducation</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FC377C"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3E98490" w14:textId="77777777" w:rsidR="00FA40E8" w:rsidRDefault="00E74AE8">
            <w:pPr>
              <w:pStyle w:val="P68B1DB1-Normal12"/>
              <w:spacing w:before="60" w:after="60"/>
              <w:rPr>
                <w:rFonts w:cs="Times New Roman"/>
                <w:noProof/>
              </w:rPr>
            </w:pPr>
            <w:r>
              <w:rPr>
                <w:noProof/>
              </w:rPr>
              <w:t>Entrée en vigueur des programmes révisés d’enseignement préprimaire, primaire, secondaire inférieur et secondaire (programmes d’études)</w:t>
            </w:r>
            <w:r>
              <w:rPr>
                <w:noProof/>
                <w:shd w:val="clear" w:color="auto" w:fill="E6E6E6"/>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08F4D19" w14:textId="77777777" w:rsidR="00FA40E8" w:rsidRDefault="00E74AE8">
            <w:pPr>
              <w:pStyle w:val="P68B1DB1-Normal12"/>
              <w:spacing w:before="60" w:after="60"/>
              <w:rPr>
                <w:rFonts w:cs="Times New Roman"/>
                <w:noProof/>
              </w:rPr>
            </w:pPr>
            <w:r>
              <w:rPr>
                <w:noProof/>
              </w:rPr>
              <w:t>Entrée en vigueur de la législation</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8D882F" w14:textId="0C0A17EB"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AE2D37" w14:textId="3BFDA0AE"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099563" w14:textId="3DA9F3E0"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B4BAD9" w14:textId="77777777" w:rsidR="00FA40E8" w:rsidRDefault="00E74AE8">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710666" w14:textId="77777777" w:rsidR="00FA40E8" w:rsidRDefault="00E74AE8">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0F62A8" w14:textId="4181E52D" w:rsidR="00FA40E8" w:rsidRDefault="00E74AE8">
            <w:pPr>
              <w:pStyle w:val="P68B1DB1-Normal12"/>
              <w:spacing w:before="60" w:after="60"/>
              <w:jc w:val="both"/>
              <w:rPr>
                <w:rFonts w:eastAsia="Times New Roman" w:cs="Times New Roman"/>
                <w:noProof/>
              </w:rPr>
            </w:pPr>
            <w:r>
              <w:rPr>
                <w:noProof/>
              </w:rPr>
              <w:t>Entrée en vigueur des programmes d’enseigne</w:t>
            </w:r>
            <w:r>
              <w:rPr>
                <w:noProof/>
              </w:rPr>
              <w:t>ment préprimaire, primaire, secondaire inférieur et secondaire (programmes), qui sont les documents régissant le contenu du niveau national. Afin de tenir compte des connaissances scientifiques les plus récentes et de l’évolution de la situation, les progr</w:t>
            </w:r>
            <w:r>
              <w:rPr>
                <w:noProof/>
              </w:rPr>
              <w:t>ammes d’enseignement (cursus) sont révisés. Entrée en vigueur de la législation relative à la révision du programme d’études, qui couvre:</w:t>
            </w:r>
          </w:p>
          <w:p w14:paraId="23487437" w14:textId="79738021" w:rsidR="00FA40E8" w:rsidRDefault="00E74AE8">
            <w:pPr>
              <w:pStyle w:val="P68B1DB1-Normal12"/>
              <w:spacing w:before="60" w:after="60"/>
              <w:jc w:val="both"/>
              <w:rPr>
                <w:rFonts w:eastAsia="Times New Roman" w:cs="Times New Roman"/>
                <w:noProof/>
              </w:rPr>
            </w:pPr>
            <w:r>
              <w:rPr>
                <w:noProof/>
              </w:rPr>
              <w:t xml:space="preserve">— les objectifs de l’enseignement préprimaire, primaire, secondaire inférieur et secondaire, </w:t>
            </w:r>
          </w:p>
          <w:p w14:paraId="2D9F29C4" w14:textId="2F41C36B" w:rsidR="00FA40E8" w:rsidRDefault="00E74AE8">
            <w:pPr>
              <w:pStyle w:val="P68B1DB1-Normal12"/>
              <w:spacing w:before="60" w:after="60"/>
              <w:jc w:val="both"/>
              <w:rPr>
                <w:rFonts w:eastAsia="Times New Roman" w:cs="Times New Roman"/>
                <w:noProof/>
              </w:rPr>
            </w:pPr>
            <w:r>
              <w:rPr>
                <w:noProof/>
              </w:rPr>
              <w:t>— le contenu,</w:t>
            </w:r>
          </w:p>
          <w:p w14:paraId="4E120F22" w14:textId="4E4447AE" w:rsidR="00FA40E8" w:rsidRDefault="00E74AE8">
            <w:pPr>
              <w:pStyle w:val="P68B1DB1-Normal12"/>
              <w:spacing w:before="60" w:after="60"/>
              <w:jc w:val="both"/>
              <w:rPr>
                <w:rFonts w:eastAsia="Times New Roman" w:cs="Times New Roman"/>
                <w:noProof/>
              </w:rPr>
            </w:pPr>
            <w:r>
              <w:rPr>
                <w:noProof/>
              </w:rPr>
              <w:t>— les nive</w:t>
            </w:r>
            <w:r>
              <w:rPr>
                <w:noProof/>
              </w:rPr>
              <w:t>aux d’obtention des acquis d’apprentissage.</w:t>
            </w:r>
          </w:p>
        </w:tc>
      </w:tr>
      <w:tr w:rsidR="00FA40E8" w14:paraId="41EC2C7E"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B4F244" w14:textId="77777777" w:rsidR="00FA40E8" w:rsidRDefault="00E74AE8">
            <w:pPr>
              <w:pStyle w:val="P68B1DB1-Normal12"/>
              <w:spacing w:before="60" w:after="60"/>
              <w:jc w:val="center"/>
              <w:rPr>
                <w:rFonts w:cs="Times New Roman"/>
                <w:noProof/>
              </w:rPr>
            </w:pPr>
            <w:r>
              <w:rPr>
                <w:noProof/>
              </w:rPr>
              <w:t>93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ABF1177" w14:textId="77777777" w:rsidR="00FA40E8" w:rsidRDefault="00E74AE8">
            <w:pPr>
              <w:pStyle w:val="P68B1DB1-Normal12"/>
              <w:spacing w:before="60" w:after="60"/>
              <w:rPr>
                <w:rFonts w:eastAsia="Times New Roman" w:cs="Times New Roman"/>
                <w:noProof/>
              </w:rPr>
            </w:pPr>
            <w:r>
              <w:rPr>
                <w:noProof/>
              </w:rPr>
              <w:t>D.1.1. Enseignement général moderne — Contexte des compétences de base</w:t>
            </w:r>
          </w:p>
          <w:p w14:paraId="48029D9C" w14:textId="35519861" w:rsidR="00FA40E8" w:rsidRDefault="00E74AE8">
            <w:pPr>
              <w:pStyle w:val="P68B1DB1-Normal12"/>
              <w:spacing w:before="60" w:after="60"/>
              <w:rPr>
                <w:rFonts w:cs="Times New Roman"/>
                <w:noProof/>
              </w:rPr>
            </w:pPr>
            <w:r>
              <w:rPr>
                <w:noProof/>
              </w:rPr>
              <w:t>D.1.1.2. Réorganisation du réseau scolaire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654F94"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4AA9570" w14:textId="77777777" w:rsidR="00FA40E8" w:rsidRDefault="00E74AE8">
            <w:pPr>
              <w:pStyle w:val="P68B1DB1-Normal12"/>
              <w:spacing w:before="60" w:after="60"/>
              <w:rPr>
                <w:rFonts w:cs="Times New Roman"/>
                <w:noProof/>
              </w:rPr>
            </w:pPr>
            <w:r>
              <w:rPr>
                <w:noProof/>
              </w:rPr>
              <w:t xml:space="preserve">Entrée en vigueur des modifications apportées aux règles relatives à la création d’un </w:t>
            </w:r>
            <w:r>
              <w:rPr>
                <w:noProof/>
              </w:rPr>
              <w:t>réseau d’écoles menant des programmes d’enseignement formel</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F33DE20" w14:textId="77777777" w:rsidR="00FA40E8" w:rsidRDefault="00E74AE8">
            <w:pPr>
              <w:pStyle w:val="P68B1DB1-Normal12"/>
              <w:spacing w:before="60" w:after="60"/>
              <w:rPr>
                <w:rFonts w:cs="Times New Roman"/>
                <w:noProof/>
              </w:rPr>
            </w:pPr>
            <w:r>
              <w:rPr>
                <w:noProof/>
              </w:rPr>
              <w:t xml:space="preserve">Entrée en vigueur de la législation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DD55F5" w14:textId="1BF91DCE"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3753CC" w14:textId="36FCD160"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969100" w14:textId="01911C71"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1458950" w14:textId="77777777" w:rsidR="00FA40E8" w:rsidRDefault="00E74AE8">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B19382" w14:textId="77777777" w:rsidR="00FA40E8" w:rsidRDefault="00E74AE8">
            <w:pPr>
              <w:pStyle w:val="P68B1DB1-Normal12"/>
              <w:spacing w:before="60" w:after="60"/>
              <w:jc w:val="center"/>
              <w:rPr>
                <w:rFonts w:cs="Times New Roman"/>
                <w:noProof/>
              </w:rPr>
            </w:pPr>
            <w:r>
              <w:rPr>
                <w:noProof/>
              </w:rPr>
              <w:t>2021</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74CD13" w14:textId="77777777" w:rsidR="00FA40E8" w:rsidRDefault="00E74AE8">
            <w:pPr>
              <w:spacing w:before="60" w:after="60"/>
              <w:jc w:val="both"/>
              <w:rPr>
                <w:rFonts w:ascii="Times New Roman" w:hAnsi="Times New Roman" w:cs="Times New Roman"/>
                <w:noProof/>
                <w:sz w:val="20"/>
              </w:rPr>
            </w:pPr>
            <w:r>
              <w:rPr>
                <w:rStyle w:val="jlqj4b"/>
                <w:rFonts w:ascii="Times New Roman" w:hAnsi="Times New Roman"/>
                <w:noProof/>
                <w:sz w:val="20"/>
              </w:rPr>
              <w:t>Entrée en vigueur des modifications apportées aux règles relatives à la création d’un réseau d’écoles dispensant des programmes d’enseignement forme</w:t>
            </w:r>
            <w:r>
              <w:rPr>
                <w:rStyle w:val="jlqj4b"/>
                <w:rFonts w:ascii="Times New Roman" w:hAnsi="Times New Roman"/>
                <w:noProof/>
                <w:sz w:val="20"/>
              </w:rPr>
              <w:t>l, qui fixent de nouvelles exigences pour les municipalités en ce qui concerne la taille de l’école, les règles applicables aux classes jointes et les autres procédures de réorganisation, les exigences de financement: les classes inférieures à celles spéci</w:t>
            </w:r>
            <w:r>
              <w:rPr>
                <w:rStyle w:val="jlqj4b"/>
                <w:rFonts w:ascii="Times New Roman" w:hAnsi="Times New Roman"/>
                <w:noProof/>
                <w:sz w:val="20"/>
              </w:rPr>
              <w:t>fiées dans les règles ne seraient pas financées. Les critères comprennent la suppression de la possibilité de fusionner les grades 5 à 8 et l’obligation de réorganiser les écoles publiques avec 60 élèves ou moins. Les nouvelles règles ont pour effet de réd</w:t>
            </w:r>
            <w:r>
              <w:rPr>
                <w:rStyle w:val="jlqj4b"/>
                <w:rFonts w:ascii="Times New Roman" w:hAnsi="Times New Roman"/>
                <w:noProof/>
                <w:sz w:val="20"/>
              </w:rPr>
              <w:t>uire le nombre de classes communes; le nombre de petites salles de gymnastique et le nombre de petites écoles (comptant moins de 200 élèves).</w:t>
            </w:r>
          </w:p>
        </w:tc>
      </w:tr>
      <w:tr w:rsidR="00FA40E8" w14:paraId="722F76BA"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73A868" w14:textId="77777777" w:rsidR="00FA40E8" w:rsidRDefault="00E74AE8">
            <w:pPr>
              <w:pStyle w:val="P68B1DB1-Normal12"/>
              <w:spacing w:before="60" w:after="60"/>
              <w:jc w:val="center"/>
              <w:rPr>
                <w:rFonts w:cs="Times New Roman"/>
                <w:noProof/>
              </w:rPr>
            </w:pPr>
            <w:r>
              <w:rPr>
                <w:noProof/>
              </w:rPr>
              <w:t>94</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C104DF6" w14:textId="77777777" w:rsidR="00FA40E8" w:rsidRDefault="00E74AE8">
            <w:pPr>
              <w:pStyle w:val="P68B1DB1-Normal12"/>
              <w:spacing w:before="60" w:after="60"/>
              <w:rPr>
                <w:rFonts w:eastAsia="Times New Roman" w:cs="Times New Roman"/>
                <w:noProof/>
              </w:rPr>
            </w:pPr>
            <w:r>
              <w:rPr>
                <w:noProof/>
              </w:rPr>
              <w:t>D.1.1. Enseignement général moderne — Contexte des compétences de base</w:t>
            </w:r>
          </w:p>
          <w:p w14:paraId="60C5E081" w14:textId="3A041B89" w:rsidR="00FA40E8" w:rsidRDefault="00E74AE8">
            <w:pPr>
              <w:pStyle w:val="P68B1DB1-Normal12"/>
              <w:spacing w:before="60" w:after="60"/>
              <w:rPr>
                <w:rFonts w:cs="Times New Roman"/>
                <w:noProof/>
              </w:rPr>
            </w:pPr>
            <w:r>
              <w:rPr>
                <w:noProof/>
              </w:rPr>
              <w:t xml:space="preserve">D.1.1.2. Réorganisation du réseau </w:t>
            </w:r>
            <w:r>
              <w:rPr>
                <w:noProof/>
              </w:rPr>
              <w:t>scolaire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24298F8"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FF32F58" w14:textId="77777777" w:rsidR="00FA40E8" w:rsidRDefault="00E74AE8">
            <w:pPr>
              <w:pStyle w:val="P68B1DB1-Normal12"/>
              <w:spacing w:before="60" w:after="60"/>
              <w:rPr>
                <w:rFonts w:cs="Times New Roman"/>
                <w:noProof/>
              </w:rPr>
            </w:pPr>
            <w:r>
              <w:rPr>
                <w:noProof/>
              </w:rPr>
              <w:t>Plans de transformation du réseau d’écoles d’enseignement général élaborés et approuvés par les municipalités conformément aux règles récemment approuvées pour le développement du réseau d’écoles mettant en œuvre des programmes d’enseignemen</w:t>
            </w:r>
            <w:r>
              <w:rPr>
                <w:noProof/>
              </w:rPr>
              <w:t>t formel</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6C2739" w14:textId="77777777" w:rsidR="00FA40E8" w:rsidRDefault="00E74AE8">
            <w:pPr>
              <w:pStyle w:val="P68B1DB1-Normal12"/>
              <w:spacing w:before="60" w:after="60"/>
              <w:rPr>
                <w:rFonts w:cs="Times New Roman"/>
                <w:noProof/>
              </w:rPr>
            </w:pPr>
            <w:r>
              <w:rPr>
                <w:noProof/>
              </w:rPr>
              <w:t>Décision des communes approuvant les plans par les communes</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29910B" w14:textId="2EC87603"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AE3CF1" w14:textId="0BF77176"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64E39C" w14:textId="43B4D90C"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07CAD78"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A17873F" w14:textId="77777777" w:rsidR="00FA40E8" w:rsidRDefault="00E74AE8">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2B2035" w14:textId="01064738" w:rsidR="00FA40E8" w:rsidRDefault="00E74AE8">
            <w:pPr>
              <w:pStyle w:val="P68B1DB1-Normal12"/>
              <w:spacing w:before="60" w:after="60"/>
              <w:jc w:val="both"/>
              <w:rPr>
                <w:rFonts w:eastAsia="Times New Roman" w:cs="Times New Roman"/>
                <w:noProof/>
              </w:rPr>
            </w:pPr>
            <w:r>
              <w:rPr>
                <w:noProof/>
              </w:rPr>
              <w:t>Les plans de transformation municipaux sur 5 ans couvrent la transformation du réseau scolaire, en particulier son objectif stratégique, ses objectifs, ses priorités, les indic</w:t>
            </w:r>
            <w:r>
              <w:rPr>
                <w:noProof/>
              </w:rPr>
              <w:t>ateurs de performance clés liés à la réduction de l’exclusion sociale, la qualité de l’éducation et/ou l’amélioration des résultats scolaires des élèves, une utilisation plus efficace des fonds, l’évaluation de la transformation du réseau scolaire, ainsi q</w:t>
            </w:r>
            <w:r>
              <w:rPr>
                <w:noProof/>
              </w:rPr>
              <w:t>u’un mécanisme pour la création, la réorganisation et la liquidation des écoles.</w:t>
            </w:r>
          </w:p>
          <w:p w14:paraId="57A06255" w14:textId="68E6D136" w:rsidR="00FA40E8" w:rsidRDefault="00E74AE8">
            <w:pPr>
              <w:pStyle w:val="P68B1DB1-Normal12"/>
              <w:spacing w:before="60" w:after="60"/>
              <w:jc w:val="both"/>
              <w:rPr>
                <w:rFonts w:eastAsia="Times New Roman" w:cs="Times New Roman"/>
                <w:noProof/>
              </w:rPr>
            </w:pPr>
            <w:r>
              <w:rPr>
                <w:noProof/>
              </w:rPr>
              <w:t>Les plans quinquennaux sont élaborés par l’administration municipale et approuvés par le conseil municipal. Les décisions des conseils municipaux sont supervisées par un repré</w:t>
            </w:r>
            <w:r>
              <w:rPr>
                <w:noProof/>
              </w:rPr>
              <w:t>sentant du gouvernement. La mise en œuvre des plans fait l’objet d’un suivi par le département «Qualité de l’éducation et politique régionale» du ministère de l’éducation et des sciences.</w:t>
            </w:r>
          </w:p>
          <w:p w14:paraId="6048292B" w14:textId="79F4E25A" w:rsidR="00FA40E8" w:rsidRDefault="00E74AE8">
            <w:pPr>
              <w:pStyle w:val="P68B1DB1-Normal12"/>
              <w:spacing w:before="60" w:after="60"/>
              <w:jc w:val="both"/>
              <w:rPr>
                <w:rFonts w:eastAsia="Times New Roman" w:cs="Times New Roman"/>
                <w:noProof/>
              </w:rPr>
            </w:pPr>
            <w:r>
              <w:rPr>
                <w:noProof/>
              </w:rPr>
              <w:t xml:space="preserve">Les décisions relatives à la restructuration des écoles sont prises </w:t>
            </w:r>
            <w:r>
              <w:rPr>
                <w:noProof/>
              </w:rPr>
              <w:t xml:space="preserve">au plus tard le 30 avril de chaque année. </w:t>
            </w:r>
          </w:p>
          <w:p w14:paraId="1623B04F" w14:textId="6B2E0EAB" w:rsidR="00FA40E8" w:rsidRDefault="00E74AE8">
            <w:pPr>
              <w:pStyle w:val="P68B1DB1-Normal12"/>
              <w:spacing w:before="60" w:after="60"/>
              <w:jc w:val="both"/>
              <w:rPr>
                <w:rFonts w:eastAsia="Times New Roman" w:cs="Times New Roman"/>
                <w:noProof/>
              </w:rPr>
            </w:pPr>
            <w:r>
              <w:rPr>
                <w:noProof/>
              </w:rPr>
              <w:t>Au moins 80 % des municipalités élaborent et adoptent des plans de transformation. Au moins 80 % des municipalités élaborent et adoptent des plans de transformation de leur réseau d’écoles jusqu’en 2025 inclus, co</w:t>
            </w:r>
            <w:r>
              <w:rPr>
                <w:noProof/>
              </w:rPr>
              <w:t>nformément aux règles applicables.</w:t>
            </w:r>
          </w:p>
        </w:tc>
      </w:tr>
      <w:tr w:rsidR="00FA40E8" w14:paraId="29BA2965"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1EAA7F8" w14:textId="77777777" w:rsidR="00FA40E8" w:rsidRDefault="00E74AE8">
            <w:pPr>
              <w:pStyle w:val="P68B1DB1-Normal12"/>
              <w:spacing w:before="60" w:after="60"/>
              <w:jc w:val="center"/>
              <w:rPr>
                <w:rFonts w:cs="Times New Roman"/>
                <w:noProof/>
              </w:rPr>
            </w:pPr>
            <w:r>
              <w:rPr>
                <w:noProof/>
              </w:rPr>
              <w:t>95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3AAC3C" w14:textId="1F4C1D9D" w:rsidR="00FA40E8" w:rsidRDefault="00E74AE8">
            <w:pPr>
              <w:pStyle w:val="P68B1DB1-Normal12"/>
              <w:spacing w:before="60" w:after="60"/>
              <w:rPr>
                <w:rFonts w:eastAsia="Times New Roman" w:cs="Times New Roman"/>
                <w:noProof/>
              </w:rPr>
            </w:pPr>
            <w:r>
              <w:rPr>
                <w:noProof/>
              </w:rPr>
              <w:t>D.1.1. Enseignement général moderne — Contexte des compétences de base</w:t>
            </w:r>
          </w:p>
          <w:p w14:paraId="1D60FF8A" w14:textId="6FEDC563" w:rsidR="00FA40E8" w:rsidRDefault="00E74AE8">
            <w:pPr>
              <w:pStyle w:val="P68B1DB1-Text127"/>
              <w:spacing w:before="60" w:after="60" w:line="276" w:lineRule="auto"/>
              <w:ind w:left="0"/>
              <w:jc w:val="left"/>
              <w:rPr>
                <w:noProof/>
              </w:rPr>
            </w:pPr>
            <w:r>
              <w:rPr>
                <w:noProof/>
              </w:rPr>
              <w:t>D.1.1.3: Programme des écoles du millénaire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D3803A3"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F04806" w14:textId="77777777" w:rsidR="00FA40E8" w:rsidRDefault="00E74AE8">
            <w:pPr>
              <w:pStyle w:val="P68B1DB1-Normal12"/>
              <w:spacing w:before="60" w:after="60"/>
              <w:rPr>
                <w:rFonts w:cs="Times New Roman"/>
                <w:noProof/>
              </w:rPr>
            </w:pPr>
            <w:r>
              <w:rPr>
                <w:noProof/>
              </w:rPr>
              <w:t xml:space="preserve">Entrée en vigueur de la législation relative au programme de progrès scolaire du Millénaire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932002" w14:textId="6EA8B412" w:rsidR="00FA40E8" w:rsidRDefault="00E74AE8">
            <w:pPr>
              <w:pStyle w:val="P68B1DB1-Normal12"/>
              <w:spacing w:before="60" w:after="60"/>
              <w:rPr>
                <w:rFonts w:cs="Times New Roman"/>
                <w:noProof/>
              </w:rPr>
            </w:pPr>
            <w:r>
              <w:rPr>
                <w:noProof/>
              </w:rPr>
              <w:t>Entrée en vigueur de la législation</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3FE643" w14:textId="459D9CA3"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E7163CA" w14:textId="4A8EEDE2"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F0E3937" w14:textId="6848DAAE"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FB5BE23" w14:textId="77777777" w:rsidR="00FA40E8" w:rsidRDefault="00E74AE8">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4BFF4E" w14:textId="77777777" w:rsidR="00FA40E8" w:rsidRDefault="00E74AE8">
            <w:pPr>
              <w:pStyle w:val="P68B1DB1-Normal12"/>
              <w:spacing w:before="60" w:after="60"/>
              <w:jc w:val="center"/>
              <w:rPr>
                <w:rFonts w:cs="Times New Roman"/>
                <w:noProof/>
              </w:rPr>
            </w:pPr>
            <w:r>
              <w:rPr>
                <w:noProof/>
              </w:rPr>
              <w:t>2021</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08E5531" w14:textId="77777777" w:rsidR="00FA40E8" w:rsidRDefault="00E74AE8">
            <w:pPr>
              <w:pStyle w:val="P68B1DB1-Normal12"/>
              <w:spacing w:before="60" w:after="60"/>
              <w:jc w:val="both"/>
              <w:rPr>
                <w:rFonts w:eastAsiaTheme="minorEastAsia" w:cs="Times New Roman"/>
                <w:noProof/>
              </w:rPr>
            </w:pPr>
            <w:r>
              <w:rPr>
                <w:noProof/>
              </w:rPr>
              <w:t>Entrée en vigueur de la législation relative au programme de progrès scolaire du Millénaire, qui comprend les éléments suivants:</w:t>
            </w:r>
          </w:p>
          <w:p w14:paraId="6F66E3F5" w14:textId="77777777" w:rsidR="00FA40E8" w:rsidRDefault="00E74AE8">
            <w:pPr>
              <w:pStyle w:val="P68B1DB1-Normal12"/>
              <w:spacing w:before="60" w:after="60"/>
              <w:jc w:val="both"/>
              <w:rPr>
                <w:rFonts w:eastAsia="Times New Roman" w:cs="Times New Roman"/>
                <w:noProof/>
              </w:rPr>
            </w:pPr>
            <w:r>
              <w:rPr>
                <w:noProof/>
              </w:rPr>
              <w:t>1) les listes des indicateurs de suivi de la qualité de l’enseignement des munic</w:t>
            </w:r>
            <w:r>
              <w:rPr>
                <w:noProof/>
              </w:rPr>
              <w:t xml:space="preserve">ipalités et des écoles (il est approuvé par arrêté du ministre de l’éducation, des sciences et des sports) </w:t>
            </w:r>
          </w:p>
          <w:p w14:paraId="59441FD2" w14:textId="77777777" w:rsidR="00FA40E8" w:rsidRDefault="00E74AE8">
            <w:pPr>
              <w:pStyle w:val="P68B1DB1-Normal12"/>
              <w:spacing w:before="60" w:after="60"/>
              <w:jc w:val="both"/>
              <w:rPr>
                <w:rFonts w:eastAsia="Times New Roman" w:cs="Times New Roman"/>
                <w:noProof/>
              </w:rPr>
            </w:pPr>
            <w:r>
              <w:rPr>
                <w:noProof/>
              </w:rPr>
              <w:t>2) modifications des règles de développement du réseau scolaire (approuvées par la résolution du gouvernement de la République de Lituanie)</w:t>
            </w:r>
          </w:p>
          <w:p w14:paraId="25859D5F" w14:textId="77777777" w:rsidR="00FA40E8" w:rsidRDefault="00E74AE8">
            <w:pPr>
              <w:pStyle w:val="P68B1DB1-Normal12"/>
              <w:spacing w:before="60" w:after="60"/>
              <w:jc w:val="both"/>
              <w:rPr>
                <w:rFonts w:eastAsia="Times New Roman" w:cs="Times New Roman"/>
                <w:noProof/>
              </w:rPr>
            </w:pPr>
            <w:r>
              <w:rPr>
                <w:noProof/>
              </w:rPr>
              <w:t>3) progr</w:t>
            </w:r>
            <w:r>
              <w:rPr>
                <w:noProof/>
              </w:rPr>
              <w:t>amme de progrès scolaire du millénaire (approuvé par arrêté du ministre de l’éducation, des sciences et des sports)</w:t>
            </w:r>
          </w:p>
          <w:p w14:paraId="11F31670" w14:textId="77777777" w:rsidR="00FA40E8" w:rsidRDefault="00E74AE8">
            <w:pPr>
              <w:pStyle w:val="P68B1DB1-Normal12"/>
              <w:spacing w:before="60" w:after="60"/>
              <w:jc w:val="both"/>
              <w:rPr>
                <w:rFonts w:eastAsia="Times New Roman" w:cs="Times New Roman"/>
                <w:noProof/>
              </w:rPr>
            </w:pPr>
            <w:r>
              <w:rPr>
                <w:noProof/>
              </w:rPr>
              <w:t>4) exigences relatives aux appels à propositions pour les municipalités (objectifs, indicateurs, trains de mesures de soutien pour les munic</w:t>
            </w:r>
            <w:r>
              <w:rPr>
                <w:noProof/>
              </w:rPr>
              <w:t xml:space="preserve">ipalités et les écoles) </w:t>
            </w:r>
          </w:p>
          <w:p w14:paraId="35B080C2" w14:textId="77777777" w:rsidR="00FA40E8" w:rsidRDefault="00E74AE8">
            <w:pPr>
              <w:pStyle w:val="P68B1DB1-Normal12"/>
              <w:spacing w:before="60" w:after="60"/>
              <w:jc w:val="both"/>
              <w:rPr>
                <w:rFonts w:eastAsia="Times New Roman" w:cs="Times New Roman"/>
                <w:noProof/>
              </w:rPr>
            </w:pPr>
            <w:r>
              <w:rPr>
                <w:noProof/>
              </w:rPr>
              <w:t xml:space="preserve">5) un mécanisme de suivi. </w:t>
            </w:r>
          </w:p>
          <w:p w14:paraId="4F48638C" w14:textId="77777777" w:rsidR="00FA40E8" w:rsidRDefault="00E74AE8">
            <w:pPr>
              <w:pStyle w:val="P68B1DB1-Normal12"/>
              <w:spacing w:before="60" w:after="60"/>
              <w:jc w:val="both"/>
              <w:rPr>
                <w:rFonts w:eastAsia="Times New Roman" w:cs="Times New Roman"/>
                <w:noProof/>
              </w:rPr>
            </w:pPr>
            <w:r>
              <w:rPr>
                <w:noProof/>
              </w:rPr>
              <w:t>Les candidats municipaux satisfont aux critères de sélection nécessaires:</w:t>
            </w:r>
          </w:p>
          <w:p w14:paraId="271FE03B" w14:textId="77777777" w:rsidR="00FA40E8" w:rsidRDefault="00E74AE8">
            <w:pPr>
              <w:pStyle w:val="P68B1DB1-Normal12"/>
              <w:spacing w:before="60" w:after="60"/>
              <w:jc w:val="both"/>
              <w:rPr>
                <w:rFonts w:eastAsia="Times New Roman" w:cs="Times New Roman"/>
                <w:noProof/>
              </w:rPr>
            </w:pPr>
            <w:r>
              <w:rPr>
                <w:noProof/>
              </w:rPr>
              <w:t>1. peut faire valoir:</w:t>
            </w:r>
          </w:p>
          <w:p w14:paraId="0CEA0044" w14:textId="5A80E62F" w:rsidR="00FA40E8" w:rsidRDefault="00E74AE8">
            <w:pPr>
              <w:pStyle w:val="P68B1DB1-Normal12"/>
              <w:spacing w:before="60" w:after="60"/>
              <w:jc w:val="both"/>
              <w:rPr>
                <w:rFonts w:eastAsia="Times New Roman" w:cs="Times New Roman"/>
                <w:noProof/>
              </w:rPr>
            </w:pPr>
            <w:r>
              <w:rPr>
                <w:noProof/>
              </w:rPr>
              <w:t xml:space="preserve">1.1. une municipalité comptant au moins 1 000 élèves dans l’enseignement préprimaire, primaire, fondamental </w:t>
            </w:r>
            <w:r>
              <w:rPr>
                <w:noProof/>
              </w:rPr>
              <w:t>et secondaire;</w:t>
            </w:r>
          </w:p>
          <w:p w14:paraId="0818F976" w14:textId="77777777" w:rsidR="00FA40E8" w:rsidRDefault="00E74AE8">
            <w:pPr>
              <w:pStyle w:val="P68B1DB1-Normal12"/>
              <w:spacing w:before="60" w:after="60"/>
              <w:jc w:val="both"/>
              <w:rPr>
                <w:rFonts w:eastAsia="Times New Roman" w:cs="Times New Roman"/>
                <w:noProof/>
              </w:rPr>
            </w:pPr>
            <w:r>
              <w:rPr>
                <w:noProof/>
              </w:rPr>
              <w:t xml:space="preserve">1.2. deux ou plusieurs communes contiguës (territorialement contiguës) correspondant au critère 1; </w:t>
            </w:r>
          </w:p>
          <w:p w14:paraId="4126E5A8" w14:textId="77777777" w:rsidR="00FA40E8" w:rsidRDefault="00E74AE8">
            <w:pPr>
              <w:pStyle w:val="P68B1DB1-Normal12"/>
              <w:spacing w:before="60" w:after="60"/>
              <w:jc w:val="both"/>
              <w:rPr>
                <w:rFonts w:eastAsia="Times New Roman" w:cs="Times New Roman"/>
                <w:noProof/>
              </w:rPr>
            </w:pPr>
            <w:r>
              <w:rPr>
                <w:noProof/>
              </w:rPr>
              <w:t>1.3. deux ou plusieurs communes adjacentes (territorialement adjacentes), lorsque l’une d’entre elles ne satisfait pas au critère 1.1.</w:t>
            </w:r>
          </w:p>
          <w:p w14:paraId="0C4523F1" w14:textId="77777777" w:rsidR="00FA40E8" w:rsidRDefault="00E74AE8">
            <w:pPr>
              <w:pStyle w:val="P68B1DB1-Normal12"/>
              <w:spacing w:before="60" w:after="60"/>
              <w:jc w:val="both"/>
              <w:rPr>
                <w:rFonts w:eastAsia="Times New Roman" w:cs="Times New Roman"/>
                <w:noProof/>
              </w:rPr>
            </w:pPr>
            <w:r>
              <w:rPr>
                <w:noProof/>
              </w:rPr>
              <w:t xml:space="preserve">2. </w:t>
            </w:r>
            <w:r>
              <w:rPr>
                <w:noProof/>
              </w:rPr>
              <w:t>Conditions préalables:</w:t>
            </w:r>
          </w:p>
          <w:p w14:paraId="53809A15" w14:textId="77777777" w:rsidR="00FA40E8" w:rsidRDefault="00E74AE8">
            <w:pPr>
              <w:pStyle w:val="P68B1DB1-Normal12"/>
              <w:spacing w:before="60" w:after="60"/>
              <w:jc w:val="both"/>
              <w:rPr>
                <w:rFonts w:eastAsia="Times New Roman" w:cs="Times New Roman"/>
                <w:noProof/>
              </w:rPr>
            </w:pPr>
            <w:r>
              <w:rPr>
                <w:noProof/>
              </w:rPr>
              <w:t>2.1. une vision pour le développement d’un réseau d’écoles progressistes du millénaire a été élaborée: les investissements et les innovations planifiés sont identifiés, afin d’atteindre la norme de qualité des écoles du millénaire, d</w:t>
            </w:r>
            <w:r>
              <w:rPr>
                <w:noProof/>
              </w:rPr>
              <w:t xml:space="preserve">e renforcer l’expression des caractéristiques de la «Good School», de mettre en œuvre les engagements en fonction d’indicateurs de progrès; </w:t>
            </w:r>
          </w:p>
          <w:p w14:paraId="07A4070D" w14:textId="77777777" w:rsidR="00FA40E8" w:rsidRDefault="00E74AE8">
            <w:pPr>
              <w:pStyle w:val="P68B1DB1-Normal12"/>
              <w:spacing w:before="60" w:after="60"/>
              <w:jc w:val="both"/>
              <w:rPr>
                <w:rFonts w:eastAsia="Times New Roman" w:cs="Times New Roman"/>
                <w:noProof/>
              </w:rPr>
            </w:pPr>
            <w:r>
              <w:rPr>
                <w:noProof/>
              </w:rPr>
              <w:t>2.2. le plan général de réorganisation du réseau scolaire général pour la période 2021-2025 approuvé par le conseil</w:t>
            </w:r>
            <w:r>
              <w:rPr>
                <w:noProof/>
              </w:rPr>
              <w:t xml:space="preserve"> municipal, qui est conforme aux dispositions des règles relatives au développement du réseau scolaire mettant en œuvre des programmes éducatifs formels (par exemple, pas de grades communs 5-8; dans les classes 1 à 4, seules les classes 1 et 2 ou 3 et 4 pe</w:t>
            </w:r>
            <w:r>
              <w:rPr>
                <w:noProof/>
              </w:rPr>
              <w:t>uvent être combinées.);</w:t>
            </w:r>
          </w:p>
          <w:p w14:paraId="3AAF3505" w14:textId="1DD37A5D" w:rsidR="00FA40E8" w:rsidRDefault="00E74AE8">
            <w:pPr>
              <w:pStyle w:val="P68B1DB1-Normal12"/>
              <w:spacing w:before="60" w:after="60"/>
              <w:jc w:val="both"/>
              <w:rPr>
                <w:rFonts w:eastAsia="Times New Roman" w:cs="Times New Roman"/>
                <w:noProof/>
              </w:rPr>
            </w:pPr>
            <w:r>
              <w:rPr>
                <w:noProof/>
              </w:rPr>
              <w:t>2.3. la liste des écoles formant le réseau des «écoles du millénaire» dans la municipalité et répondant aux critères du point 3 approuvés par le conseil municipal;.</w:t>
            </w:r>
          </w:p>
          <w:p w14:paraId="6E91DC9A" w14:textId="77777777" w:rsidR="00FA40E8" w:rsidRDefault="00E74AE8">
            <w:pPr>
              <w:pStyle w:val="P68B1DB1-Normal12"/>
              <w:spacing w:before="60" w:after="60"/>
              <w:jc w:val="both"/>
              <w:rPr>
                <w:rFonts w:eastAsia="Times New Roman" w:cs="Times New Roman"/>
                <w:noProof/>
              </w:rPr>
            </w:pPr>
            <w:r>
              <w:rPr>
                <w:noProof/>
              </w:rPr>
              <w:t>3. Critères pour les écoles (ne s’applique pas aux écoles qu’il est</w:t>
            </w:r>
            <w:r>
              <w:rPr>
                <w:noProof/>
              </w:rPr>
              <w:t xml:space="preserve"> prévu d’établir):</w:t>
            </w:r>
          </w:p>
          <w:p w14:paraId="6CC8ED57" w14:textId="77777777" w:rsidR="00FA40E8" w:rsidRDefault="00E74AE8">
            <w:pPr>
              <w:pStyle w:val="P68B1DB1-Normal12"/>
              <w:spacing w:before="60" w:after="60"/>
              <w:jc w:val="both"/>
              <w:rPr>
                <w:rFonts w:eastAsia="Times New Roman" w:cs="Times New Roman"/>
                <w:noProof/>
              </w:rPr>
            </w:pPr>
            <w:r>
              <w:rPr>
                <w:noProof/>
              </w:rPr>
              <w:t>3.1. l’école n’organise pas la sélection des élèves lors de l’admission;</w:t>
            </w:r>
          </w:p>
          <w:p w14:paraId="734603EF" w14:textId="550A02D2" w:rsidR="00FA40E8" w:rsidRDefault="00E74AE8">
            <w:pPr>
              <w:pStyle w:val="P68B1DB1-Normal12"/>
              <w:spacing w:before="60" w:after="60"/>
              <w:jc w:val="both"/>
              <w:rPr>
                <w:rFonts w:eastAsia="Times New Roman" w:cs="Times New Roman"/>
                <w:noProof/>
              </w:rPr>
            </w:pPr>
            <w:r>
              <w:rPr>
                <w:noProof/>
              </w:rPr>
              <w:t>3.2. nombre d’élèves au 1 septembre de l’année scolaire en cours. Il y a au moins 200 étudiants.</w:t>
            </w:r>
          </w:p>
          <w:p w14:paraId="6011E63A" w14:textId="77777777" w:rsidR="00FA40E8" w:rsidRDefault="00E74AE8">
            <w:pPr>
              <w:pStyle w:val="P68B1DB1-Normal12"/>
              <w:spacing w:before="60" w:after="60"/>
              <w:jc w:val="both"/>
              <w:rPr>
                <w:rFonts w:cs="Times New Roman"/>
                <w:noProof/>
              </w:rPr>
            </w:pPr>
            <w:r>
              <w:rPr>
                <w:noProof/>
              </w:rPr>
              <w:t>La mise en œuvre du programme fait l’objet d’un suivi par le minist</w:t>
            </w:r>
            <w:r>
              <w:rPr>
                <w:noProof/>
              </w:rPr>
              <w:t>ère de l’éducation, des sciences et des sports (un groupe de suivi a été mis en place).</w:t>
            </w:r>
          </w:p>
        </w:tc>
      </w:tr>
      <w:tr w:rsidR="00FA40E8" w14:paraId="7ACD24FF"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D2D7DD" w14:textId="4DD47AF6" w:rsidR="00FA40E8" w:rsidRDefault="00E74AE8">
            <w:pPr>
              <w:pStyle w:val="P68B1DB1-Normal12"/>
              <w:spacing w:before="60" w:after="60"/>
              <w:jc w:val="center"/>
              <w:rPr>
                <w:rFonts w:cs="Times New Roman"/>
                <w:noProof/>
              </w:rPr>
            </w:pPr>
            <w:r>
              <w:rPr>
                <w:noProof/>
              </w:rPr>
              <w:t>96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B020C2" w14:textId="28D27B7D" w:rsidR="00FA40E8" w:rsidRDefault="00E74AE8">
            <w:pPr>
              <w:pStyle w:val="P68B1DB1-Normal12"/>
              <w:spacing w:before="60" w:after="60"/>
              <w:rPr>
                <w:rFonts w:cs="Times New Roman"/>
                <w:noProof/>
              </w:rPr>
            </w:pPr>
            <w:r>
              <w:rPr>
                <w:noProof/>
              </w:rPr>
              <w:t>D.1.1 Enseignement général moderne — Contexte des compétences de base</w:t>
            </w:r>
          </w:p>
          <w:p w14:paraId="561EE8FB" w14:textId="6F54BE0B" w:rsidR="00FA40E8" w:rsidRDefault="00E74AE8">
            <w:pPr>
              <w:pStyle w:val="P68B1DB1-Text127"/>
              <w:spacing w:before="60" w:after="60" w:line="276" w:lineRule="auto"/>
              <w:ind w:left="0"/>
              <w:jc w:val="left"/>
              <w:rPr>
                <w:noProof/>
              </w:rPr>
            </w:pPr>
            <w:r>
              <w:rPr>
                <w:noProof/>
              </w:rPr>
              <w:t>D.1.1.3: Programme des écoles du millénaire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DCBAAC" w14:textId="77777777" w:rsidR="00FA40E8" w:rsidRDefault="00E74AE8">
            <w:pPr>
              <w:pStyle w:val="P68B1DB1-Normal12"/>
              <w:spacing w:before="60" w:after="60"/>
              <w:jc w:val="center"/>
              <w:rPr>
                <w:rFonts w:cs="Times New Roman"/>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F2625B" w14:textId="7C1B259A" w:rsidR="00FA40E8" w:rsidRDefault="00E74AE8">
            <w:pPr>
              <w:pStyle w:val="P68B1DB1-Normal12"/>
              <w:spacing w:before="60" w:after="60"/>
              <w:rPr>
                <w:rFonts w:cs="Times New Roman"/>
                <w:noProof/>
              </w:rPr>
            </w:pPr>
            <w:r>
              <w:rPr>
                <w:noProof/>
              </w:rPr>
              <w:t xml:space="preserve">Rapports validés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B3F8ED" w14:textId="700297B9" w:rsidR="00FA40E8" w:rsidRDefault="00FA40E8">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617AF6" w14:textId="08F2B212" w:rsidR="00FA40E8" w:rsidRDefault="00E74AE8">
            <w:pPr>
              <w:pStyle w:val="P68B1DB1-Normal12"/>
              <w:spacing w:before="60" w:after="60"/>
              <w:rPr>
                <w:rFonts w:cs="Times New Roman"/>
                <w:noProof/>
              </w:rPr>
            </w:pPr>
            <w:r>
              <w:rPr>
                <w:noProof/>
              </w:rPr>
              <w:t xml:space="preserve">Nombre de rapports </w:t>
            </w:r>
            <w:r>
              <w:rPr>
                <w:noProof/>
              </w:rPr>
              <w:t>validés</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B6ECBC" w14:textId="77777777" w:rsidR="00FA40E8" w:rsidRDefault="00E74AE8">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A4B912" w14:textId="04530B1D" w:rsidR="00FA40E8" w:rsidRDefault="00E74AE8">
            <w:pPr>
              <w:pStyle w:val="P68B1DB1-Normal12"/>
              <w:spacing w:before="60" w:after="60"/>
              <w:jc w:val="center"/>
              <w:rPr>
                <w:rFonts w:cs="Times New Roman"/>
                <w:noProof/>
              </w:rPr>
            </w:pPr>
            <w:r>
              <w:rPr>
                <w:noProof/>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5CBA0A"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59C497" w14:textId="00DE11E9" w:rsidR="00FA40E8" w:rsidRDefault="00E74AE8">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D775C1" w14:textId="116D8A66" w:rsidR="00FA40E8" w:rsidRDefault="00E74AE8">
            <w:pPr>
              <w:pStyle w:val="P68B1DB1-Normal13"/>
              <w:spacing w:after="0"/>
              <w:jc w:val="both"/>
              <w:rPr>
                <w:noProof/>
              </w:rPr>
            </w:pPr>
            <w:r>
              <w:rPr>
                <w:noProof/>
              </w:rPr>
              <w:t xml:space="preserve">Des accords sont conclus entre l’Agence du FSE et la CPMA pour le soutien d’au moins 150 écoles, comme le confirment les rapports de l’Agence du FSE à la CPMA. Ces rapports sont vérifiés par la CPMA au moyen d’une fiche de vérification </w:t>
            </w:r>
            <w:r>
              <w:rPr>
                <w:noProof/>
              </w:rPr>
              <w:t>de la réalisation des objectifs, conformément à la procédure de suivi et de paiement.</w:t>
            </w:r>
          </w:p>
        </w:tc>
      </w:tr>
      <w:tr w:rsidR="00FA40E8" w14:paraId="1F33300E"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E0F6B8D" w14:textId="77777777" w:rsidR="00FA40E8" w:rsidRDefault="00E74AE8">
            <w:pPr>
              <w:pStyle w:val="P68B1DB1-Normal12"/>
              <w:spacing w:before="60" w:after="60"/>
              <w:jc w:val="center"/>
              <w:rPr>
                <w:rFonts w:cs="Times New Roman"/>
                <w:noProof/>
              </w:rPr>
            </w:pPr>
            <w:r>
              <w:rPr>
                <w:noProof/>
              </w:rPr>
              <w:t>98</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9E0BF7" w14:textId="77777777" w:rsidR="00FA40E8" w:rsidRDefault="00E74AE8">
            <w:pPr>
              <w:pStyle w:val="P68B1DB1-Normal12"/>
              <w:spacing w:before="60" w:after="60"/>
              <w:rPr>
                <w:rFonts w:cs="Times New Roman"/>
                <w:noProof/>
              </w:rPr>
            </w:pPr>
            <w:r>
              <w:rPr>
                <w:noProof/>
              </w:rPr>
              <w:t>D.1.1. Enseignement général moderne — Contexte des compétences de base</w:t>
            </w:r>
          </w:p>
          <w:p w14:paraId="730CD5A8" w14:textId="4C873506" w:rsidR="00FA40E8" w:rsidRDefault="00E74AE8">
            <w:pPr>
              <w:pStyle w:val="P68B1DB1-Normal12"/>
              <w:spacing w:before="60" w:after="60"/>
              <w:rPr>
                <w:rFonts w:cs="Times New Roman"/>
                <w:noProof/>
              </w:rPr>
            </w:pPr>
            <w:r>
              <w:rPr>
                <w:noProof/>
              </w:rPr>
              <w:t>D.1.1.4: Formation du personnel pédagogique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6D79DA" w14:textId="77777777" w:rsidR="00FA40E8" w:rsidRDefault="00E74AE8">
            <w:pPr>
              <w:pStyle w:val="P68B1DB1-Normal12"/>
              <w:spacing w:before="60" w:after="60"/>
              <w:jc w:val="center"/>
              <w:rPr>
                <w:rFonts w:cs="Times New Roman"/>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E888B8" w14:textId="6E5FBCC5" w:rsidR="00FA40E8" w:rsidRDefault="00E74AE8">
            <w:pPr>
              <w:pStyle w:val="P68B1DB1-Normal12"/>
              <w:spacing w:before="60" w:after="60"/>
              <w:rPr>
                <w:noProof/>
              </w:rPr>
            </w:pPr>
            <w:r>
              <w:rPr>
                <w:noProof/>
              </w:rPr>
              <w:t xml:space="preserve">Nombre de personnes formées ou ayant </w:t>
            </w:r>
            <w:r>
              <w:rPr>
                <w:noProof/>
              </w:rPr>
              <w:t>obtenu un master</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D1E397" w14:textId="09C7478D" w:rsidR="00FA40E8" w:rsidRDefault="00FA40E8">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151582" w14:textId="77777777" w:rsidR="00FA40E8" w:rsidRDefault="00E74AE8">
            <w:pPr>
              <w:pStyle w:val="P68B1DB1-Normal12"/>
              <w:spacing w:before="60" w:after="60"/>
              <w:jc w:val="center"/>
              <w:rPr>
                <w:rFonts w:cs="Times New Roman"/>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E70D98" w14:textId="77777777" w:rsidR="00FA40E8" w:rsidRDefault="00E74AE8">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015350" w14:textId="138A9C80" w:rsidR="00FA40E8" w:rsidRDefault="00E74AE8">
            <w:pPr>
              <w:pStyle w:val="P68B1DB1-Normal12"/>
              <w:spacing w:before="60" w:after="60"/>
              <w:jc w:val="center"/>
              <w:rPr>
                <w:noProof/>
              </w:rPr>
            </w:pPr>
            <w:r>
              <w:rPr>
                <w:noProof/>
              </w:rPr>
              <w:t>4 900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E60EC2"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D11B7D" w14:textId="77777777" w:rsidR="00FA40E8" w:rsidRDefault="00E74AE8">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471D14" w14:textId="61A619FB" w:rsidR="00FA40E8" w:rsidRDefault="00E74AE8">
            <w:pPr>
              <w:pStyle w:val="P68B1DB1-Normal12"/>
              <w:spacing w:before="60" w:after="60"/>
              <w:jc w:val="both"/>
              <w:rPr>
                <w:rFonts w:eastAsia="Times New Roman" w:cs="Times New Roman"/>
                <w:noProof/>
              </w:rPr>
            </w:pPr>
            <w:r>
              <w:rPr>
                <w:noProof/>
              </w:rPr>
              <w:t>4 000 personnes ont été formées et 900 ont obtenu un master.</w:t>
            </w:r>
          </w:p>
        </w:tc>
      </w:tr>
      <w:tr w:rsidR="00FA40E8" w14:paraId="548AAE91"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C74DE0" w14:textId="77777777" w:rsidR="00FA40E8" w:rsidRDefault="00E74AE8">
            <w:pPr>
              <w:pStyle w:val="P68B1DB1-Normal12"/>
              <w:spacing w:before="60" w:after="60"/>
              <w:jc w:val="center"/>
              <w:rPr>
                <w:rFonts w:cs="Times New Roman"/>
                <w:noProof/>
              </w:rPr>
            </w:pPr>
            <w:r>
              <w:rPr>
                <w:noProof/>
              </w:rPr>
              <w:t>99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03341C" w14:textId="77777777" w:rsidR="00FA40E8" w:rsidRDefault="00E74AE8">
            <w:pPr>
              <w:pStyle w:val="P68B1DB1-Normal12"/>
              <w:spacing w:before="60" w:after="60"/>
              <w:rPr>
                <w:rFonts w:cs="Times New Roman"/>
                <w:noProof/>
              </w:rPr>
            </w:pPr>
            <w:r>
              <w:rPr>
                <w:noProof/>
              </w:rPr>
              <w:t>D.1.1. Enseignement général moderne — Contexte des compétences de base</w:t>
            </w:r>
          </w:p>
          <w:p w14:paraId="1BF2F6AF" w14:textId="20B2AD3C" w:rsidR="00FA40E8" w:rsidRDefault="00E74AE8">
            <w:pPr>
              <w:pStyle w:val="P68B1DB1-Normal12"/>
              <w:spacing w:before="60" w:after="60"/>
              <w:rPr>
                <w:rFonts w:cs="Times New Roman"/>
                <w:noProof/>
              </w:rPr>
            </w:pPr>
            <w:r>
              <w:rPr>
                <w:noProof/>
              </w:rPr>
              <w:t>D.1.1.4: Formation du personnel pédagogique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2EE4940"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6F25B4" w14:textId="09FF6454" w:rsidR="00FA40E8" w:rsidRDefault="00E74AE8">
            <w:pPr>
              <w:pStyle w:val="P68B1DB1-Normal12"/>
              <w:spacing w:before="60" w:after="60"/>
              <w:rPr>
                <w:rFonts w:cs="Times New Roman"/>
                <w:noProof/>
              </w:rPr>
            </w:pPr>
            <w:r>
              <w:rPr>
                <w:noProof/>
              </w:rPr>
              <w:t>Entrée en vigueur de la législation fixant les exigences relatives à la préparation et à la mise en œuvre des programmes nationaux de développement des qualifications du personnel pédagogique.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0655FD" w14:textId="77777777" w:rsidR="00FA40E8" w:rsidRDefault="00E74AE8">
            <w:pPr>
              <w:pStyle w:val="P68B1DB1-Normal12"/>
              <w:spacing w:before="60" w:after="60"/>
              <w:rPr>
                <w:rFonts w:cs="Times New Roman"/>
                <w:noProof/>
              </w:rPr>
            </w:pPr>
            <w:r>
              <w:rPr>
                <w:noProof/>
              </w:rPr>
              <w:t xml:space="preserve">Entrée en vigueur de la législation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1D9E75" w14:textId="098E4327"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4B649" w14:textId="71209202"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E1E8CF" w14:textId="78D07B8C"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AD2251" w14:textId="77777777" w:rsidR="00FA40E8" w:rsidRDefault="00E74AE8">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0A6475" w14:textId="77777777" w:rsidR="00FA40E8" w:rsidRDefault="00E74AE8">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F5FA29" w14:textId="7CC7F80D" w:rsidR="00FA40E8" w:rsidRDefault="00E74AE8">
            <w:pPr>
              <w:pStyle w:val="P68B1DB1-Normal12"/>
              <w:spacing w:before="60" w:after="60"/>
              <w:jc w:val="both"/>
              <w:rPr>
                <w:rFonts w:eastAsia="Cambria" w:cs="Times New Roman"/>
                <w:noProof/>
              </w:rPr>
            </w:pPr>
            <w:r>
              <w:rPr>
                <w:noProof/>
              </w:rPr>
              <w:t xml:space="preserve">Entrée en </w:t>
            </w:r>
            <w:r>
              <w:rPr>
                <w:noProof/>
              </w:rPr>
              <w:t xml:space="preserve">vigueur de la législation sur les exigences qualitatives pour la préparation et la mise en œuvre des programmes nationaux de développement des qualifications du personnel pédagogique, qui seront élaborés et validés. Ils définissent le contenu, les thèmes, </w:t>
            </w:r>
            <w:r>
              <w:rPr>
                <w:noProof/>
              </w:rPr>
              <w:t>les formulaires de mise en œuvre et les exigences applicables aux prestataires de la mise en œuvre des programmes nationaux de développement des qualifications du personnel pédagogique.</w:t>
            </w:r>
          </w:p>
        </w:tc>
      </w:tr>
      <w:tr w:rsidR="00FA40E8" w14:paraId="7E73CEA2"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57C8F1" w14:textId="6B7E0D7A" w:rsidR="00FA40E8" w:rsidRDefault="00E74AE8">
            <w:pPr>
              <w:pStyle w:val="P68B1DB1-Normal12"/>
              <w:spacing w:before="60" w:after="60"/>
              <w:jc w:val="center"/>
              <w:rPr>
                <w:rFonts w:cs="Times New Roman"/>
                <w:noProof/>
              </w:rPr>
            </w:pPr>
            <w:r>
              <w:rPr>
                <w:noProof/>
              </w:rPr>
              <w:t>100</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C4B558" w14:textId="77777777" w:rsidR="00FA40E8" w:rsidRDefault="00E74AE8">
            <w:pPr>
              <w:pStyle w:val="P68B1DB1-Normal12"/>
              <w:spacing w:before="60" w:after="60"/>
              <w:rPr>
                <w:rFonts w:cs="Times New Roman"/>
                <w:noProof/>
              </w:rPr>
            </w:pPr>
            <w:r>
              <w:rPr>
                <w:noProof/>
              </w:rPr>
              <w:t>D.1.1. Enseignement général moderne — Contexte des compétences de</w:t>
            </w:r>
            <w:r>
              <w:rPr>
                <w:noProof/>
              </w:rPr>
              <w:t xml:space="preserve"> base</w:t>
            </w:r>
          </w:p>
          <w:p w14:paraId="0515B85C" w14:textId="3C3F89ED" w:rsidR="00FA40E8" w:rsidRDefault="00E74AE8">
            <w:pPr>
              <w:pStyle w:val="P68B1DB1-Text127"/>
              <w:spacing w:before="60" w:after="60" w:line="276" w:lineRule="auto"/>
              <w:ind w:left="0"/>
              <w:jc w:val="left"/>
              <w:rPr>
                <w:noProof/>
              </w:rPr>
            </w:pPr>
            <w:r>
              <w:rPr>
                <w:noProof/>
              </w:rPr>
              <w:t xml:space="preserve">D.1.1.5: Soutien à l’acquisition d’équipements pour les centres STEAM et les laboratoires mobiles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4E441D" w14:textId="54722364"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97EA32" w14:textId="39C4A440" w:rsidR="00FA40E8" w:rsidRDefault="00E74AE8">
            <w:pPr>
              <w:pStyle w:val="P68B1DB1-Normal12"/>
              <w:spacing w:before="60" w:after="60"/>
              <w:rPr>
                <w:rFonts w:cs="Times New Roman"/>
                <w:noProof/>
              </w:rPr>
            </w:pPr>
            <w:r>
              <w:rPr>
                <w:noProof/>
              </w:rPr>
              <w:t xml:space="preserve">Équipements achetés pour les centres STEAM et les laboratoires mobiles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005BF4" w14:textId="42BA22B6" w:rsidR="00FA40E8" w:rsidRDefault="00E74AE8">
            <w:pPr>
              <w:pStyle w:val="P68B1DB1-Normal28"/>
              <w:spacing w:before="60" w:after="60"/>
              <w:rPr>
                <w:noProof/>
              </w:rPr>
            </w:pPr>
            <w:r>
              <w:rPr>
                <w:noProof/>
              </w:rPr>
              <w:t>Factures payées</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D466AC" w14:textId="47DDEB77"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73B5D0" w14:textId="279F0142"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12EAE5" w14:textId="1A001054"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CA1041" w14:textId="3C68D5D4"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DE8F3D" w14:textId="77777777" w:rsidR="00FA40E8" w:rsidRDefault="00E74AE8">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29FA4A" w14:textId="05A82D4C" w:rsidR="00FA40E8" w:rsidRDefault="00E74AE8">
            <w:pPr>
              <w:pStyle w:val="CommentText"/>
              <w:spacing w:before="60" w:after="60" w:line="276" w:lineRule="auto"/>
              <w:rPr>
                <w:noProof/>
              </w:rPr>
            </w:pPr>
            <w:r>
              <w:rPr>
                <w:noProof/>
              </w:rPr>
              <w:t>Factures payées de matériel de laboratoire pou</w:t>
            </w:r>
            <w:r>
              <w:rPr>
                <w:noProof/>
              </w:rPr>
              <w:t>r 10 centres STEAM et 40 laboratoires mobiles.</w:t>
            </w:r>
          </w:p>
        </w:tc>
      </w:tr>
      <w:tr w:rsidR="00FA40E8" w14:paraId="113AEBD4"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1A8B6E" w14:textId="77777777" w:rsidR="00FA40E8" w:rsidRDefault="00E74AE8">
            <w:pPr>
              <w:pStyle w:val="P68B1DB1-Normal12"/>
              <w:spacing w:before="60" w:after="60"/>
              <w:jc w:val="center"/>
              <w:rPr>
                <w:rFonts w:cs="Times New Roman"/>
                <w:noProof/>
              </w:rPr>
            </w:pPr>
            <w:r>
              <w:rPr>
                <w:noProof/>
              </w:rPr>
              <w:t>102</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C63EB35" w14:textId="419E1151" w:rsidR="00FA40E8" w:rsidRDefault="00E74AE8">
            <w:pPr>
              <w:pStyle w:val="P68B1DB1-Normal12"/>
              <w:spacing w:before="60" w:after="60"/>
              <w:rPr>
                <w:rFonts w:eastAsia="Times New Roman" w:cs="Times New Roman"/>
                <w:noProof/>
              </w:rPr>
            </w:pPr>
            <w:r>
              <w:rPr>
                <w:noProof/>
              </w:rPr>
              <w:t>D.1.1. Enseignement général moderne — Contexte des compétences de base</w:t>
            </w:r>
          </w:p>
          <w:p w14:paraId="5E6F1064" w14:textId="0F103473" w:rsidR="00FA40E8" w:rsidRDefault="00E74AE8">
            <w:pPr>
              <w:pStyle w:val="P68B1DB1-Normal12"/>
              <w:spacing w:before="60" w:after="60"/>
              <w:rPr>
                <w:rFonts w:cs="Times New Roman"/>
                <w:noProof/>
              </w:rPr>
            </w:pPr>
            <w:r>
              <w:rPr>
                <w:noProof/>
              </w:rPr>
              <w:t>D.1.1.6: Transformation de l’éducation numérique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D4A7F7" w14:textId="77777777" w:rsidR="00FA40E8" w:rsidRDefault="00E74AE8">
            <w:pPr>
              <w:pStyle w:val="P68B1DB1-Normal12"/>
              <w:spacing w:before="60" w:after="60"/>
              <w:jc w:val="center"/>
              <w:rPr>
                <w:rFonts w:cs="Times New Roman"/>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27B102" w14:textId="43C664DE" w:rsidR="00FA40E8" w:rsidRDefault="00E74AE8">
            <w:pPr>
              <w:pStyle w:val="P68B1DB1-Normal12"/>
              <w:spacing w:before="60" w:after="60"/>
              <w:rPr>
                <w:rFonts w:cs="Times New Roman"/>
                <w:noProof/>
              </w:rPr>
            </w:pPr>
            <w:r>
              <w:rPr>
                <w:noProof/>
              </w:rPr>
              <w:t xml:space="preserve">Nombre de membres du personnel pédagogique ayant achevé le cours visant à </w:t>
            </w:r>
            <w:r>
              <w:rPr>
                <w:noProof/>
              </w:rPr>
              <w:t>améliorer les compétences numériques</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E974F" w14:textId="39264056" w:rsidR="00FA40E8" w:rsidRDefault="00FA40E8">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BF75A9" w14:textId="77777777" w:rsidR="00FA40E8" w:rsidRDefault="00E74AE8">
            <w:pPr>
              <w:pStyle w:val="P68B1DB1-Normal12"/>
              <w:spacing w:before="60" w:after="60"/>
              <w:jc w:val="center"/>
              <w:rPr>
                <w:rFonts w:cs="Times New Roman"/>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311A491" w14:textId="77777777" w:rsidR="00FA40E8" w:rsidRDefault="00E74AE8">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E33628" w14:textId="0E53267D" w:rsidR="00FA40E8" w:rsidRDefault="00E74AE8">
            <w:pPr>
              <w:pStyle w:val="P68B1DB1-Normal12"/>
              <w:spacing w:before="60" w:after="60"/>
              <w:jc w:val="center"/>
              <w:rPr>
                <w:rFonts w:cs="Times New Roman"/>
                <w:noProof/>
              </w:rPr>
            </w:pPr>
            <w:r>
              <w:rPr>
                <w:noProof/>
              </w:rPr>
              <w:t>2 200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5A14A29" w14:textId="77777777" w:rsidR="00FA40E8" w:rsidRDefault="00E74AE8">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A6F87D" w14:textId="77777777" w:rsidR="00FA40E8" w:rsidRDefault="00E74AE8">
            <w:pPr>
              <w:pStyle w:val="P68B1DB1-Normal12"/>
              <w:spacing w:before="60" w:after="60"/>
              <w:jc w:val="center"/>
              <w:rPr>
                <w:rFonts w:cs="Times New Roman"/>
                <w:noProof/>
              </w:rPr>
            </w:pPr>
            <w:r>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9794F9" w14:textId="2E78F9E5" w:rsidR="00FA40E8" w:rsidRDefault="00E74AE8">
            <w:pPr>
              <w:pStyle w:val="CommentText"/>
              <w:spacing w:before="60" w:after="60" w:line="276" w:lineRule="auto"/>
              <w:rPr>
                <w:noProof/>
              </w:rPr>
            </w:pPr>
            <w:r>
              <w:rPr>
                <w:noProof/>
              </w:rPr>
              <w:t>Au moins 2 200 membres du personnel pédagogique (écoles préprimaires, primaires, secondaires inférieures et supérieures) achèvent le cours sur les compétences informatiques et l’innovation éducat</w:t>
            </w:r>
            <w:r>
              <w:rPr>
                <w:noProof/>
              </w:rPr>
              <w:t xml:space="preserve">ive axée sur le numérique dans les écoles. </w:t>
            </w:r>
          </w:p>
        </w:tc>
      </w:tr>
      <w:tr w:rsidR="00FA40E8" w14:paraId="7F39D42B"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75CF8D" w14:textId="77777777" w:rsidR="00FA40E8" w:rsidRDefault="00E74AE8">
            <w:pPr>
              <w:pStyle w:val="P68B1DB1-Normal12"/>
              <w:spacing w:before="60" w:after="60"/>
              <w:jc w:val="center"/>
              <w:rPr>
                <w:rFonts w:cs="Times New Roman"/>
                <w:noProof/>
              </w:rPr>
            </w:pPr>
            <w:r>
              <w:rPr>
                <w:noProof/>
              </w:rPr>
              <w:t>103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EA81C27" w14:textId="77777777" w:rsidR="00FA40E8" w:rsidRDefault="00E74AE8">
            <w:pPr>
              <w:pStyle w:val="P68B1DB1-Normal12"/>
              <w:spacing w:before="60" w:after="60"/>
              <w:rPr>
                <w:rFonts w:cs="Times New Roman"/>
                <w:noProof/>
              </w:rPr>
            </w:pPr>
            <w:r>
              <w:rPr>
                <w:noProof/>
              </w:rPr>
              <w:t>D.1.1. Enseignement général moderne — Contexte des compétences de base</w:t>
            </w:r>
          </w:p>
          <w:p w14:paraId="1C15ABA5" w14:textId="462074EA" w:rsidR="00FA40E8" w:rsidRDefault="00E74AE8">
            <w:pPr>
              <w:pStyle w:val="P68B1DB1-Normal12"/>
              <w:spacing w:before="60" w:after="60"/>
              <w:rPr>
                <w:rFonts w:cs="Times New Roman"/>
                <w:noProof/>
              </w:rPr>
            </w:pPr>
            <w:r>
              <w:rPr>
                <w:noProof/>
              </w:rPr>
              <w:t>D.1.1.6: Transformation de l’éducation numérique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66A153" w14:textId="77777777" w:rsidR="00FA40E8" w:rsidRDefault="00E74AE8">
            <w:pPr>
              <w:pStyle w:val="P68B1DB1-Normal12"/>
              <w:spacing w:before="60" w:after="60"/>
              <w:jc w:val="center"/>
              <w:rPr>
                <w:rFonts w:cs="Times New Roman"/>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47B276" w14:textId="6FC86F92" w:rsidR="00FA40E8" w:rsidRDefault="00E74AE8">
            <w:pPr>
              <w:pStyle w:val="P68B1DB1-Normal12"/>
              <w:spacing w:before="60" w:after="60"/>
              <w:rPr>
                <w:rFonts w:cs="Times New Roman"/>
                <w:noProof/>
              </w:rPr>
            </w:pPr>
            <w:r>
              <w:rPr>
                <w:noProof/>
              </w:rPr>
              <w:t xml:space="preserve">Nombre de membres du personnel de l’université ou de l’établissement </w:t>
            </w:r>
            <w:r>
              <w:rPr>
                <w:noProof/>
              </w:rPr>
              <w:t>d’enseignement supérieur ayant achevé le cours pour améliorer les compétences numériques</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963362" w14:textId="0B7EF36B" w:rsidR="00FA40E8" w:rsidRDefault="00FA40E8">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3DFA42" w14:textId="77777777" w:rsidR="00FA40E8" w:rsidRDefault="00E74AE8">
            <w:pPr>
              <w:pStyle w:val="P68B1DB1-Normal12"/>
              <w:spacing w:before="60" w:after="60"/>
              <w:jc w:val="center"/>
              <w:rPr>
                <w:rFonts w:cs="Times New Roman"/>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B6B701" w14:textId="77777777" w:rsidR="00FA40E8" w:rsidRDefault="00E74AE8">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97731D" w14:textId="77777777" w:rsidR="00FA40E8" w:rsidRDefault="00E74AE8">
            <w:pPr>
              <w:pStyle w:val="P68B1DB1-Normal12"/>
              <w:spacing w:before="60" w:after="60"/>
              <w:jc w:val="center"/>
              <w:rPr>
                <w:rFonts w:cs="Times New Roman"/>
                <w:noProof/>
              </w:rPr>
            </w:pPr>
            <w:r>
              <w:rPr>
                <w:noProof/>
              </w:rPr>
              <w:t>800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927D987"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8D10084" w14:textId="77777777" w:rsidR="00FA40E8" w:rsidRDefault="00E74AE8">
            <w:pPr>
              <w:pStyle w:val="P68B1DB1-Normal12"/>
              <w:spacing w:before="60" w:after="60"/>
              <w:jc w:val="center"/>
              <w:rPr>
                <w:rFonts w:cs="Times New Roman"/>
                <w:noProof/>
              </w:rPr>
            </w:pPr>
            <w:r>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0D6DCA" w14:textId="09D3B59D" w:rsidR="00FA40E8" w:rsidRDefault="00E74AE8">
            <w:pPr>
              <w:pStyle w:val="P68B1DB1-Normal12"/>
              <w:spacing w:before="60" w:after="60"/>
              <w:jc w:val="both"/>
              <w:rPr>
                <w:rFonts w:cs="Times New Roman"/>
                <w:noProof/>
              </w:rPr>
            </w:pPr>
            <w:r>
              <w:rPr>
                <w:noProof/>
              </w:rPr>
              <w:t>Au moins 800 membres du personnel d’une université ou d’un établissement d’enseignement supérieur doivent avoir suivi le cours sur les compétence</w:t>
            </w:r>
            <w:r>
              <w:rPr>
                <w:noProof/>
              </w:rPr>
              <w:t>s informatiques.</w:t>
            </w:r>
          </w:p>
        </w:tc>
      </w:tr>
      <w:tr w:rsidR="00FA40E8" w14:paraId="68587F20"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88D6423" w14:textId="77777777" w:rsidR="00FA40E8" w:rsidRDefault="00E74AE8">
            <w:pPr>
              <w:pStyle w:val="P68B1DB1-Normal12"/>
              <w:spacing w:before="60" w:after="60"/>
              <w:jc w:val="center"/>
              <w:rPr>
                <w:rFonts w:cs="Times New Roman"/>
                <w:noProof/>
              </w:rPr>
            </w:pPr>
            <w:r>
              <w:rPr>
                <w:noProof/>
              </w:rPr>
              <w:t>104</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478FEC" w14:textId="77777777" w:rsidR="00FA40E8" w:rsidRDefault="00E74AE8">
            <w:pPr>
              <w:pStyle w:val="P68B1DB1-Normal12"/>
              <w:spacing w:before="60" w:after="60"/>
              <w:rPr>
                <w:rFonts w:cs="Times New Roman"/>
                <w:noProof/>
              </w:rPr>
            </w:pPr>
            <w:r>
              <w:rPr>
                <w:noProof/>
              </w:rPr>
              <w:t>D.1.1.Enseignement général moderne — Contexte des compétences de base</w:t>
            </w:r>
          </w:p>
          <w:p w14:paraId="49D2DAC2" w14:textId="28D745CA" w:rsidR="00FA40E8" w:rsidRDefault="00E74AE8">
            <w:pPr>
              <w:pStyle w:val="P68B1DB1-Normal12"/>
              <w:spacing w:before="60" w:after="60"/>
              <w:rPr>
                <w:rFonts w:cs="Times New Roman"/>
                <w:noProof/>
              </w:rPr>
            </w:pPr>
            <w:r>
              <w:rPr>
                <w:noProof/>
              </w:rPr>
              <w:t>D.1.1.6: Transformation de l’éducation numérique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91F2A14" w14:textId="77777777" w:rsidR="00FA40E8" w:rsidRDefault="00E74AE8">
            <w:pPr>
              <w:pStyle w:val="P68B1DB1-Normal12"/>
              <w:spacing w:before="60" w:after="60"/>
              <w:jc w:val="center"/>
              <w:rPr>
                <w:rFonts w:cs="Times New Roman"/>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43184D" w14:textId="52E8ED68" w:rsidR="00FA40E8" w:rsidRDefault="00E74AE8">
            <w:pPr>
              <w:pStyle w:val="P68B1DB1-Normal12"/>
              <w:spacing w:before="60" w:after="60"/>
              <w:rPr>
                <w:rFonts w:cs="Times New Roman"/>
                <w:noProof/>
              </w:rPr>
            </w:pPr>
            <w:r>
              <w:rPr>
                <w:noProof/>
              </w:rPr>
              <w:t xml:space="preserve">Nombre de membres du personnel pédagogique qualifiés en tant qu’enseignants en informatique ou titulaires </w:t>
            </w:r>
            <w:r>
              <w:rPr>
                <w:noProof/>
              </w:rPr>
              <w:t>d’un master en informatique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2084B2B" w14:textId="2D0BF7E4" w:rsidR="00FA40E8" w:rsidRDefault="00FA40E8">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387A93" w14:textId="77777777" w:rsidR="00FA40E8" w:rsidRDefault="00E74AE8">
            <w:pPr>
              <w:pStyle w:val="P68B1DB1-Normal12"/>
              <w:spacing w:before="60" w:after="60"/>
              <w:jc w:val="center"/>
              <w:rPr>
                <w:rFonts w:cs="Times New Roman"/>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8C33DF6" w14:textId="77777777" w:rsidR="00FA40E8" w:rsidRDefault="00E74AE8">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52CB0B4" w14:textId="77777777" w:rsidR="00FA40E8" w:rsidRDefault="00E74AE8">
            <w:pPr>
              <w:pStyle w:val="P68B1DB1-Normal12"/>
              <w:spacing w:before="60" w:after="60"/>
              <w:jc w:val="center"/>
              <w:rPr>
                <w:rFonts w:cs="Times New Roman"/>
                <w:noProof/>
              </w:rPr>
            </w:pPr>
            <w:r>
              <w:rPr>
                <w:noProof/>
              </w:rPr>
              <w:t>500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E83B4EB"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DC078CE" w14:textId="77777777" w:rsidR="00FA40E8" w:rsidRDefault="00E74AE8">
            <w:pPr>
              <w:pStyle w:val="P68B1DB1-Normal12"/>
              <w:spacing w:before="60" w:after="60"/>
              <w:jc w:val="center"/>
              <w:rPr>
                <w:rFonts w:cs="Times New Roman"/>
                <w:noProof/>
              </w:rPr>
            </w:pPr>
            <w:r>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F74D2C" w14:textId="158AFFA9" w:rsidR="00FA40E8" w:rsidRDefault="00E74AE8">
            <w:pPr>
              <w:pStyle w:val="P68B1DB1-Normal12"/>
              <w:spacing w:before="60" w:after="60"/>
              <w:jc w:val="both"/>
              <w:rPr>
                <w:rFonts w:cs="Times New Roman"/>
                <w:noProof/>
              </w:rPr>
            </w:pPr>
            <w:r>
              <w:rPr>
                <w:noProof/>
              </w:rPr>
              <w:t>Au moins 500 membres du personnel pédagogique doivent avoir acquis une qualification supplémentaire en tant qu’enseignant en informatique ou un master en informatique.</w:t>
            </w:r>
          </w:p>
        </w:tc>
      </w:tr>
      <w:tr w:rsidR="00FA40E8" w14:paraId="655A12B8"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11EF47" w14:textId="77777777" w:rsidR="00FA40E8" w:rsidRDefault="00E74AE8">
            <w:pPr>
              <w:pStyle w:val="P68B1DB1-Normal12"/>
              <w:spacing w:before="60" w:after="60"/>
              <w:jc w:val="center"/>
              <w:rPr>
                <w:rFonts w:cs="Times New Roman"/>
                <w:noProof/>
              </w:rPr>
            </w:pPr>
            <w:r>
              <w:rPr>
                <w:noProof/>
              </w:rPr>
              <w:t>105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154BEA" w14:textId="77777777" w:rsidR="00FA40E8" w:rsidRDefault="00E74AE8">
            <w:pPr>
              <w:pStyle w:val="P68B1DB1-Normal12"/>
              <w:spacing w:before="60" w:after="60"/>
              <w:rPr>
                <w:rFonts w:eastAsia="Times New Roman" w:cs="Times New Roman"/>
                <w:noProof/>
              </w:rPr>
            </w:pPr>
            <w:r>
              <w:rPr>
                <w:noProof/>
              </w:rPr>
              <w:t xml:space="preserve">D.1.1. Enseignement général </w:t>
            </w:r>
            <w:r>
              <w:rPr>
                <w:noProof/>
              </w:rPr>
              <w:t>moderne — Contexte des compétences de base</w:t>
            </w:r>
          </w:p>
          <w:p w14:paraId="21D750C9" w14:textId="29556F7B" w:rsidR="00FA40E8" w:rsidRDefault="00E74AE8">
            <w:pPr>
              <w:pStyle w:val="P68B1DB1-Normal12"/>
              <w:spacing w:before="60" w:after="60"/>
              <w:rPr>
                <w:rFonts w:cs="Times New Roman"/>
                <w:noProof/>
              </w:rPr>
            </w:pPr>
            <w:r>
              <w:rPr>
                <w:noProof/>
              </w:rPr>
              <w:t>D.1.1.7: Améliorer l’éducation et l’accueil de la petite enfance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42FBBF"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C0A83B" w14:textId="77777777" w:rsidR="00FA40E8" w:rsidRDefault="00E74AE8">
            <w:pPr>
              <w:pStyle w:val="P68B1DB1-Normal12"/>
              <w:spacing w:before="60" w:after="60"/>
              <w:rPr>
                <w:rFonts w:cs="Times New Roman"/>
                <w:noProof/>
              </w:rPr>
            </w:pPr>
            <w:r>
              <w:rPr>
                <w:noProof/>
              </w:rPr>
              <w:t>Étude sur la faisabilité du développement des infrastructures d’éducation de la petite enfance dans les municipalités</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917469" w14:textId="08D7BB62" w:rsidR="00FA40E8" w:rsidRDefault="00E74AE8">
            <w:pPr>
              <w:pStyle w:val="P68B1DB1-Normal12"/>
              <w:spacing w:before="60" w:after="60"/>
              <w:rPr>
                <w:rFonts w:cs="Times New Roman"/>
                <w:noProof/>
              </w:rPr>
            </w:pPr>
            <w:r>
              <w:rPr>
                <w:noProof/>
              </w:rPr>
              <w:t>Publication de l’étude s</w:t>
            </w:r>
            <w:r>
              <w:rPr>
                <w:noProof/>
              </w:rPr>
              <w:t>ur la faisabilité du développement des infrastructures d’éducation de la petite enfance dans les municipalités</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2BD4BD" w14:textId="6B0DC247"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8CFC0C" w14:textId="030ED4FE"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AE4AB3" w14:textId="40010AF9"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7495E8"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5260DA" w14:textId="0D91A6BF" w:rsidR="00FA40E8" w:rsidRDefault="00E74AE8">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5A32C1" w14:textId="6C9B1778" w:rsidR="00FA40E8" w:rsidRDefault="00E74AE8">
            <w:pPr>
              <w:spacing w:before="60" w:after="60"/>
              <w:jc w:val="both"/>
              <w:rPr>
                <w:rFonts w:ascii="Times New Roman" w:hAnsi="Times New Roman" w:cs="Times New Roman"/>
                <w:noProof/>
                <w:sz w:val="20"/>
              </w:rPr>
            </w:pPr>
            <w:r>
              <w:rPr>
                <w:rStyle w:val="jlqj4b"/>
                <w:rFonts w:ascii="Times New Roman" w:hAnsi="Times New Roman"/>
                <w:noProof/>
                <w:sz w:val="20"/>
              </w:rPr>
              <w:t>Publication de l’étude sur la faisabilité du développement des infrastructures d’éducation de la petite enfance dans les municipalités</w:t>
            </w:r>
            <w:r>
              <w:rPr>
                <w:rStyle w:val="jlqj4b"/>
                <w:rFonts w:ascii="Times New Roman" w:hAnsi="Times New Roman"/>
                <w:noProof/>
                <w:sz w:val="20"/>
              </w:rPr>
              <w:t>. L’étude portera à la fois sur la modernisation de la structure existante et sur le développement de nouvelles infrastructures (telles que les transports), offrant des conditions d’éducation précoce à tous les enfants, de la naissance à l’âge de la scolar</w:t>
            </w:r>
            <w:r>
              <w:rPr>
                <w:rStyle w:val="jlqj4b"/>
                <w:rFonts w:ascii="Times New Roman" w:hAnsi="Times New Roman"/>
                <w:noProof/>
                <w:sz w:val="20"/>
              </w:rPr>
              <w:t>ité obligatoire. L’étude servira de base aux décisions prises ultérieurement par le gouvernement en ce qui concerne la modernisation des infrastructures et la création de nouvelles infrastructures dans les municipalités.</w:t>
            </w:r>
          </w:p>
        </w:tc>
      </w:tr>
      <w:tr w:rsidR="00FA40E8" w14:paraId="189D9C52"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8CF961" w14:textId="77777777" w:rsidR="00FA40E8" w:rsidRDefault="00E74AE8">
            <w:pPr>
              <w:pStyle w:val="P68B1DB1-Normal12"/>
              <w:spacing w:before="60" w:after="60"/>
              <w:jc w:val="center"/>
              <w:rPr>
                <w:rFonts w:cs="Times New Roman"/>
                <w:noProof/>
              </w:rPr>
            </w:pPr>
            <w:r>
              <w:rPr>
                <w:noProof/>
              </w:rPr>
              <w:t>106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47E496" w14:textId="77777777" w:rsidR="00FA40E8" w:rsidRDefault="00E74AE8">
            <w:pPr>
              <w:pStyle w:val="P68B1DB1-Normal12"/>
              <w:spacing w:before="60" w:after="60"/>
              <w:rPr>
                <w:rFonts w:eastAsia="Times New Roman" w:cs="Times New Roman"/>
                <w:noProof/>
              </w:rPr>
            </w:pPr>
            <w:r>
              <w:rPr>
                <w:noProof/>
              </w:rPr>
              <w:t>D.1.1.</w:t>
            </w:r>
            <w:r>
              <w:rPr>
                <w:noProof/>
              </w:rPr>
              <w:t xml:space="preserve"> Enseignement général moderne — Contexte des compétences de base</w:t>
            </w:r>
          </w:p>
          <w:p w14:paraId="09AB45BA" w14:textId="195D8CCB" w:rsidR="00FA40E8" w:rsidRDefault="00E74AE8">
            <w:pPr>
              <w:pStyle w:val="P68B1DB1-Normal12"/>
              <w:spacing w:before="60" w:after="60"/>
              <w:rPr>
                <w:rFonts w:cs="Times New Roman"/>
                <w:noProof/>
              </w:rPr>
            </w:pPr>
            <w:r>
              <w:rPr>
                <w:noProof/>
              </w:rPr>
              <w:t>D.1.1.7: Améliorer l’éducation et l’accueil de la petite enfance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9EAB8B"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FF5935C" w14:textId="16DF1DB9" w:rsidR="00FA40E8" w:rsidRDefault="00E74AE8">
            <w:pPr>
              <w:pStyle w:val="P68B1DB1-Normal12"/>
              <w:spacing w:before="60" w:after="60"/>
              <w:rPr>
                <w:rFonts w:cs="Times New Roman"/>
                <w:noProof/>
              </w:rPr>
            </w:pPr>
            <w:r>
              <w:rPr>
                <w:noProof/>
              </w:rPr>
              <w:t>Entrée en vigueur de la législation sur les critères (lignes directrices) applicables aux programmes d’enseignement prés</w:t>
            </w:r>
            <w:r>
              <w:rPr>
                <w:noProof/>
              </w:rPr>
              <w:t>colaire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23241D" w14:textId="77777777" w:rsidR="00FA40E8" w:rsidRDefault="00E74AE8">
            <w:pPr>
              <w:pStyle w:val="P68B1DB1-Normal12"/>
              <w:spacing w:before="60" w:after="60"/>
              <w:rPr>
                <w:rFonts w:cs="Times New Roman"/>
                <w:noProof/>
              </w:rPr>
            </w:pPr>
            <w:r>
              <w:rPr>
                <w:noProof/>
              </w:rPr>
              <w:t xml:space="preserve">Entrée en vigueur de la législation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E2D3165" w14:textId="77777777"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CCC6C3" w14:textId="1A4879CF"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8F1DCDC" w14:textId="268A14B0"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B2E2B3" w14:textId="77777777" w:rsidR="00FA40E8" w:rsidRDefault="00E74AE8">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AFD3C0" w14:textId="77777777" w:rsidR="00FA40E8" w:rsidRDefault="00E74AE8">
            <w:pPr>
              <w:pStyle w:val="P68B1DB1-Normal12"/>
              <w:spacing w:before="60" w:after="60"/>
              <w:jc w:val="center"/>
              <w:rPr>
                <w:rFonts w:cs="Times New Roman"/>
                <w:noProof/>
              </w:rPr>
            </w:pPr>
            <w:r>
              <w:rPr>
                <w:noProof/>
              </w:rPr>
              <w:t>2023</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5B6E26" w14:textId="77777777" w:rsidR="00FA40E8" w:rsidRDefault="00E74AE8">
            <w:pPr>
              <w:spacing w:before="60" w:after="60"/>
              <w:jc w:val="both"/>
              <w:rPr>
                <w:rFonts w:ascii="Times New Roman" w:eastAsia="Times New Roman" w:hAnsi="Times New Roman" w:cs="Times New Roman"/>
                <w:noProof/>
                <w:sz w:val="20"/>
              </w:rPr>
            </w:pPr>
            <w:r>
              <w:rPr>
                <w:rStyle w:val="jlqj4b"/>
                <w:rFonts w:ascii="Times New Roman" w:hAnsi="Times New Roman"/>
                <w:noProof/>
                <w:sz w:val="20"/>
              </w:rPr>
              <w:t>La conception des programmes d’enseignement préscolaire est décentralisée et doit être élaborée conformément aux critères (lignes directrices) applicables aux programmes d’enseignement préscolaire app</w:t>
            </w:r>
            <w:r>
              <w:rPr>
                <w:rStyle w:val="jlqj4b"/>
                <w:rFonts w:ascii="Times New Roman" w:hAnsi="Times New Roman"/>
                <w:noProof/>
                <w:sz w:val="20"/>
              </w:rPr>
              <w:t>rouvés par le ministre de l’éducation, des sciences et des sports. L’entrée en vigueur des critères (lignes directrices) actualisés pour les programmes d’enseignement préscolaire détermine les compétences à acquérir par les enfants avant l’âge de la scolar</w:t>
            </w:r>
            <w:r>
              <w:rPr>
                <w:rStyle w:val="jlqj4b"/>
                <w:rFonts w:ascii="Times New Roman" w:hAnsi="Times New Roman"/>
                <w:noProof/>
                <w:sz w:val="20"/>
              </w:rPr>
              <w:t>ité obligatoire; répondre aux connaissances scientifiques les plus récentes sur l’éducation des enfants d’un âge approprié; encourager les enfants à lire (développer une culture de lecture des livres).</w:t>
            </w:r>
          </w:p>
        </w:tc>
      </w:tr>
      <w:tr w:rsidR="00FA40E8" w14:paraId="18D324EE"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82BA92" w14:textId="77777777" w:rsidR="00FA40E8" w:rsidRDefault="00E74AE8">
            <w:pPr>
              <w:pStyle w:val="P68B1DB1-Normal12"/>
              <w:spacing w:before="60" w:after="60"/>
              <w:jc w:val="center"/>
              <w:rPr>
                <w:rFonts w:cs="Times New Roman"/>
                <w:noProof/>
              </w:rPr>
            </w:pPr>
            <w:r>
              <w:rPr>
                <w:noProof/>
              </w:rPr>
              <w:t>107</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F3C6980" w14:textId="3749045B" w:rsidR="00FA40E8" w:rsidRDefault="00E74AE8">
            <w:pPr>
              <w:pStyle w:val="P68B1DB1-Normal12"/>
              <w:spacing w:before="60" w:after="60"/>
              <w:rPr>
                <w:noProof/>
                <w:sz w:val="24"/>
                <w:szCs w:val="24"/>
                <w:u w:val="single"/>
              </w:rPr>
            </w:pPr>
            <w:r>
              <w:rPr>
                <w:noProof/>
              </w:rPr>
              <w:t xml:space="preserve">D.1.2. Accès des adultes au système informatique </w:t>
            </w:r>
            <w:r>
              <w:rPr>
                <w:noProof/>
              </w:rPr>
              <w:t>d’éducation et de formation tout au long de la vie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BA83416"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EE2E8A3" w14:textId="77777777" w:rsidR="00FA40E8" w:rsidRDefault="00E74AE8">
            <w:pPr>
              <w:pStyle w:val="P68B1DB1-Normal12"/>
              <w:spacing w:before="60" w:after="60"/>
              <w:rPr>
                <w:rFonts w:cs="Times New Roman"/>
                <w:noProof/>
              </w:rPr>
            </w:pPr>
            <w:r>
              <w:rPr>
                <w:noProof/>
              </w:rPr>
              <w:t xml:space="preserve">Entrée en vigueur de la loi sur l’éducation des adultes établissant un modèle de système coordonné d’éducation et de formation tout au long de la vie et fixant les principes de fonctionnement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039B57" w14:textId="12E846C8" w:rsidR="00FA40E8" w:rsidRDefault="00E74AE8">
            <w:pPr>
              <w:pStyle w:val="P68B1DB1-Normal12"/>
              <w:spacing w:before="60" w:after="60"/>
              <w:rPr>
                <w:rFonts w:cs="Times New Roman"/>
                <w:noProof/>
              </w:rPr>
            </w:pPr>
            <w:r>
              <w:rPr>
                <w:noProof/>
              </w:rPr>
              <w:t>Dispos</w:t>
            </w:r>
            <w:r>
              <w:rPr>
                <w:noProof/>
              </w:rPr>
              <w:t>ition de la législation indiquant l’entrée en vigueur de la législation</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F6B488D" w14:textId="4C138DBD"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1CB0B16" w14:textId="63804CEA"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57517DF" w14:textId="6975B3D1"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821876C" w14:textId="77777777" w:rsidR="00FA40E8" w:rsidRDefault="00E74AE8">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9552A07" w14:textId="77777777" w:rsidR="00FA40E8" w:rsidRDefault="00E74AE8">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3A28AF" w14:textId="14E056A6" w:rsidR="00FA40E8" w:rsidRDefault="00E74AE8">
            <w:pPr>
              <w:pStyle w:val="P68B1DB1-Normal12"/>
              <w:spacing w:before="60" w:after="60"/>
              <w:jc w:val="both"/>
              <w:rPr>
                <w:rFonts w:eastAsia="Times New Roman" w:cs="Times New Roman"/>
                <w:noProof/>
              </w:rPr>
            </w:pPr>
            <w:r>
              <w:rPr>
                <w:noProof/>
              </w:rPr>
              <w:t>Entrée en vigueur de la législation sur le modèle d’éducation et de formation tout au long de la vie, qui doit être inscrit dans la législation, et entrée en vigueur des mod</w:t>
            </w:r>
            <w:r>
              <w:rPr>
                <w:noProof/>
              </w:rPr>
              <w:t>ifications apportées à la loi sur l’éducation des adultes, qui consacrent le fonctionnement du modèle d’éducation et de formation tout au long de la vie:</w:t>
            </w:r>
          </w:p>
          <w:p w14:paraId="393788C2" w14:textId="77777777" w:rsidR="00FA40E8" w:rsidRDefault="00E74AE8">
            <w:pPr>
              <w:pStyle w:val="P68B1DB1-Normal12"/>
              <w:spacing w:before="60" w:after="60"/>
              <w:jc w:val="both"/>
              <w:rPr>
                <w:rFonts w:eastAsia="Times New Roman" w:cs="Times New Roman"/>
                <w:noProof/>
              </w:rPr>
            </w:pPr>
            <w:r>
              <w:rPr>
                <w:noProof/>
              </w:rPr>
              <w:t>Les éléments de gouvernance et de suivi du système d’éducation et de formation tout au long de la vie,</w:t>
            </w:r>
            <w:r>
              <w:rPr>
                <w:noProof/>
              </w:rPr>
              <w:t xml:space="preserve"> y compris:</w:t>
            </w:r>
          </w:p>
          <w:p w14:paraId="22864362" w14:textId="77777777" w:rsidR="00FA40E8" w:rsidRDefault="00E74AE8">
            <w:pPr>
              <w:pStyle w:val="P68B1DB1-Normal12"/>
              <w:spacing w:before="60" w:after="60"/>
              <w:jc w:val="both"/>
              <w:rPr>
                <w:rFonts w:eastAsia="Times New Roman" w:cs="Times New Roman"/>
                <w:noProof/>
              </w:rPr>
            </w:pPr>
            <w:r>
              <w:rPr>
                <w:noProof/>
              </w:rPr>
              <w:t xml:space="preserve">— la commission de suivi des ressources humaines et ses fonctions, </w:t>
            </w:r>
          </w:p>
          <w:p w14:paraId="13D3D654" w14:textId="25B8997F" w:rsidR="00FA40E8" w:rsidRDefault="00E74AE8">
            <w:pPr>
              <w:pStyle w:val="P68B1DB1-Normal12"/>
              <w:spacing w:before="60" w:after="60"/>
              <w:jc w:val="both"/>
              <w:rPr>
                <w:rFonts w:eastAsia="Times New Roman" w:cs="Times New Roman"/>
                <w:noProof/>
              </w:rPr>
            </w:pPr>
            <w:r>
              <w:rPr>
                <w:noProof/>
              </w:rPr>
              <w:t xml:space="preserve">— un groupe de travail permanent au niveau technique sur la coordination générale des activités menées par les ministères, </w:t>
            </w:r>
          </w:p>
          <w:p w14:paraId="40D2122F" w14:textId="35E572B5" w:rsidR="00FA40E8" w:rsidRDefault="00E74AE8">
            <w:pPr>
              <w:pStyle w:val="P68B1DB1-Normal12"/>
              <w:spacing w:before="60" w:after="60"/>
              <w:jc w:val="both"/>
              <w:rPr>
                <w:rFonts w:eastAsia="Times New Roman" w:cs="Times New Roman"/>
                <w:noProof/>
              </w:rPr>
            </w:pPr>
            <w:r>
              <w:rPr>
                <w:noProof/>
              </w:rPr>
              <w:t>— les principes du système informatique d’apprentiss</w:t>
            </w:r>
            <w:r>
              <w:rPr>
                <w:noProof/>
              </w:rPr>
              <w:t xml:space="preserve">age tout au long de la vie (basé sur le modèle des comptes de formation individuels), </w:t>
            </w:r>
          </w:p>
          <w:p w14:paraId="56105B5B" w14:textId="3E6E4DDD" w:rsidR="00FA40E8" w:rsidRDefault="00E74AE8">
            <w:pPr>
              <w:pStyle w:val="P68B1DB1-Normal12"/>
              <w:spacing w:before="60" w:after="60"/>
              <w:jc w:val="both"/>
              <w:rPr>
                <w:rFonts w:eastAsia="Times New Roman" w:cs="Times New Roman"/>
                <w:noProof/>
              </w:rPr>
            </w:pPr>
            <w:r>
              <w:rPr>
                <w:noProof/>
              </w:rPr>
              <w:t xml:space="preserve">— les éléments de financement, </w:t>
            </w:r>
          </w:p>
          <w:p w14:paraId="4C8D9A6F" w14:textId="28ADF566" w:rsidR="00FA40E8" w:rsidRDefault="00E74AE8">
            <w:pPr>
              <w:pStyle w:val="P68B1DB1-Normal12"/>
              <w:spacing w:before="60" w:after="60"/>
              <w:jc w:val="both"/>
              <w:rPr>
                <w:rFonts w:eastAsia="Times New Roman" w:cs="Times New Roman"/>
                <w:noProof/>
              </w:rPr>
            </w:pPr>
            <w:r>
              <w:rPr>
                <w:noProof/>
              </w:rPr>
              <w:t>— les principes d’identification des groupes cibles et des programmes,</w:t>
            </w:r>
          </w:p>
          <w:p w14:paraId="6F6A6F22" w14:textId="34AC02ED" w:rsidR="00FA40E8" w:rsidRDefault="00E74AE8">
            <w:pPr>
              <w:pStyle w:val="P68B1DB1-Normal12"/>
              <w:spacing w:before="60" w:after="60"/>
              <w:jc w:val="both"/>
              <w:rPr>
                <w:rFonts w:eastAsia="Times New Roman" w:cs="Times New Roman"/>
                <w:noProof/>
              </w:rPr>
            </w:pPr>
            <w:r>
              <w:rPr>
                <w:noProof/>
              </w:rPr>
              <w:t>— le mécanisme d’identification des compétences à haute valeur ajo</w:t>
            </w:r>
            <w:r>
              <w:rPr>
                <w:noProof/>
              </w:rPr>
              <w:t xml:space="preserve">utée, </w:t>
            </w:r>
          </w:p>
          <w:p w14:paraId="6136713F" w14:textId="45F912C4" w:rsidR="00FA40E8" w:rsidRDefault="00E74AE8">
            <w:pPr>
              <w:pStyle w:val="P68B1DB1-Normal12"/>
              <w:spacing w:before="60" w:after="60"/>
              <w:jc w:val="both"/>
              <w:rPr>
                <w:rFonts w:eastAsia="Times New Roman" w:cs="Times New Roman"/>
                <w:noProof/>
              </w:rPr>
            </w:pPr>
            <w:r>
              <w:rPr>
                <w:noProof/>
              </w:rPr>
              <w:t xml:space="preserve">— l’assurance de la qualité et </w:t>
            </w:r>
          </w:p>
          <w:p w14:paraId="00A36E82" w14:textId="0029FDDC" w:rsidR="00FA40E8" w:rsidRDefault="00E74AE8">
            <w:pPr>
              <w:pStyle w:val="P68B1DB1-Normal12"/>
              <w:spacing w:before="60" w:after="60"/>
              <w:jc w:val="both"/>
              <w:rPr>
                <w:rFonts w:eastAsia="Times New Roman" w:cs="Times New Roman"/>
                <w:noProof/>
              </w:rPr>
            </w:pPr>
            <w:r>
              <w:rPr>
                <w:noProof/>
              </w:rPr>
              <w:t>— les éléments du système de reconnaissance des compétences.</w:t>
            </w:r>
          </w:p>
        </w:tc>
      </w:tr>
      <w:tr w:rsidR="00FA40E8" w14:paraId="42FEC926"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73C7EAC" w14:textId="77777777" w:rsidR="00FA40E8" w:rsidRDefault="00E74AE8">
            <w:pPr>
              <w:pStyle w:val="P68B1DB1-Normal12"/>
              <w:spacing w:before="60" w:after="60"/>
              <w:jc w:val="center"/>
              <w:rPr>
                <w:rFonts w:cs="Times New Roman"/>
                <w:noProof/>
              </w:rPr>
            </w:pPr>
            <w:r>
              <w:rPr>
                <w:noProof/>
              </w:rPr>
              <w:t>108</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6D48B60" w14:textId="3A6AB922" w:rsidR="00FA40E8" w:rsidRDefault="00E74AE8">
            <w:pPr>
              <w:spacing w:before="60" w:after="60"/>
              <w:rPr>
                <w:rFonts w:ascii="Times New Roman" w:hAnsi="Times New Roman"/>
                <w:noProof/>
                <w:sz w:val="24"/>
                <w:szCs w:val="24"/>
                <w:u w:val="single"/>
              </w:rPr>
            </w:pPr>
            <w:r>
              <w:rPr>
                <w:rFonts w:ascii="Times New Roman" w:hAnsi="Times New Roman"/>
                <w:noProof/>
                <w:sz w:val="20"/>
              </w:rPr>
              <w:t xml:space="preserve">D.1.2. Accès des </w:t>
            </w:r>
            <w:r>
              <w:rPr>
                <w:rFonts w:ascii="Times New Roman" w:eastAsiaTheme="minorEastAsia" w:hAnsi="Times New Roman" w:cs="Times New Roman"/>
                <w:noProof/>
                <w:sz w:val="20"/>
              </w:rPr>
              <w:t>adultes au système informatique d’éducation et</w:t>
            </w:r>
            <w:r>
              <w:rPr>
                <w:rFonts w:ascii="Times New Roman" w:hAnsi="Times New Roman"/>
                <w:noProof/>
                <w:sz w:val="20"/>
              </w:rPr>
              <w:t xml:space="preserve"> de formation tout au long de la</w:t>
            </w:r>
            <w:r>
              <w:rPr>
                <w:rFonts w:ascii="Times New Roman" w:hAnsi="Times New Roman" w:cs="Times New Roman"/>
                <w:noProof/>
              </w:rPr>
              <w:t xml:space="preserve"> vie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BFEA"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B93470" w14:textId="6C4F485A" w:rsidR="00FA40E8" w:rsidRDefault="00E74AE8">
            <w:pPr>
              <w:pStyle w:val="P68B1DB1-Normal12"/>
              <w:spacing w:before="60" w:after="60"/>
              <w:rPr>
                <w:rFonts w:cs="Times New Roman"/>
                <w:noProof/>
              </w:rPr>
            </w:pPr>
            <w:r>
              <w:rPr>
                <w:noProof/>
              </w:rPr>
              <w:t xml:space="preserve">Mise en service du système d’information à </w:t>
            </w:r>
            <w:r>
              <w:rPr>
                <w:noProof/>
              </w:rPr>
              <w:t>guichet unique pour l’éducation et la formation tout au long de la vie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1D8088" w14:textId="59E6602D" w:rsidR="00FA40E8" w:rsidRDefault="00E74AE8">
            <w:pPr>
              <w:pStyle w:val="P68B1DB1-Normal12"/>
              <w:spacing w:before="60" w:after="60"/>
              <w:rPr>
                <w:rFonts w:cs="Times New Roman"/>
                <w:noProof/>
              </w:rPr>
            </w:pPr>
            <w:r>
              <w:rPr>
                <w:noProof/>
              </w:rPr>
              <w:t>Mise en service d’un système d’information à guichet unique pour l’apprentissage tout au long de la vie (LLL) fonctionnant selon le principe du «compte de formation individuel»</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D8C510" w14:textId="0CD3A0D1"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0CC09E" w14:textId="27F2131A"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464404" w14:textId="389785BA"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7AC2664" w14:textId="77777777" w:rsidR="00FA40E8" w:rsidRDefault="00E74AE8">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49BB79" w14:textId="77777777" w:rsidR="00FA40E8" w:rsidRDefault="00E74AE8">
            <w:pPr>
              <w:pStyle w:val="P68B1DB1-Normal12"/>
              <w:spacing w:before="60" w:after="60"/>
              <w:jc w:val="center"/>
              <w:rPr>
                <w:rFonts w:cs="Times New Roman"/>
                <w:noProof/>
              </w:rPr>
            </w:pPr>
            <w:r>
              <w:rPr>
                <w:noProof/>
              </w:rPr>
              <w:t>20</w:t>
            </w:r>
            <w:r>
              <w:rPr>
                <w:noProof/>
              </w:rPr>
              <w:t>23</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1A9CF12" w14:textId="77777777" w:rsidR="00FA40E8" w:rsidRDefault="00E74AE8">
            <w:pPr>
              <w:pStyle w:val="P68B1DB1-Normal12"/>
              <w:spacing w:before="60" w:after="60"/>
              <w:jc w:val="both"/>
              <w:rPr>
                <w:rFonts w:eastAsia="Times New Roman" w:cs="Times New Roman"/>
                <w:noProof/>
              </w:rPr>
            </w:pPr>
            <w:r>
              <w:rPr>
                <w:noProof/>
              </w:rPr>
              <w:t>Mise en service du système informatique d’apprentissage tout au long de la vie, qui doit être pleinement opérationnel et représenter toutes les offres d’apprentissage liées à la mise en œuvre du cadre d’apprentissage tout au long de la vie, y compris le</w:t>
            </w:r>
            <w:r>
              <w:rPr>
                <w:noProof/>
              </w:rPr>
              <w:t xml:space="preserve">s programmes à forte valeur ajoutée. </w:t>
            </w:r>
          </w:p>
          <w:p w14:paraId="4A79D5A2" w14:textId="06837CEE" w:rsidR="00FA40E8" w:rsidRDefault="00E74AE8">
            <w:pPr>
              <w:pStyle w:val="P68B1DB1-Normal12"/>
              <w:spacing w:before="60" w:after="60"/>
              <w:jc w:val="both"/>
              <w:rPr>
                <w:rFonts w:eastAsia="Times New Roman" w:cs="Times New Roman"/>
                <w:noProof/>
              </w:rPr>
            </w:pPr>
            <w:r>
              <w:rPr>
                <w:noProof/>
              </w:rPr>
              <w:t>Les personnes répondant aux critères de priorité définis au cours de la phase de mise en œuvre du programme pourront recevoir une offre d’apprentissage et s’inscrire au moyen du système informatique d’apprentissage tou</w:t>
            </w:r>
            <w:r>
              <w:rPr>
                <w:noProof/>
              </w:rPr>
              <w:t>t au long de la vie.</w:t>
            </w:r>
          </w:p>
          <w:p w14:paraId="3F058E81" w14:textId="0B28E48E" w:rsidR="00FA40E8" w:rsidRDefault="00E74AE8">
            <w:pPr>
              <w:pStyle w:val="P68B1DB1-Normal12"/>
              <w:spacing w:before="60" w:after="60"/>
              <w:jc w:val="both"/>
              <w:rPr>
                <w:noProof/>
              </w:rPr>
            </w:pPr>
            <w:r>
              <w:rPr>
                <w:noProof/>
              </w:rPr>
              <w:t>L’approche du compte de formation individuel englobe à la fois le service informatique d’accès à la formation et le financement de l’éducation et de la formation des adultes.</w:t>
            </w:r>
          </w:p>
          <w:p w14:paraId="5338BEDB" w14:textId="77777777" w:rsidR="00FA40E8" w:rsidRDefault="00E74AE8">
            <w:pPr>
              <w:pStyle w:val="P68B1DB1-Normal12"/>
              <w:spacing w:before="60" w:after="60"/>
              <w:jc w:val="both"/>
              <w:rPr>
                <w:rFonts w:eastAsia="Times New Roman" w:cs="Times New Roman"/>
                <w:noProof/>
              </w:rPr>
            </w:pPr>
            <w:r>
              <w:rPr>
                <w:noProof/>
              </w:rPr>
              <w:t>Le système donne accès à l’orientation professionnelle, recu</w:t>
            </w:r>
            <w:r>
              <w:rPr>
                <w:noProof/>
              </w:rPr>
              <w:t>eille des informations sur les compétences acquises au cours de la formation, ainsi qu’aux processus de reconnaissance des compétences/qualifications.</w:t>
            </w:r>
          </w:p>
        </w:tc>
      </w:tr>
      <w:tr w:rsidR="00FA40E8" w14:paraId="242EB181"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3779EBB" w14:textId="7864968C" w:rsidR="00FA40E8" w:rsidRDefault="00E74AE8">
            <w:pPr>
              <w:pStyle w:val="P68B1DB1-Normal12"/>
              <w:spacing w:before="60" w:after="60"/>
              <w:jc w:val="center"/>
              <w:rPr>
                <w:rFonts w:cs="Times New Roman"/>
                <w:noProof/>
              </w:rPr>
            </w:pPr>
            <w:r>
              <w:rPr>
                <w:noProof/>
              </w:rPr>
              <w:t>109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11434C" w14:textId="54BE4C63" w:rsidR="00FA40E8" w:rsidRDefault="00E74AE8">
            <w:pPr>
              <w:pStyle w:val="P68B1DB1-Normal12"/>
              <w:spacing w:before="60" w:after="60"/>
              <w:rPr>
                <w:noProof/>
                <w:sz w:val="24"/>
                <w:szCs w:val="24"/>
                <w:u w:val="single"/>
              </w:rPr>
            </w:pPr>
            <w:r>
              <w:rPr>
                <w:noProof/>
              </w:rPr>
              <w:t>D.1.2. Accès des adultes au système informatique d’éducation et de formation tout au long de la vie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4FB2DF" w14:textId="2BF3076C" w:rsidR="00FA40E8" w:rsidRDefault="00E74AE8">
            <w:pPr>
              <w:pStyle w:val="P68B1DB1-Normal12"/>
              <w:spacing w:before="60" w:after="60"/>
              <w:jc w:val="center"/>
              <w:rPr>
                <w:rFonts w:cs="Times New Roman"/>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8DDCF1" w14:textId="0E3428A1" w:rsidR="00FA40E8" w:rsidRDefault="00E74AE8">
            <w:pPr>
              <w:pStyle w:val="P68B1DB1-Normal12"/>
              <w:spacing w:before="60" w:after="60"/>
              <w:rPr>
                <w:rFonts w:cs="Times New Roman"/>
                <w:noProof/>
              </w:rPr>
            </w:pPr>
            <w:r>
              <w:rPr>
                <w:noProof/>
              </w:rPr>
              <w:t>Personnes formées à l’aide du système informatique d’apprentissage tout au long de la vie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D61F1C8" w14:textId="3AB1D10F" w:rsidR="00FA40E8" w:rsidRDefault="00FA40E8">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852C40" w14:textId="60A50D9A" w:rsidR="00FA40E8" w:rsidRDefault="00E74AE8">
            <w:pPr>
              <w:pStyle w:val="P68B1DB1-Normal12"/>
              <w:spacing w:before="60" w:after="60"/>
              <w:jc w:val="center"/>
              <w:rPr>
                <w:rFonts w:cs="Times New Roman"/>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F3544" w14:textId="55331643" w:rsidR="00FA40E8" w:rsidRDefault="00E74AE8">
            <w:pPr>
              <w:pStyle w:val="P68B1DB1-Normal28"/>
              <w:spacing w:before="60" w:after="60"/>
              <w:jc w:val="center"/>
              <w:rPr>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AB5D61" w14:textId="369D214F" w:rsidR="00FA40E8" w:rsidRDefault="00E74AE8">
            <w:pPr>
              <w:pStyle w:val="P68B1DB1-Normal12"/>
              <w:spacing w:before="60" w:after="60"/>
              <w:jc w:val="center"/>
              <w:rPr>
                <w:rFonts w:cs="Times New Roman"/>
                <w:noProof/>
              </w:rPr>
            </w:pPr>
            <w:r>
              <w:rPr>
                <w:noProof/>
              </w:rPr>
              <w:t>21 600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2A1200" w14:textId="40DFC410"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B0179F1" w14:textId="76003800" w:rsidR="00FA40E8" w:rsidRDefault="00E74AE8">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2AFFAA1" w14:textId="107EBA0F" w:rsidR="00FA40E8" w:rsidRDefault="00E74AE8">
            <w:pPr>
              <w:pStyle w:val="P68B1DB1-Normal12"/>
              <w:spacing w:before="60" w:after="60"/>
              <w:jc w:val="both"/>
              <w:rPr>
                <w:rFonts w:ascii="Aptos" w:eastAsia="Aptos" w:hAnsi="Aptos" w:cs="Aptos"/>
                <w:i/>
                <w:noProof/>
              </w:rPr>
            </w:pPr>
            <w:r>
              <w:rPr>
                <w:noProof/>
              </w:rPr>
              <w:t>Au moins 21 600 personnes formées (dont au moins 40 % liées aux compétences numériques) à l’aide du système informatique d’apprentis</w:t>
            </w:r>
            <w:r>
              <w:rPr>
                <w:noProof/>
              </w:rPr>
              <w:t>sage tout au long de la vie. L’acte juridique régissant le système des comptes de formation individuels (ILA) établit que les personnes peu qualifiées ayant obtenu un niveau d’éducation et/ou de qualification inférieur font partie des groupes prioritaires.</w:t>
            </w:r>
          </w:p>
        </w:tc>
      </w:tr>
      <w:tr w:rsidR="00FA40E8" w14:paraId="58B1FC1E"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5C727D" w14:textId="77777777" w:rsidR="00FA40E8" w:rsidRDefault="00E74AE8">
            <w:pPr>
              <w:pStyle w:val="P68B1DB1-Normal12"/>
              <w:spacing w:before="60" w:after="60"/>
              <w:jc w:val="center"/>
              <w:rPr>
                <w:rFonts w:cs="Times New Roman"/>
                <w:noProof/>
              </w:rPr>
            </w:pPr>
            <w:r>
              <w:rPr>
                <w:noProof/>
              </w:rPr>
              <w:t>110</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3CB0A6" w14:textId="63ECD3DA" w:rsidR="00FA40E8" w:rsidRDefault="00E74AE8">
            <w:pPr>
              <w:pStyle w:val="P68B1DB1-Normal12"/>
              <w:spacing w:before="60" w:after="60"/>
              <w:rPr>
                <w:rFonts w:cs="Times New Roman"/>
                <w:noProof/>
              </w:rPr>
            </w:pPr>
            <w:r>
              <w:rPr>
                <w:noProof/>
              </w:rPr>
              <w:t>D.1.3. Système d’orientation professionnelle pour équilibrer l’offre et la demande sur le marché du travail</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E51BD2D"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0D33E44" w14:textId="0F88303C" w:rsidR="00FA40E8" w:rsidRDefault="00E74AE8">
            <w:pPr>
              <w:pStyle w:val="P68B1DB1-Normal12"/>
              <w:spacing w:before="60" w:after="60"/>
              <w:rPr>
                <w:rFonts w:cs="Times New Roman"/>
                <w:noProof/>
              </w:rPr>
            </w:pPr>
            <w:r>
              <w:rPr>
                <w:noProof/>
              </w:rPr>
              <w:t xml:space="preserve">Entrée en vigueur de la résolution du gouvernement sur les procédures régissant le système d’orientation professionnelle (orientation </w:t>
            </w:r>
            <w:r>
              <w:rPr>
                <w:noProof/>
              </w:rPr>
              <w:t>professionnelle)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088527" w14:textId="4CA25AA5" w:rsidR="00FA40E8" w:rsidRDefault="00E74AE8">
            <w:pPr>
              <w:pStyle w:val="P68B1DB1-Normal12"/>
              <w:spacing w:before="60" w:after="60"/>
              <w:rPr>
                <w:rFonts w:cs="Times New Roman"/>
                <w:noProof/>
              </w:rPr>
            </w:pPr>
            <w:r>
              <w:rPr>
                <w:noProof/>
              </w:rPr>
              <w:t xml:space="preserve">Entrée en vigueur de la législation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8E909D3" w14:textId="77777777"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2AC9A1" w14:textId="77777777"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786077F" w14:textId="77777777"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BDA5D18" w14:textId="77777777" w:rsidR="00FA40E8" w:rsidRDefault="00E74AE8">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3321FE8" w14:textId="69382B9E" w:rsidR="00FA40E8" w:rsidRDefault="00E74AE8">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4FEFE57" w14:textId="1F2AEBBC" w:rsidR="00FA40E8" w:rsidRDefault="00E74AE8">
            <w:pPr>
              <w:pStyle w:val="P68B1DB1-Normal12"/>
              <w:spacing w:before="60" w:after="60"/>
              <w:jc w:val="both"/>
              <w:rPr>
                <w:rFonts w:eastAsia="Times New Roman" w:cs="Times New Roman"/>
                <w:noProof/>
              </w:rPr>
            </w:pPr>
            <w:r>
              <w:rPr>
                <w:noProof/>
              </w:rPr>
              <w:t>Entrée en vigueur de la résolution gouvernementale sur les procédures d’orientation professionnelle (orientation professionnelle) qui fixe</w:t>
            </w:r>
          </w:p>
          <w:p w14:paraId="25704193" w14:textId="77777777" w:rsidR="00FA40E8" w:rsidRDefault="00E74AE8">
            <w:pPr>
              <w:pStyle w:val="P68B1DB1-ListParagraph22"/>
              <w:numPr>
                <w:ilvl w:val="0"/>
                <w:numId w:val="30"/>
              </w:numPr>
              <w:spacing w:before="60" w:after="60" w:line="276" w:lineRule="auto"/>
              <w:ind w:left="356" w:hanging="284"/>
              <w:jc w:val="both"/>
              <w:rPr>
                <w:rFonts w:eastAsia="Times New Roman" w:cs="Times New Roman"/>
                <w:noProof/>
              </w:rPr>
            </w:pPr>
            <w:r>
              <w:rPr>
                <w:noProof/>
              </w:rPr>
              <w:t>le cadre, la gestion et l’assurance de la qualité du</w:t>
            </w:r>
            <w:r>
              <w:rPr>
                <w:noProof/>
              </w:rPr>
              <w:t xml:space="preserve"> système d’orientation professionnelle et de planification tout au long de la vie, à commencer par l’école primaire et la fourniture de services aux adultes, qui sont intégrés dans le système d’apprentissage tout au long de la vie, ainsi que </w:t>
            </w:r>
          </w:p>
          <w:p w14:paraId="5E906271" w14:textId="77777777" w:rsidR="00FA40E8" w:rsidRDefault="00E74AE8">
            <w:pPr>
              <w:pStyle w:val="P68B1DB1-ListParagraph22"/>
              <w:numPr>
                <w:ilvl w:val="0"/>
                <w:numId w:val="30"/>
              </w:numPr>
              <w:spacing w:before="60" w:after="60" w:line="276" w:lineRule="auto"/>
              <w:ind w:left="356" w:hanging="284"/>
              <w:jc w:val="both"/>
              <w:rPr>
                <w:rFonts w:eastAsia="Times New Roman" w:cs="Times New Roman"/>
                <w:noProof/>
              </w:rPr>
            </w:pPr>
            <w:r>
              <w:rPr>
                <w:noProof/>
              </w:rPr>
              <w:t>définition de</w:t>
            </w:r>
            <w:r>
              <w:rPr>
                <w:noProof/>
              </w:rPr>
              <w:t>s fonctions et des compétences de base des professionnels de la carrière dans les écoles, du modèle de financement des services fournis aux élèves et aux adultes, du champ d’action des institutions concernées et de la participation des partenaires sociaux</w:t>
            </w:r>
          </w:p>
          <w:p w14:paraId="641D722C" w14:textId="77777777" w:rsidR="00FA40E8" w:rsidRDefault="00E74AE8">
            <w:pPr>
              <w:pStyle w:val="P68B1DB1-ListParagraph22"/>
              <w:numPr>
                <w:ilvl w:val="0"/>
                <w:numId w:val="30"/>
              </w:numPr>
              <w:spacing w:before="60" w:after="60" w:line="276" w:lineRule="auto"/>
              <w:ind w:left="356" w:hanging="284"/>
              <w:jc w:val="both"/>
              <w:rPr>
                <w:rFonts w:eastAsia="Times New Roman" w:cs="Times New Roman"/>
                <w:noProof/>
              </w:rPr>
            </w:pPr>
            <w:r>
              <w:rPr>
                <w:noProof/>
              </w:rPr>
              <w:t>définition de normes de base pour l’utilisation des informations du système national de suivi des ressources humaines et définition de principes pour le suivi du système d’orientation professionnelle (orientation professionnelle).</w:t>
            </w:r>
          </w:p>
        </w:tc>
      </w:tr>
      <w:tr w:rsidR="00FA40E8" w14:paraId="6F5C0536"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21E796" w14:textId="77777777" w:rsidR="00FA40E8" w:rsidRDefault="00E74AE8">
            <w:pPr>
              <w:pStyle w:val="P68B1DB1-Normal12"/>
              <w:spacing w:before="60" w:after="60"/>
              <w:jc w:val="center"/>
              <w:rPr>
                <w:rFonts w:cs="Times New Roman"/>
                <w:noProof/>
              </w:rPr>
            </w:pPr>
            <w:r>
              <w:rPr>
                <w:noProof/>
              </w:rPr>
              <w:t>111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5C7661E" w14:textId="3D0AF728" w:rsidR="00FA40E8" w:rsidRDefault="00E74AE8">
            <w:pPr>
              <w:pStyle w:val="P68B1DB1-Normal12"/>
              <w:spacing w:before="60" w:after="60"/>
              <w:rPr>
                <w:rFonts w:cs="Times New Roman"/>
                <w:noProof/>
              </w:rPr>
            </w:pPr>
            <w:r>
              <w:rPr>
                <w:noProof/>
              </w:rPr>
              <w:t xml:space="preserve">D.1.3. Système </w:t>
            </w:r>
            <w:r>
              <w:rPr>
                <w:noProof/>
              </w:rPr>
              <w:t>d’orientation professionnelle pour équilibrer l’offre et la demande sur le marché du travail</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DA542FF" w14:textId="77777777" w:rsidR="00FA40E8" w:rsidRDefault="00E74AE8">
            <w:pPr>
              <w:pStyle w:val="P68B1DB1-Normal12"/>
              <w:spacing w:before="60" w:after="60"/>
              <w:jc w:val="center"/>
              <w:rPr>
                <w:rFonts w:cs="Times New Roman"/>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8081004" w14:textId="77777777" w:rsidR="00FA40E8" w:rsidRDefault="00E74AE8">
            <w:pPr>
              <w:pStyle w:val="P68B1DB1-Normal12"/>
              <w:spacing w:before="60" w:after="60"/>
              <w:rPr>
                <w:rFonts w:cs="Times New Roman"/>
                <w:noProof/>
              </w:rPr>
            </w:pPr>
            <w:r>
              <w:rPr>
                <w:noProof/>
              </w:rPr>
              <w:t xml:space="preserve">Nombre de spécialistes de la carrière fournissant des services dans les écoles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5B727F" w14:textId="4EE42081" w:rsidR="00FA40E8" w:rsidRDefault="00FA40E8">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7445485" w14:textId="77777777" w:rsidR="00FA40E8" w:rsidRDefault="00E74AE8">
            <w:pPr>
              <w:pStyle w:val="P68B1DB1-Normal12"/>
              <w:spacing w:before="60" w:after="60"/>
              <w:jc w:val="center"/>
              <w:rPr>
                <w:rFonts w:cs="Times New Roman"/>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36B38C0" w14:textId="77777777" w:rsidR="00FA40E8" w:rsidRDefault="00E74AE8">
            <w:pPr>
              <w:pStyle w:val="P68B1DB1-Normal12"/>
              <w:spacing w:before="60" w:after="60"/>
              <w:jc w:val="center"/>
              <w:rPr>
                <w:rFonts w:cs="Times New Roman"/>
                <w:noProof/>
              </w:rPr>
            </w:pPr>
            <w:r>
              <w:rPr>
                <w:noProof/>
              </w:rPr>
              <w:t>80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36CEDB3" w14:textId="77777777" w:rsidR="00FA40E8" w:rsidRDefault="00E74AE8">
            <w:pPr>
              <w:pStyle w:val="P68B1DB1-Normal12"/>
              <w:spacing w:before="60" w:after="60"/>
              <w:jc w:val="center"/>
              <w:rPr>
                <w:rFonts w:cs="Times New Roman"/>
                <w:noProof/>
              </w:rPr>
            </w:pPr>
            <w:r>
              <w:rPr>
                <w:noProof/>
              </w:rPr>
              <w:t>380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4E7BE98" w14:textId="77777777" w:rsidR="00FA40E8" w:rsidRDefault="00E74AE8">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987D3DD" w14:textId="77777777" w:rsidR="00FA40E8" w:rsidRDefault="00E74AE8">
            <w:pPr>
              <w:pStyle w:val="P68B1DB1-Normal12"/>
              <w:spacing w:before="60" w:after="60"/>
              <w:jc w:val="center"/>
              <w:rPr>
                <w:rFonts w:cs="Times New Roman"/>
                <w:noProof/>
              </w:rPr>
            </w:pPr>
            <w:r>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AD7AEDB" w14:textId="77777777" w:rsidR="00FA40E8" w:rsidRDefault="00E74AE8">
            <w:pPr>
              <w:pStyle w:val="P68B1DB1-Normal12"/>
              <w:spacing w:before="60" w:after="60"/>
              <w:jc w:val="both"/>
              <w:rPr>
                <w:rFonts w:eastAsia="Times New Roman" w:cs="Times New Roman"/>
                <w:noProof/>
              </w:rPr>
            </w:pPr>
            <w:r>
              <w:rPr>
                <w:noProof/>
              </w:rPr>
              <w:t>Les services d’orientation professionnelle sont fou</w:t>
            </w:r>
            <w:r>
              <w:rPr>
                <w:noProof/>
              </w:rPr>
              <w:t xml:space="preserve">rnis dans les écoles par au moins 380 spécialistes de la carrière. </w:t>
            </w:r>
          </w:p>
        </w:tc>
      </w:tr>
      <w:tr w:rsidR="00FA40E8" w14:paraId="02E82987"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840D9FC" w14:textId="77777777" w:rsidR="00FA40E8" w:rsidRDefault="00E74AE8">
            <w:pPr>
              <w:pStyle w:val="P68B1DB1-Normal12"/>
              <w:spacing w:before="60" w:after="60"/>
              <w:jc w:val="center"/>
              <w:rPr>
                <w:rFonts w:cs="Times New Roman"/>
                <w:noProof/>
              </w:rPr>
            </w:pPr>
            <w:r>
              <w:rPr>
                <w:noProof/>
              </w:rPr>
              <w:t>112</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F76BA5" w14:textId="4D1CBBDA" w:rsidR="00FA40E8" w:rsidRDefault="00E74AE8">
            <w:pPr>
              <w:pStyle w:val="P68B1DB1-Normal12"/>
              <w:spacing w:before="60" w:after="60"/>
              <w:rPr>
                <w:rFonts w:cs="Times New Roman"/>
                <w:noProof/>
              </w:rPr>
            </w:pPr>
            <w:r>
              <w:rPr>
                <w:noProof/>
              </w:rPr>
              <w:t>D.1.4. Compétences en matière de transformation numérique acquises dans l’enseignement et la formation professionnels</w:t>
            </w:r>
            <w:r>
              <w:rPr>
                <w:noProof/>
                <w:shd w:val="clear" w:color="auto" w:fill="E6E6E6"/>
              </w:rPr>
              <w:t xml:space="preserve"> </w:t>
            </w:r>
          </w:p>
          <w:p w14:paraId="43AC3972" w14:textId="77777777" w:rsidR="00FA40E8" w:rsidRDefault="00E74AE8">
            <w:pPr>
              <w:pStyle w:val="P68B1DB1-Normal12"/>
              <w:spacing w:before="60" w:after="60"/>
              <w:rPr>
                <w:rFonts w:cs="Times New Roman"/>
                <w:noProof/>
              </w:rPr>
            </w:pPr>
            <w:r>
              <w:rPr>
                <w:noProof/>
              </w:rPr>
              <w:t>D.1.4.1 Plateforme nationale pour l’avancement de l’enseignement</w:t>
            </w:r>
            <w:r>
              <w:rPr>
                <w:noProof/>
              </w:rPr>
              <w:t xml:space="preserve"> et de la formation professionnels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249D5C"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4B5AF2F" w14:textId="77777777" w:rsidR="00FA40E8" w:rsidRDefault="00E74AE8">
            <w:pPr>
              <w:pStyle w:val="P68B1DB1-Normal12"/>
              <w:spacing w:before="60" w:after="60"/>
              <w:rPr>
                <w:rFonts w:cs="Times New Roman"/>
                <w:noProof/>
              </w:rPr>
            </w:pPr>
            <w:r>
              <w:rPr>
                <w:noProof/>
              </w:rPr>
              <w:t>Entrée en vigueur de la législation relative à la mise en place de la plateforme nationale sur le progrès de l’enseignement et de la formation professionnels</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90E72F8" w14:textId="77777777" w:rsidR="00FA40E8" w:rsidRDefault="00E74AE8">
            <w:pPr>
              <w:pStyle w:val="P68B1DB1-Normal12"/>
              <w:spacing w:before="60" w:after="60"/>
              <w:rPr>
                <w:rFonts w:cs="Times New Roman"/>
                <w:noProof/>
              </w:rPr>
            </w:pPr>
            <w:r>
              <w:rPr>
                <w:noProof/>
              </w:rPr>
              <w:t xml:space="preserve">Entrée en vigueur de la législation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5D6636" w14:textId="2D4C0649"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2728D0" w14:textId="32F2F273"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555B5DD" w14:textId="6A009221"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2EB454"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EC8DA92" w14:textId="77777777" w:rsidR="00FA40E8" w:rsidRDefault="00E74AE8">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03CC53" w14:textId="776D1751" w:rsidR="00FA40E8" w:rsidRDefault="00E74AE8">
            <w:pPr>
              <w:pStyle w:val="P68B1DB1-Normal12"/>
              <w:spacing w:before="60" w:after="60"/>
              <w:jc w:val="both"/>
              <w:rPr>
                <w:rFonts w:cs="Times New Roman"/>
                <w:noProof/>
              </w:rPr>
            </w:pPr>
            <w:r>
              <w:rPr>
                <w:noProof/>
              </w:rPr>
              <w:t>Entrée en</w:t>
            </w:r>
            <w:r>
              <w:rPr>
                <w:noProof/>
              </w:rPr>
              <w:t xml:space="preserve"> vigueur de la législation relative à la mise en place de la plateforme pour le progrès de la formation professionnelle, qui garantit un modèle de formation professionnelle durable et à long terme dans chaque région, les rôles et responsabilités de la plat</w:t>
            </w:r>
            <w:r>
              <w:rPr>
                <w:noProof/>
              </w:rPr>
              <w:t>eforme, les rôles des acteurs et la participation des partenaires sociaux concernés aux compétences requises par le marché du travail.</w:t>
            </w:r>
          </w:p>
          <w:p w14:paraId="45096761" w14:textId="2F247231" w:rsidR="00FA40E8" w:rsidRDefault="00E74AE8">
            <w:pPr>
              <w:pStyle w:val="P68B1DB1-Normal12"/>
              <w:spacing w:before="60" w:after="60"/>
              <w:jc w:val="both"/>
              <w:rPr>
                <w:rFonts w:eastAsia="Times New Roman" w:cs="Times New Roman"/>
                <w:noProof/>
              </w:rPr>
            </w:pPr>
            <w:r>
              <w:rPr>
                <w:noProof/>
              </w:rPr>
              <w:t>La plateforme comprend des partenaires sociaux représentant les intérêts des entreprises, de l’industrie, de la communaut</w:t>
            </w:r>
            <w:r>
              <w:rPr>
                <w:noProof/>
              </w:rPr>
              <w:t>é éducative et des pouvoirs publics.</w:t>
            </w:r>
          </w:p>
          <w:p w14:paraId="14CFCC95" w14:textId="77777777" w:rsidR="00FA40E8" w:rsidRDefault="00E74AE8">
            <w:pPr>
              <w:pStyle w:val="P68B1DB1-Normal12"/>
              <w:spacing w:before="60" w:after="60"/>
              <w:jc w:val="both"/>
              <w:rPr>
                <w:rFonts w:cs="Times New Roman"/>
                <w:noProof/>
              </w:rPr>
            </w:pPr>
            <w:r>
              <w:rPr>
                <w:noProof/>
              </w:rPr>
              <w:t>Dans le format de la plateforme, des décisions sont prises sur les principes objectifs de la gouvernance de la formation professionnelle, sur la mise en œuvre pratique de la consolidation du réseau existant de formation</w:t>
            </w:r>
            <w:r>
              <w:rPr>
                <w:noProof/>
              </w:rPr>
              <w:t xml:space="preserve"> professionnelle, sur l’actualisation des nouvelles normes professionnelles, de la formation professionnelle et des programmes non formels d’éducation des adultes, ainsi que sur la formation des formateurs et le développement professionnel.</w:t>
            </w:r>
          </w:p>
        </w:tc>
      </w:tr>
      <w:tr w:rsidR="00FA40E8" w14:paraId="6DA4D622"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F8DD8C4" w14:textId="77777777" w:rsidR="00FA40E8" w:rsidRDefault="00E74AE8">
            <w:pPr>
              <w:pStyle w:val="P68B1DB1-Normal12"/>
              <w:spacing w:before="60" w:after="60"/>
              <w:jc w:val="center"/>
              <w:rPr>
                <w:rFonts w:cs="Times New Roman"/>
                <w:noProof/>
              </w:rPr>
            </w:pPr>
            <w:r>
              <w:rPr>
                <w:noProof/>
              </w:rPr>
              <w:t>113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FC19DF1" w14:textId="625F8019" w:rsidR="00FA40E8" w:rsidRDefault="00E74AE8">
            <w:pPr>
              <w:pStyle w:val="P68B1DB1-Normal12"/>
              <w:spacing w:before="60" w:after="60"/>
              <w:rPr>
                <w:rFonts w:cs="Times New Roman"/>
                <w:noProof/>
              </w:rPr>
            </w:pPr>
            <w:r>
              <w:rPr>
                <w:noProof/>
              </w:rPr>
              <w:t xml:space="preserve">D.1.4. </w:t>
            </w:r>
            <w:r>
              <w:rPr>
                <w:noProof/>
              </w:rPr>
              <w:t>Compétences en matière de transformation numérique acquises dans l’enseignement et la formation professionnels</w:t>
            </w:r>
          </w:p>
          <w:p w14:paraId="3E21ABB0" w14:textId="161D892F" w:rsidR="00FA40E8" w:rsidRDefault="00E74AE8">
            <w:pPr>
              <w:pStyle w:val="P68B1DB1-Normal12"/>
              <w:spacing w:before="60" w:after="60"/>
              <w:rPr>
                <w:rFonts w:cs="Times New Roman"/>
                <w:noProof/>
              </w:rPr>
            </w:pPr>
            <w:r>
              <w:rPr>
                <w:noProof/>
              </w:rPr>
              <w:t>D.1.4.1 Plateforme nationale pour l’avancement de l’enseignement et de la formation professionnels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CC4618B" w14:textId="77777777" w:rsidR="00FA40E8" w:rsidRDefault="00E74AE8">
            <w:pPr>
              <w:pStyle w:val="P68B1DB1-Normal12"/>
              <w:spacing w:before="60" w:after="60"/>
              <w:jc w:val="center"/>
              <w:rPr>
                <w:rFonts w:cs="Times New Roman"/>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DEECD6" w14:textId="04C21A20" w:rsidR="00FA40E8" w:rsidRDefault="00E74AE8">
            <w:pPr>
              <w:pStyle w:val="P68B1DB1-Normal12"/>
              <w:spacing w:before="60" w:after="60"/>
              <w:rPr>
                <w:rFonts w:cs="Times New Roman"/>
                <w:noProof/>
              </w:rPr>
            </w:pPr>
            <w:r>
              <w:rPr>
                <w:noProof/>
              </w:rPr>
              <w:t>Enregistrement de programmes de forma</w:t>
            </w:r>
            <w:r>
              <w:rPr>
                <w:noProof/>
              </w:rPr>
              <w:t>tion professionnelle nouveaux/mis à jour</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7309153" w14:textId="5BA7035B" w:rsidR="00FA40E8" w:rsidRDefault="00FA40E8">
            <w:pPr>
              <w:spacing w:before="60" w:after="60"/>
              <w:rPr>
                <w:rFonts w:ascii="Times New Roman" w:hAnsi="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D441737" w14:textId="77777777" w:rsidR="00FA40E8" w:rsidRDefault="00E74AE8">
            <w:pPr>
              <w:pStyle w:val="P68B1DB1-Normal12"/>
              <w:spacing w:before="60" w:after="60"/>
              <w:jc w:val="center"/>
              <w:rPr>
                <w:rFonts w:cs="Times New Roman"/>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83B4869" w14:textId="77777777" w:rsidR="00FA40E8" w:rsidRDefault="00E74AE8">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55BD28" w14:textId="77777777" w:rsidR="00FA40E8" w:rsidRDefault="00E74AE8">
            <w:pPr>
              <w:pStyle w:val="P68B1DB1-Normal12"/>
              <w:spacing w:before="60" w:after="60"/>
              <w:jc w:val="center"/>
              <w:rPr>
                <w:rFonts w:cs="Times New Roman"/>
                <w:noProof/>
              </w:rPr>
            </w:pPr>
            <w:r>
              <w:rPr>
                <w:noProof/>
              </w:rPr>
              <w:t>95</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469FA3"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1673703" w14:textId="77777777" w:rsidR="00FA40E8" w:rsidRDefault="00E74AE8">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B63F3C" w14:textId="574EEB7D" w:rsidR="00FA40E8" w:rsidRDefault="00E74AE8">
            <w:pPr>
              <w:pStyle w:val="P68B1DB1-Normal12"/>
              <w:spacing w:before="60" w:after="60"/>
              <w:jc w:val="both"/>
              <w:rPr>
                <w:rFonts w:eastAsia="Times New Roman" w:cs="Times New Roman"/>
                <w:noProof/>
              </w:rPr>
            </w:pPr>
            <w:r>
              <w:rPr>
                <w:noProof/>
              </w:rPr>
              <w:t xml:space="preserve">Au total, 95 programmes d’enseignement et de formation professionnels nouveaux ou actualisés sont enregistrés. </w:t>
            </w:r>
          </w:p>
        </w:tc>
      </w:tr>
      <w:tr w:rsidR="00FA40E8" w14:paraId="2957BF04"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B7C16C" w14:textId="77777777" w:rsidR="00FA40E8" w:rsidRDefault="00E74AE8">
            <w:pPr>
              <w:pStyle w:val="P68B1DB1-Normal12"/>
              <w:spacing w:before="60" w:after="60"/>
              <w:jc w:val="center"/>
              <w:rPr>
                <w:rFonts w:cs="Times New Roman"/>
                <w:noProof/>
              </w:rPr>
            </w:pPr>
            <w:r>
              <w:rPr>
                <w:noProof/>
              </w:rPr>
              <w:t>114</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843BCE" w14:textId="245FAF15" w:rsidR="00FA40E8" w:rsidRDefault="00E74AE8">
            <w:pPr>
              <w:pStyle w:val="P68B1DB1-Normal12"/>
              <w:spacing w:before="60" w:after="60"/>
              <w:rPr>
                <w:rFonts w:cs="Times New Roman"/>
                <w:noProof/>
              </w:rPr>
            </w:pPr>
            <w:r>
              <w:rPr>
                <w:noProof/>
              </w:rPr>
              <w:t xml:space="preserve">D.1.4. Compétences en matière de transformation numérique acquises dans </w:t>
            </w:r>
            <w:r>
              <w:rPr>
                <w:noProof/>
              </w:rPr>
              <w:t>l’enseignement et la formation professionnels</w:t>
            </w:r>
          </w:p>
          <w:p w14:paraId="5EF71311" w14:textId="77777777" w:rsidR="00FA40E8" w:rsidRDefault="00E74AE8">
            <w:pPr>
              <w:pStyle w:val="P68B1DB1-Normal12"/>
              <w:spacing w:before="60" w:after="60"/>
              <w:rPr>
                <w:rFonts w:cs="Times New Roman"/>
                <w:noProof/>
              </w:rPr>
            </w:pPr>
            <w:r>
              <w:rPr>
                <w:noProof/>
              </w:rPr>
              <w:t>D.1.4.1 Plateforme nationale pour l’avancement de l’enseignement et de la formation professionnels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A36D15" w14:textId="77777777" w:rsidR="00FA40E8" w:rsidRDefault="00E74AE8">
            <w:pPr>
              <w:pStyle w:val="P68B1DB1-Normal12"/>
              <w:spacing w:before="60" w:after="60"/>
              <w:jc w:val="center"/>
              <w:rPr>
                <w:rFonts w:cs="Times New Roman"/>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9CACC6" w14:textId="0F970D50" w:rsidR="00FA40E8" w:rsidRDefault="00E74AE8">
            <w:pPr>
              <w:pStyle w:val="P68B1DB1-Normal12"/>
              <w:spacing w:before="60" w:after="60"/>
              <w:rPr>
                <w:rFonts w:eastAsia="Times New Roman" w:cs="Times New Roman"/>
                <w:noProof/>
              </w:rPr>
            </w:pPr>
            <w:r>
              <w:rPr>
                <w:noProof/>
              </w:rPr>
              <w:t xml:space="preserve">Nombre de certificats de participation à la formation délivrés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9D0239" w14:textId="5BB62E70" w:rsidR="00FA40E8" w:rsidRDefault="00FA40E8">
            <w:pPr>
              <w:spacing w:before="60" w:after="60"/>
              <w:rPr>
                <w:rFonts w:ascii="Times New Roman" w:eastAsia="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E6AF375" w14:textId="1CEF238F" w:rsidR="00FA40E8" w:rsidRDefault="00E74AE8">
            <w:pPr>
              <w:pStyle w:val="P68B1DB1-Normal12"/>
              <w:spacing w:before="60" w:after="60"/>
              <w:jc w:val="center"/>
              <w:rPr>
                <w:rFonts w:cs="Times New Roman"/>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0ADCE4" w14:textId="09A75F19" w:rsidR="00FA40E8" w:rsidRDefault="00E74AE8">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3C90DBE" w14:textId="68B485BF" w:rsidR="00FA40E8" w:rsidRDefault="00E74AE8">
            <w:pPr>
              <w:pStyle w:val="P68B1DB1-Normal12"/>
              <w:spacing w:before="60" w:after="60"/>
              <w:jc w:val="center"/>
              <w:rPr>
                <w:rFonts w:cs="Times New Roman"/>
                <w:noProof/>
              </w:rPr>
            </w:pPr>
            <w:r>
              <w:rPr>
                <w:noProof/>
              </w:rPr>
              <w:t>1 000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20EF9D"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953FB7" w14:textId="6B5944F2" w:rsidR="00FA40E8" w:rsidRDefault="00E74AE8">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DC027A" w14:textId="65FC954B" w:rsidR="00FA40E8" w:rsidRDefault="00E74AE8">
            <w:pPr>
              <w:pStyle w:val="P68B1DB1-Normal12"/>
              <w:spacing w:before="60" w:after="60"/>
              <w:jc w:val="both"/>
              <w:rPr>
                <w:rFonts w:eastAsia="Times New Roman" w:cs="Times New Roman"/>
                <w:noProof/>
              </w:rPr>
            </w:pPr>
            <w:r>
              <w:rPr>
                <w:noProof/>
              </w:rPr>
              <w:t xml:space="preserve">1 000 des </w:t>
            </w:r>
            <w:r>
              <w:rPr>
                <w:noProof/>
              </w:rPr>
              <w:t>certificats de participation à des formations comprenant des compétences pédagogiques et andragogiques ou des compétences techniques ou numériques sont délivrés.</w:t>
            </w:r>
          </w:p>
        </w:tc>
      </w:tr>
      <w:tr w:rsidR="00FA40E8" w14:paraId="71F7D28D"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47B4E0" w14:textId="77777777" w:rsidR="00FA40E8" w:rsidRDefault="00E74AE8">
            <w:pPr>
              <w:pStyle w:val="P68B1DB1-Normal12"/>
              <w:spacing w:before="60" w:after="60"/>
              <w:jc w:val="center"/>
              <w:rPr>
                <w:rFonts w:cs="Times New Roman"/>
                <w:noProof/>
              </w:rPr>
            </w:pPr>
            <w:r>
              <w:rPr>
                <w:noProof/>
              </w:rPr>
              <w:t>115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2C699" w14:textId="6D3BF0BA" w:rsidR="00FA40E8" w:rsidRDefault="00E74AE8">
            <w:pPr>
              <w:pStyle w:val="P68B1DB1-Normal12"/>
              <w:spacing w:before="60" w:after="60"/>
              <w:rPr>
                <w:rFonts w:cs="Times New Roman"/>
                <w:noProof/>
              </w:rPr>
            </w:pPr>
            <w:r>
              <w:rPr>
                <w:noProof/>
              </w:rPr>
              <w:t>D.1.4. Compétences en matière de transformation numérique acquises dans l’enseignement et</w:t>
            </w:r>
            <w:r>
              <w:rPr>
                <w:noProof/>
              </w:rPr>
              <w:t xml:space="preserve"> la formation professionnels</w:t>
            </w:r>
          </w:p>
          <w:p w14:paraId="27B9B187" w14:textId="77777777" w:rsidR="00FA40E8" w:rsidRDefault="00E74AE8">
            <w:pPr>
              <w:pStyle w:val="P68B1DB1-Normal12"/>
              <w:spacing w:before="60" w:after="60"/>
              <w:rPr>
                <w:rFonts w:cs="Times New Roman"/>
                <w:noProof/>
              </w:rPr>
            </w:pPr>
            <w:r>
              <w:rPr>
                <w:noProof/>
              </w:rPr>
              <w:t>D.1.4.2: Évaluation des compétences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DC48A2"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DB385B" w14:textId="77777777" w:rsidR="00FA40E8" w:rsidRDefault="00E74AE8">
            <w:pPr>
              <w:pStyle w:val="P68B1DB1-Normal12"/>
              <w:spacing w:before="60" w:after="60"/>
              <w:rPr>
                <w:rFonts w:eastAsia="Times New Roman" w:cs="Times New Roman"/>
                <w:noProof/>
              </w:rPr>
            </w:pPr>
            <w:r>
              <w:rPr>
                <w:noProof/>
              </w:rPr>
              <w:t>Entrée en vigueur de la modification de la loi sur la formation professionnelle relative aux centres d’excellence pour l’enseignement et la formation professionnels</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0DDC2B" w14:textId="77777777" w:rsidR="00FA40E8" w:rsidRDefault="00E74AE8">
            <w:pPr>
              <w:pStyle w:val="P68B1DB1-Normal12"/>
              <w:spacing w:before="60" w:after="60"/>
              <w:rPr>
                <w:rFonts w:eastAsia="Times New Roman" w:cs="Times New Roman"/>
                <w:noProof/>
              </w:rPr>
            </w:pPr>
            <w:r>
              <w:rPr>
                <w:noProof/>
              </w:rPr>
              <w:t>Entrée en vigueur de</w:t>
            </w:r>
            <w:r>
              <w:rPr>
                <w:noProof/>
              </w:rPr>
              <w:t xml:space="preserve"> la législation</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C420AE" w14:textId="4D8ECFF2"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26A2DC" w14:textId="7540AF37"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4277E9" w14:textId="2F1289E4"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FF0302" w14:textId="77777777" w:rsidR="00FA40E8" w:rsidRDefault="00E74AE8">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2323A4" w14:textId="77777777" w:rsidR="00FA40E8" w:rsidRDefault="00E74AE8">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1B2217" w14:textId="6365DE10" w:rsidR="00FA40E8" w:rsidRDefault="00E74AE8">
            <w:pPr>
              <w:pStyle w:val="P68B1DB1-Normal12"/>
              <w:spacing w:before="60" w:after="60"/>
              <w:jc w:val="both"/>
              <w:rPr>
                <w:rFonts w:eastAsia="Times New Roman" w:cs="Times New Roman"/>
                <w:noProof/>
              </w:rPr>
            </w:pPr>
            <w:r>
              <w:rPr>
                <w:noProof/>
              </w:rPr>
              <w:t>Entrée en vigueur des modifications de la loi sur la formation professionnelle qui établissent le pouvoir du ministre de l’éducation, des sciences et des sports de désigner des prestataires de formation professionnelle pour mettr</w:t>
            </w:r>
            <w:r>
              <w:rPr>
                <w:noProof/>
              </w:rPr>
              <w:t>e en œuvre l’évaluation et la reconnaissance des compétences acquises de manière formelle, non formelle ou informelle au niveau 4 du cadre européen des certifications. Les actes juridiques d’exécution fixent les exigences en matière d’accréditation et la p</w:t>
            </w:r>
            <w:r>
              <w:rPr>
                <w:noProof/>
              </w:rPr>
              <w:t xml:space="preserve">rocédure d’accréditation pour ces centres d’évaluation des compétences, ainsi qu’une méthode unifiée d’évaluation des compétences à appliquer par ces centres. </w:t>
            </w:r>
          </w:p>
        </w:tc>
      </w:tr>
      <w:tr w:rsidR="00FA40E8" w14:paraId="511D2F42"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555159" w14:textId="77777777" w:rsidR="00FA40E8" w:rsidRDefault="00E74AE8">
            <w:pPr>
              <w:pStyle w:val="P68B1DB1-Normal12"/>
              <w:spacing w:before="60" w:after="60"/>
              <w:jc w:val="center"/>
              <w:rPr>
                <w:rFonts w:cs="Times New Roman"/>
                <w:noProof/>
              </w:rPr>
            </w:pPr>
            <w:r>
              <w:rPr>
                <w:noProof/>
              </w:rPr>
              <w:t>116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1EB35A" w14:textId="2F8EF34D" w:rsidR="00FA40E8" w:rsidRDefault="00E74AE8">
            <w:pPr>
              <w:pStyle w:val="P68B1DB1-Normal12"/>
              <w:spacing w:before="60" w:after="60"/>
              <w:rPr>
                <w:rFonts w:eastAsia="Times New Roman" w:cs="Times New Roman"/>
                <w:noProof/>
              </w:rPr>
            </w:pPr>
            <w:r>
              <w:rPr>
                <w:noProof/>
              </w:rPr>
              <w:t xml:space="preserve">D.1.4. Compétences en </w:t>
            </w:r>
            <w:r>
              <w:rPr>
                <w:noProof/>
              </w:rPr>
              <w:t xml:space="preserve">matière de transformation numérique acquises dans l’enseignement et la formation professionnels </w:t>
            </w:r>
          </w:p>
          <w:p w14:paraId="2425E00F" w14:textId="1A18A1D3" w:rsidR="00FA40E8" w:rsidRDefault="00E74AE8">
            <w:pPr>
              <w:pStyle w:val="P68B1DB1-Normal12"/>
              <w:spacing w:before="60" w:after="60"/>
              <w:rPr>
                <w:rFonts w:cs="Times New Roman"/>
                <w:noProof/>
              </w:rPr>
            </w:pPr>
            <w:r>
              <w:rPr>
                <w:noProof/>
              </w:rPr>
              <w:t>D.1.4.3: Apprentissage et formations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11698D"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0B38B7" w14:textId="77777777" w:rsidR="00FA40E8" w:rsidRDefault="00E74AE8">
            <w:pPr>
              <w:pStyle w:val="P68B1DB1-Normal12"/>
              <w:spacing w:before="60" w:after="60"/>
              <w:rPr>
                <w:rFonts w:eastAsia="Times New Roman" w:cs="Times New Roman"/>
                <w:noProof/>
              </w:rPr>
            </w:pPr>
            <w:r>
              <w:rPr>
                <w:noProof/>
              </w:rPr>
              <w:t>Entrée en vigueur de la législation établissant un programme de soutien à l’apprentissage et à la formation par le t</w:t>
            </w:r>
            <w:r>
              <w:rPr>
                <w:noProof/>
              </w:rPr>
              <w:t>ravail</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8B8CF1" w14:textId="77777777" w:rsidR="00FA40E8" w:rsidRDefault="00E74AE8">
            <w:pPr>
              <w:pStyle w:val="P68B1DB1-Normal12"/>
              <w:spacing w:before="60" w:after="60"/>
              <w:rPr>
                <w:rFonts w:eastAsia="Times New Roman" w:cs="Times New Roman"/>
                <w:noProof/>
              </w:rPr>
            </w:pPr>
            <w:r>
              <w:rPr>
                <w:noProof/>
              </w:rPr>
              <w:t xml:space="preserve">Entrée en vigueur de la législation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AA9F78" w14:textId="52FD0CB2" w:rsidR="00FA40E8" w:rsidRDefault="00FA40E8">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46EA0" w14:textId="4D6912A4" w:rsidR="00FA40E8" w:rsidRDefault="00FA40E8">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04BFA8" w14:textId="2DDB3410" w:rsidR="00FA40E8" w:rsidRDefault="00FA40E8">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396E2D"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44AA49" w14:textId="77777777" w:rsidR="00FA40E8" w:rsidRDefault="00E74AE8">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96BD90" w14:textId="243D8DB5" w:rsidR="00FA40E8" w:rsidRDefault="00E74AE8">
            <w:pPr>
              <w:pStyle w:val="P68B1DB1-Normal12"/>
              <w:spacing w:before="60" w:after="60"/>
              <w:jc w:val="both"/>
              <w:rPr>
                <w:rFonts w:cs="Times New Roman"/>
                <w:noProof/>
              </w:rPr>
            </w:pPr>
            <w:r>
              <w:rPr>
                <w:noProof/>
              </w:rPr>
              <w:t>Préparation, coordination et approbation des projets de décrets du ministre de l’éducation, des sciences et des sports fixant la procédure de mise en œuvre du régime d’aide à l’apprentissage.</w:t>
            </w:r>
          </w:p>
          <w:p w14:paraId="3CF2FE93" w14:textId="77777777" w:rsidR="00FA40E8" w:rsidRDefault="00E74AE8">
            <w:pPr>
              <w:pStyle w:val="P68B1DB1-Normal12"/>
              <w:spacing w:before="60" w:after="60"/>
              <w:jc w:val="both"/>
              <w:rPr>
                <w:rFonts w:eastAsia="Times New Roman" w:cs="Times New Roman"/>
                <w:noProof/>
              </w:rPr>
            </w:pPr>
            <w:r>
              <w:rPr>
                <w:noProof/>
              </w:rPr>
              <w:t>La législ</w:t>
            </w:r>
            <w:r>
              <w:rPr>
                <w:noProof/>
              </w:rPr>
              <w:t>ation fixe, en particulier, les critères, les groupes cibles, les domaines prioritaires, les formes de soutien fournies, les coûts éligibles pour l’apprentissage et la formation par le travail.</w:t>
            </w:r>
          </w:p>
        </w:tc>
      </w:tr>
      <w:tr w:rsidR="00FA40E8" w14:paraId="3F1A1FE6" w14:textId="77777777">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7AAD95B" w14:textId="5DD7E08D" w:rsidR="00FA40E8" w:rsidRDefault="00E74AE8">
            <w:pPr>
              <w:pStyle w:val="P68B1DB1-Normal12"/>
              <w:spacing w:before="60" w:after="60"/>
              <w:jc w:val="center"/>
              <w:rPr>
                <w:rFonts w:cs="Times New Roman"/>
                <w:noProof/>
              </w:rPr>
            </w:pPr>
            <w:r>
              <w:rPr>
                <w:noProof/>
              </w:rPr>
              <w:t>117</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6164DB" w14:textId="3E04CEC1" w:rsidR="00FA40E8" w:rsidRDefault="00E74AE8">
            <w:pPr>
              <w:pStyle w:val="P68B1DB1-Normal12"/>
              <w:spacing w:before="60" w:after="60"/>
              <w:rPr>
                <w:rFonts w:cs="Times New Roman"/>
                <w:noProof/>
              </w:rPr>
            </w:pPr>
            <w:r>
              <w:rPr>
                <w:noProof/>
              </w:rPr>
              <w:t>D.1.4. Compétences en matière de transformation numérique</w:t>
            </w:r>
            <w:r>
              <w:rPr>
                <w:noProof/>
              </w:rPr>
              <w:t xml:space="preserve"> acquises dans l’enseignement et la formation professionnels</w:t>
            </w:r>
          </w:p>
          <w:p w14:paraId="5366F582" w14:textId="01CC7E3C" w:rsidR="00FA40E8" w:rsidRDefault="00E74AE8">
            <w:pPr>
              <w:pStyle w:val="P68B1DB1-Normal12"/>
              <w:spacing w:before="60" w:after="60"/>
              <w:rPr>
                <w:rFonts w:cs="Times New Roman"/>
                <w:noProof/>
              </w:rPr>
            </w:pPr>
            <w:r>
              <w:rPr>
                <w:noProof/>
              </w:rPr>
              <w:t xml:space="preserve">D.1.4.3: Apprentissage et formations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FE54ECD" w14:textId="77777777" w:rsidR="00FA40E8" w:rsidRDefault="00E74AE8">
            <w:pPr>
              <w:pStyle w:val="P68B1DB1-Normal12"/>
              <w:spacing w:before="60" w:after="60"/>
              <w:jc w:val="center"/>
              <w:rPr>
                <w:rFonts w:cs="Times New Roman"/>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B0CC865" w14:textId="0F5AA407" w:rsidR="00FA40E8" w:rsidRDefault="00E74AE8">
            <w:pPr>
              <w:pStyle w:val="P68B1DB1-Normal12"/>
              <w:spacing w:before="60" w:after="60"/>
              <w:rPr>
                <w:rFonts w:cs="Times New Roman"/>
                <w:noProof/>
              </w:rPr>
            </w:pPr>
            <w:r>
              <w:rPr>
                <w:noProof/>
              </w:rPr>
              <w:t>Nombre de certificats de formation délivrés</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708DD5" w14:textId="18AA6D01" w:rsidR="00FA40E8" w:rsidRDefault="00FA40E8">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DCE43" w14:textId="4DFA2E69" w:rsidR="00FA40E8" w:rsidRDefault="00E74AE8">
            <w:pPr>
              <w:pStyle w:val="P68B1DB1-Normal12"/>
              <w:spacing w:before="60" w:after="60"/>
              <w:jc w:val="center"/>
              <w:rPr>
                <w:rFonts w:cs="Times New Roman"/>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FDECEC8" w14:textId="4B34F7F6" w:rsidR="00FA40E8" w:rsidRDefault="00E74AE8">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AFC4F9" w14:textId="5C8D70C0" w:rsidR="00FA40E8" w:rsidRDefault="00E74AE8">
            <w:pPr>
              <w:pStyle w:val="P68B1DB1-Normal12"/>
              <w:spacing w:before="60" w:after="60"/>
              <w:jc w:val="center"/>
              <w:rPr>
                <w:rFonts w:cs="Times New Roman"/>
                <w:noProof/>
              </w:rPr>
            </w:pPr>
            <w:r>
              <w:rPr>
                <w:noProof/>
              </w:rPr>
              <w:t>14 375</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2430AA"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6BCA0B" w14:textId="77777777" w:rsidR="00FA40E8" w:rsidRDefault="00E74AE8">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32E222" w14:textId="4E3C3981" w:rsidR="00FA40E8" w:rsidRDefault="00E74AE8">
            <w:pPr>
              <w:pStyle w:val="P68B1DB1-Normal12"/>
              <w:spacing w:before="60" w:after="60"/>
              <w:jc w:val="both"/>
              <w:rPr>
                <w:rFonts w:eastAsia="Times New Roman" w:cs="Times New Roman"/>
                <w:noProof/>
              </w:rPr>
            </w:pPr>
            <w:r>
              <w:rPr>
                <w:noProof/>
              </w:rPr>
              <w:t>Au moins 14 375 certificats de formation, dont au moins 3 609 certificats d’app</w:t>
            </w:r>
            <w:r>
              <w:rPr>
                <w:noProof/>
              </w:rPr>
              <w:t>rentissage doivent être délivrés. 40 % des certificats indiquent que les compétences numériques individuelles ont été renforcées.</w:t>
            </w:r>
          </w:p>
        </w:tc>
      </w:tr>
      <w:tr w:rsidR="00FA40E8" w14:paraId="13150277" w14:textId="77777777">
        <w:trPr>
          <w:trHeight w:val="300"/>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1F5CE0" w14:textId="392483E4" w:rsidR="00FA40E8" w:rsidRDefault="00E74AE8">
            <w:pPr>
              <w:pStyle w:val="P68B1DB1-Normal12"/>
              <w:spacing w:before="60" w:after="60"/>
              <w:jc w:val="center"/>
              <w:rPr>
                <w:rFonts w:cs="Times New Roman"/>
                <w:noProof/>
              </w:rPr>
            </w:pPr>
            <w:r>
              <w:rPr>
                <w:noProof/>
              </w:rPr>
              <w:t>119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F3ADDF4" w14:textId="2CAB560E" w:rsidR="00FA40E8" w:rsidRDefault="00E74AE8">
            <w:pPr>
              <w:pStyle w:val="P68B1DB1-Normal12"/>
              <w:spacing w:before="60" w:after="60"/>
              <w:rPr>
                <w:rFonts w:cs="Times New Roman"/>
                <w:noProof/>
              </w:rPr>
            </w:pPr>
            <w:r>
              <w:rPr>
                <w:noProof/>
              </w:rPr>
              <w:t xml:space="preserve">D.1.4. Compétences en matière de transformation numérique acquises dans l’enseignement et la formation professionnels </w:t>
            </w:r>
          </w:p>
          <w:p w14:paraId="15B55C38" w14:textId="48E49CF1" w:rsidR="00FA40E8" w:rsidRDefault="00E74AE8">
            <w:pPr>
              <w:pStyle w:val="P68B1DB1-Text127"/>
              <w:spacing w:before="60" w:after="60" w:line="276" w:lineRule="auto"/>
              <w:ind w:left="0"/>
              <w:jc w:val="left"/>
              <w:rPr>
                <w:noProof/>
              </w:rPr>
            </w:pPr>
            <w:r>
              <w:rPr>
                <w:noProof/>
              </w:rPr>
              <w:t>D.1.4.5. Davantage de possibilités d’étudier dans des modules d’EFP pour les élèves de l’enseignement général</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99F99EC" w14:textId="2D48B216" w:rsidR="00FA40E8" w:rsidRDefault="00E74AE8">
            <w:pPr>
              <w:pStyle w:val="P68B1DB1-Normal12"/>
              <w:spacing w:before="60" w:after="60"/>
              <w:jc w:val="center"/>
              <w:rPr>
                <w:rFonts w:cs="Times New Roman"/>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E0DAD0" w14:textId="1A12D45C" w:rsidR="00FA40E8" w:rsidRDefault="00E74AE8">
            <w:pPr>
              <w:pStyle w:val="P68B1DB1-Normal12"/>
              <w:spacing w:before="60" w:after="60"/>
              <w:rPr>
                <w:rFonts w:eastAsia="Times New Roman" w:cs="Times New Roman"/>
                <w:noProof/>
              </w:rPr>
            </w:pPr>
            <w:r>
              <w:rPr>
                <w:noProof/>
              </w:rPr>
              <w:t>Élèves inscrits pour étudier dans des modules d’EFP ou des programmes de formation professionnelle à partir de</w:t>
            </w:r>
            <w:r>
              <w:rPr>
                <w:noProof/>
                <w:vertAlign w:val="superscript"/>
              </w:rPr>
              <w:t xml:space="preserve"> la 9e</w:t>
            </w:r>
            <w:r>
              <w:rPr>
                <w:noProof/>
              </w:rPr>
              <w:t xml:space="preserve"> année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F371C81" w14:textId="58154DAA" w:rsidR="00FA40E8" w:rsidRDefault="00FA40E8">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04D4A84" w14:textId="77777777" w:rsidR="00FA40E8" w:rsidRDefault="00E74AE8">
            <w:pPr>
              <w:pStyle w:val="P68B1DB1-Normal12"/>
              <w:spacing w:before="60" w:after="60"/>
              <w:jc w:val="center"/>
              <w:rPr>
                <w:rFonts w:cs="Times New Roman"/>
                <w:noProof/>
              </w:rPr>
            </w:pPr>
            <w:r>
              <w:rPr>
                <w:noProof/>
              </w:rPr>
              <w:t>Nombre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3098FF" w14:textId="77777777" w:rsidR="00FA40E8" w:rsidRDefault="00E74AE8">
            <w:pPr>
              <w:pStyle w:val="P68B1DB1-Normal12"/>
              <w:spacing w:before="60" w:after="60"/>
              <w:jc w:val="center"/>
              <w:rPr>
                <w:rFonts w:cs="Times New Roman"/>
                <w:noProof/>
              </w:rPr>
            </w:pPr>
            <w:r>
              <w:rPr>
                <w:noProof/>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36A4FD2" w14:textId="7776D816" w:rsidR="00FA40E8" w:rsidRDefault="00E74AE8">
            <w:pPr>
              <w:pStyle w:val="P68B1DB1-Normal12"/>
              <w:spacing w:before="60" w:after="60"/>
              <w:jc w:val="center"/>
              <w:rPr>
                <w:rFonts w:cs="Times New Roman"/>
                <w:noProof/>
              </w:rPr>
            </w:pPr>
            <w:r>
              <w:rPr>
                <w:noProof/>
              </w:rPr>
              <w:t>7 25</w:t>
            </w: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84F552" w14:textId="77777777" w:rsidR="00FA40E8" w:rsidRDefault="00E74AE8">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7C40FF3" w14:textId="77777777" w:rsidR="00FA40E8" w:rsidRDefault="00E74AE8">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A0C55BF" w14:textId="254CB61C" w:rsidR="00FA40E8" w:rsidRDefault="00E74AE8">
            <w:pPr>
              <w:pStyle w:val="P68B1DB1-Normal12"/>
              <w:spacing w:before="60" w:after="60"/>
              <w:jc w:val="both"/>
              <w:rPr>
                <w:rFonts w:cs="Times New Roman"/>
                <w:noProof/>
              </w:rPr>
            </w:pPr>
            <w:r>
              <w:rPr>
                <w:noProof/>
              </w:rPr>
              <w:t>Au moins 4 900 élèves de l’enseignement général à partir de la 9e année inscrits dans des modules d’EFP.</w:t>
            </w:r>
          </w:p>
          <w:p w14:paraId="47A4A9DB" w14:textId="0AF31C3A" w:rsidR="00FA40E8" w:rsidRDefault="00E74AE8">
            <w:pPr>
              <w:pStyle w:val="P68B1DB1-Normal12"/>
              <w:spacing w:before="60" w:after="60"/>
              <w:jc w:val="both"/>
              <w:rPr>
                <w:rFonts w:eastAsia="Segoe UI" w:cs="Times New Roman"/>
                <w:noProof/>
                <w:color w:val="333333"/>
              </w:rPr>
            </w:pPr>
            <w:r>
              <w:rPr>
                <w:noProof/>
              </w:rPr>
              <w:t>En outre, au moins 2 350 élèves se sont inscrits à des programmes de formation professionnelle à partir de la 9e année.</w:t>
            </w:r>
          </w:p>
        </w:tc>
      </w:tr>
    </w:tbl>
    <w:p w14:paraId="2A078396" w14:textId="77777777" w:rsidR="00FA40E8" w:rsidRDefault="00FA40E8">
      <w:pPr>
        <w:jc w:val="both"/>
        <w:rPr>
          <w:rFonts w:ascii="Times New Roman" w:eastAsia="Calibri" w:hAnsi="Times New Roman" w:cs="Times New Roman"/>
          <w:noProof/>
        </w:rPr>
        <w:sectPr w:rsidR="00FA40E8" w:rsidSect="0074650A">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7D4FD287" w14:textId="77777777" w:rsidR="00FA40E8" w:rsidRDefault="00E74AE8">
      <w:pPr>
        <w:pStyle w:val="ManualHeading1"/>
        <w:tabs>
          <w:tab w:val="clear" w:pos="850"/>
        </w:tabs>
        <w:spacing w:before="0" w:after="200"/>
        <w:ind w:left="0" w:firstLine="0"/>
        <w:rPr>
          <w:noProof/>
        </w:rPr>
      </w:pPr>
      <w:r>
        <w:rPr>
          <w:noProof/>
        </w:rPr>
        <w:t>E. COMPOSANTE 5: L’enseignement supérieur, un cadre cohérent pour stimuler la recherche et l’innovation et les entreprises à haute valeur ajoutée</w:t>
      </w:r>
    </w:p>
    <w:p w14:paraId="7A4C785B" w14:textId="77777777" w:rsidR="00FA40E8" w:rsidRDefault="00E74AE8">
      <w:pPr>
        <w:pStyle w:val="P68B1DB1-Normal4"/>
        <w:jc w:val="both"/>
        <w:rPr>
          <w:rFonts w:eastAsia="Times New Roman" w:cs="Times New Roman"/>
          <w:noProof/>
        </w:rPr>
      </w:pPr>
      <w:r>
        <w:rPr>
          <w:noProof/>
        </w:rPr>
        <w:t>Le volet du plan lituanien pour la reprise et la rés</w:t>
      </w:r>
      <w:r>
        <w:rPr>
          <w:noProof/>
        </w:rPr>
        <w:t>ilience répond aux principaux défis du système d’enseignement supérieur et du cadre de soutien à la recherche et à l’innovation. Les principaux défis liés à l’enseignement supérieur sont l’existence d’un grand nombre d’établissements qui ne reflètent pas l</w:t>
      </w:r>
      <w:r>
        <w:rPr>
          <w:noProof/>
        </w:rPr>
        <w:t xml:space="preserve">’évolution démographique et les besoins du marché du travail, le manque de ressources et une masse critique pour fournir une éducation et une R &amp; D de bonne qualité. Le système actuel de financement de l’enseignement supérieur encourage les établissements </w:t>
      </w:r>
      <w:r>
        <w:rPr>
          <w:noProof/>
        </w:rPr>
        <w:t>d’enseignement supérieur à se concentrer sur un nombre plus élevé d’étudiants au lieu de garantir la qualité et l’adéquation des études au marché du travail. En outre, les possibilités de carrière universitaire sont peu attrayantes, ce qui limite les resso</w:t>
      </w:r>
      <w:r>
        <w:rPr>
          <w:noProof/>
        </w:rPr>
        <w:t xml:space="preserve">urces humaines consacrées à l’éducation, à la recherche et à l’innovation. Les principaux défis liés à l’innovation sont la faiblesse des investissements privés en R &amp; D, la fragmentation du potentiel de R &amp; D et de la gouvernance du système d’innovation, </w:t>
      </w:r>
      <w:r>
        <w:rPr>
          <w:noProof/>
        </w:rPr>
        <w:t xml:space="preserve">ainsi que la faiblesse de la coopération entre la science et les entreprises. </w:t>
      </w:r>
    </w:p>
    <w:p w14:paraId="62B229E0" w14:textId="77777777" w:rsidR="00FA40E8" w:rsidRDefault="00E74AE8">
      <w:pPr>
        <w:pStyle w:val="P68B1DB1-Normal4"/>
        <w:jc w:val="both"/>
        <w:rPr>
          <w:rFonts w:eastAsia="Times New Roman" w:cs="Times New Roman"/>
          <w:noProof/>
        </w:rPr>
      </w:pPr>
      <w:r>
        <w:rPr>
          <w:noProof/>
        </w:rPr>
        <w:t>Les objectifs de ce volet sont de réformer le système de financement de l’enseignement supérieur et le système d’admission des étudiants, ce qui inciterait les établissements d’</w:t>
      </w:r>
      <w:r>
        <w:rPr>
          <w:noProof/>
        </w:rPr>
        <w:t>enseignement supérieur à améliorer la qualité et l’adéquation des études au marché du travail, à promouvoir une R &amp; D de qualité, la coopération et la consolidation dans le secteur. La réforme devrait renforcer les normes qualitatives applicables aux établ</w:t>
      </w:r>
      <w:r>
        <w:rPr>
          <w:noProof/>
        </w:rPr>
        <w:t>issements d’enseignement supérieur et aux universités. Ce volet comprend également une réforme de la gouvernance du soutien à l’innovation et de son cadre, en vertu duquel les fonctions de soutien à l’innovation actuellement fragmentées sont consolidées au</w:t>
      </w:r>
      <w:r>
        <w:rPr>
          <w:noProof/>
        </w:rPr>
        <w:t xml:space="preserve"> sein d’une seule agence de l’innovation. La réforme porte également sur la révision du système existant de soutien à l’innovation et à la coopération entre la science et les entreprises en vue de le rendre plus cohérent. Au cours de la mise en œuvre du pl</w:t>
      </w:r>
      <w:r>
        <w:rPr>
          <w:noProof/>
        </w:rPr>
        <w:t xml:space="preserve">an, un appui sectoriel à la conception, à la mise en œuvre et à l’évaluation des réformes des politiques de recherche et d’innovation est disponible par l’intermédiaire du mécanisme de soutien aux politiques d’Horizon. </w:t>
      </w:r>
    </w:p>
    <w:p w14:paraId="67FD6917" w14:textId="77777777" w:rsidR="00FA40E8" w:rsidRDefault="00E74AE8">
      <w:pPr>
        <w:pStyle w:val="P68B1DB1-Normal4"/>
        <w:jc w:val="both"/>
        <w:rPr>
          <w:rFonts w:eastAsia="Times New Roman" w:cs="Times New Roman"/>
          <w:noProof/>
        </w:rPr>
      </w:pPr>
      <w:r>
        <w:rPr>
          <w:noProof/>
        </w:rPr>
        <w:t xml:space="preserve">Ce volet répond aux recommandations </w:t>
      </w:r>
      <w:r>
        <w:rPr>
          <w:noProof/>
        </w:rPr>
        <w:t xml:space="preserve">par pays visant à axer la politique économique liée aux investissements sur l’innovation, à élaborer un cadre d’action cohérent pour soutenir la coopération entre la science et les entreprises et consolider les organismes chargés de la mise en œuvre de la </w:t>
      </w:r>
      <w:r>
        <w:rPr>
          <w:noProof/>
        </w:rPr>
        <w:t>recherche et de l’innovation (recommandation par pays no 3 201 de 9), à promouvoir l’innovation technologique dans les petites et moyennes entreprises (recommandation par pays no 3 202 de 0) et à améliorer la qualité et l’efficacité à tous les niveaux de l</w:t>
      </w:r>
      <w:r>
        <w:rPr>
          <w:noProof/>
        </w:rPr>
        <w:t xml:space="preserve">’éducation et de la formation, y compris l’éducation et la formation des adultes (recommandation par pays no 2 201 de 9). </w:t>
      </w:r>
    </w:p>
    <w:p w14:paraId="7FB574B6" w14:textId="77777777" w:rsidR="00FA40E8" w:rsidRDefault="00E74AE8">
      <w:pPr>
        <w:pStyle w:val="P68B1DB1-Normal4"/>
        <w:jc w:val="both"/>
        <w:rPr>
          <w:rFonts w:eastAsia="Times New Roman" w:cs="Times New Roman"/>
          <w:noProof/>
        </w:rPr>
      </w:pPr>
      <w:r>
        <w:rPr>
          <w:noProof/>
        </w:rPr>
        <w:t>Aucune mesure relevant de ce volet ne devrait causer de préjudice important aux objectifs environnementaux au sens de l’article 17 du</w:t>
      </w:r>
      <w:r>
        <w:rPr>
          <w:noProof/>
        </w:rPr>
        <w:t xml:space="preserve"> règlement (UE) 2020/852, compte tenu de la description des mesures et des mesures d’atténuation prévues dans le plan pour la reprise et la résilience conformément aux orientations techniques DNSH (2021/C58/01).</w:t>
      </w:r>
    </w:p>
    <w:p w14:paraId="6F4B76C1" w14:textId="5FBBBF5C" w:rsidR="00FA40E8" w:rsidRDefault="00E74AE8">
      <w:pPr>
        <w:pStyle w:val="P68B1DB1-Text15"/>
        <w:keepNext/>
        <w:keepLines/>
        <w:spacing w:before="0" w:after="200" w:line="276" w:lineRule="auto"/>
        <w:ind w:left="0"/>
        <w:outlineLvl w:val="1"/>
        <w:rPr>
          <w:noProof/>
        </w:rPr>
      </w:pPr>
      <w:r>
        <w:rPr>
          <w:noProof/>
        </w:rPr>
        <w:t>E.1. Description des réformes et des investi</w:t>
      </w:r>
      <w:r>
        <w:rPr>
          <w:noProof/>
        </w:rPr>
        <w:t>ssements en vue d’un soutien financier non remboursable</w:t>
      </w:r>
    </w:p>
    <w:p w14:paraId="3D17C811" w14:textId="77777777" w:rsidR="00FA40E8" w:rsidRDefault="00E74AE8">
      <w:pPr>
        <w:pStyle w:val="P68B1DB1-Text126"/>
        <w:keepNext/>
        <w:keepLines/>
        <w:spacing w:before="0" w:after="200" w:line="276" w:lineRule="auto"/>
        <w:ind w:left="0"/>
        <w:rPr>
          <w:noProof/>
        </w:rPr>
      </w:pPr>
      <w:r>
        <w:rPr>
          <w:noProof/>
        </w:rPr>
        <w:t>E.1.1. Réforme 1 «Un enseignement supérieur de qualité et des établissements d’enseignement supérieur solides»</w:t>
      </w:r>
    </w:p>
    <w:p w14:paraId="54631B0D" w14:textId="25F85D2E" w:rsidR="00FA40E8" w:rsidRDefault="00E74AE8">
      <w:pPr>
        <w:pStyle w:val="Text1"/>
        <w:spacing w:before="0" w:after="200" w:line="276" w:lineRule="auto"/>
        <w:ind w:left="0"/>
        <w:rPr>
          <w:noProof/>
        </w:rPr>
      </w:pPr>
      <w:r>
        <w:rPr>
          <w:noProof/>
        </w:rPr>
        <w:t>L’objectif de la réforme est d’accroître la qualité, l’efficacité et la compétitivité int</w:t>
      </w:r>
      <w:r>
        <w:rPr>
          <w:noProof/>
        </w:rPr>
        <w:t>ernationale du système lituanien d’enseignement supérieur et de science. Cette mesure se compose de 4 sous-mesures: (1) améliorer le financement de l’enseignement supérieur et les systèmes d’admission des étudiants (sous-mesure 1); (2) un réseau d’enseigne</w:t>
      </w:r>
      <w:r>
        <w:rPr>
          <w:noProof/>
        </w:rPr>
        <w:t>ment supérieur efficace en affinant les missions des universités et des établissements d’enseignement supérieur (sous-mesure 2); (3) renforcer la compétitivité internationale des établissements d’enseignement supérieur (sous-mesure 3); (4) promotion systém</w:t>
      </w:r>
      <w:r>
        <w:rPr>
          <w:noProof/>
        </w:rPr>
        <w:t>atique de la R &amp; D dans les établissements d’enseignement supérieur et analyse de la recherche (sous-mesure 4).</w:t>
      </w:r>
    </w:p>
    <w:p w14:paraId="7911AA9E" w14:textId="77777777" w:rsidR="00FA40E8" w:rsidRDefault="00E74AE8">
      <w:pPr>
        <w:pStyle w:val="P68B1DB1-Text126"/>
        <w:keepNext/>
        <w:keepLines/>
        <w:spacing w:before="0" w:after="200" w:line="276" w:lineRule="auto"/>
        <w:ind w:left="0"/>
        <w:rPr>
          <w:noProof/>
        </w:rPr>
      </w:pPr>
      <w:r>
        <w:rPr>
          <w:noProof/>
        </w:rPr>
        <w:t>E.1.1.1. Sous-mesure 1: Améliorer le financement de l’enseignement supérieur et les systèmes d’admission des étudiants</w:t>
      </w:r>
    </w:p>
    <w:p w14:paraId="4BC30065" w14:textId="5B157DEB" w:rsidR="00FA40E8" w:rsidRDefault="00E74AE8">
      <w:pPr>
        <w:pStyle w:val="Text1"/>
        <w:spacing w:before="0" w:after="200" w:line="276" w:lineRule="auto"/>
        <w:ind w:left="0"/>
        <w:rPr>
          <w:noProof/>
        </w:rPr>
      </w:pPr>
      <w:r>
        <w:rPr>
          <w:noProof/>
        </w:rPr>
        <w:t>L’objectif de la sous-mes</w:t>
      </w:r>
      <w:r>
        <w:rPr>
          <w:noProof/>
        </w:rPr>
        <w:t xml:space="preserve">ure est de réviser le système d’admission des étudiants afin de garantir que tous les étudiants qui suivent des études supérieures financées ou non par l’État répondent à des critères tout aussi élevés. La sous-mesure vise également à améliorer le système </w:t>
      </w:r>
      <w:r>
        <w:rPr>
          <w:noProof/>
        </w:rPr>
        <w:t>de financement de l’enseignement supérieur et à l’aligner sur les objectifs stratégiques du pays. La loi sur les sciences et les études sera donc modifiée afin d’harmoniser à la hausse les exigences minimales pour l’admission des étudiants. La loi est égal</w:t>
      </w:r>
      <w:r>
        <w:rPr>
          <w:noProof/>
        </w:rPr>
        <w:t>ement modifiée afin d’introduire un nouveau système de financement de l’enseignement supérieur fondé sur des indicateurs qualitatifs et des accords entre les établissements d’enseignement supérieur et l’État. Un modèle de contrat est créé pour la mise en œ</w:t>
      </w:r>
      <w:r>
        <w:rPr>
          <w:noProof/>
        </w:rPr>
        <w:t>uvre des mesures stratégiques de progrès: pour le développement des institutions, pour la fusion des institutions, pour l’amélioration de la qualité des activités, pour les investissements dans les infrastructures et pour la mise en œuvre d’autres objectif</w:t>
      </w:r>
      <w:r>
        <w:rPr>
          <w:noProof/>
        </w:rPr>
        <w:t xml:space="preserve">s définis. La sous-mesure est achevée au plus tard le 31 mars 2023. </w:t>
      </w:r>
    </w:p>
    <w:p w14:paraId="5A3A2509" w14:textId="208018BB" w:rsidR="00FA40E8" w:rsidRDefault="00E74AE8">
      <w:pPr>
        <w:pStyle w:val="P68B1DB1-Text126"/>
        <w:keepNext/>
        <w:keepLines/>
        <w:spacing w:after="200" w:line="276" w:lineRule="auto"/>
        <w:ind w:left="0"/>
        <w:rPr>
          <w:noProof/>
        </w:rPr>
      </w:pPr>
      <w:r>
        <w:rPr>
          <w:noProof/>
        </w:rPr>
        <w:t>E.1.1.2. Sous-mesure 2: Un réseau d’enseignement supérieur efficace en affinant les missions des universités et des établissements d’enseignement supérieur</w:t>
      </w:r>
    </w:p>
    <w:p w14:paraId="2A5D84E3" w14:textId="3FC72F0C" w:rsidR="00FA40E8" w:rsidRDefault="00E74AE8">
      <w:pPr>
        <w:pStyle w:val="Text1"/>
        <w:spacing w:before="0" w:after="200" w:line="276" w:lineRule="auto"/>
        <w:ind w:left="0"/>
        <w:rPr>
          <w:noProof/>
        </w:rPr>
      </w:pPr>
      <w:r>
        <w:rPr>
          <w:noProof/>
        </w:rPr>
        <w:t>L’objectif de cette sous-mesure</w:t>
      </w:r>
      <w:r>
        <w:rPr>
          <w:noProof/>
        </w:rPr>
        <w:t xml:space="preserve"> est de définir les missions des universités et des établissements d’enseignement supérieur. La sous-mesure consiste à modifier la législation sur les collèges et les universités et à réorganiser le réseau des collèges par des fusions. </w:t>
      </w:r>
    </w:p>
    <w:p w14:paraId="69DAC251" w14:textId="77777777" w:rsidR="00FA40E8" w:rsidRDefault="00E74AE8">
      <w:pPr>
        <w:pStyle w:val="P68B1DB1-Text126"/>
        <w:keepNext/>
        <w:keepLines/>
        <w:spacing w:before="0" w:after="200" w:line="276" w:lineRule="auto"/>
        <w:ind w:left="0"/>
        <w:rPr>
          <w:noProof/>
        </w:rPr>
      </w:pPr>
      <w:r>
        <w:rPr>
          <w:noProof/>
        </w:rPr>
        <w:t>E.1.1.3. Sous-mesur</w:t>
      </w:r>
      <w:r>
        <w:rPr>
          <w:noProof/>
        </w:rPr>
        <w:t>e 3: Renforcer la compétitivité internationale des établissements d’enseignement supérieur</w:t>
      </w:r>
    </w:p>
    <w:p w14:paraId="085D91B8" w14:textId="388B8042" w:rsidR="00FA40E8" w:rsidRDefault="00E74AE8">
      <w:pPr>
        <w:pStyle w:val="Text1"/>
        <w:spacing w:before="0" w:after="200" w:line="276" w:lineRule="auto"/>
        <w:ind w:left="0"/>
        <w:rPr>
          <w:noProof/>
        </w:rPr>
      </w:pPr>
      <w:r>
        <w:rPr>
          <w:noProof/>
        </w:rPr>
        <w:t xml:space="preserve">L’objectif de cette sous-mesure est de renforcer la compétitivité internationale des établissements d’enseignement supérieur. À cette fin, cinq projets </w:t>
      </w:r>
      <w:r>
        <w:rPr>
          <w:noProof/>
        </w:rPr>
        <w:t>d’internationalisation, couvrant l’attraction d’étudiants, de professeurs et de scientifiques étrangers, le développement de la conception et de la mise en œuvre de programmes de diplômes communs et doubles; le développement de la fourniture de services vi</w:t>
      </w:r>
      <w:r>
        <w:rPr>
          <w:noProof/>
        </w:rPr>
        <w:t>rtuels et d’autres activités favorisant l’intégration des universités lituaniennes dans les réseaux européens d’universités sera mis en œuvre par les établissements d’enseignement supérieur. En outre, 250 étudiants étrangers venant étudier en Lituanie rece</w:t>
      </w:r>
      <w:r>
        <w:rPr>
          <w:noProof/>
        </w:rPr>
        <w:t>vront des bourses pour leur intégration en Lituanie au plus tard le 31 décembre 2024.</w:t>
      </w:r>
    </w:p>
    <w:p w14:paraId="08ABEFBA" w14:textId="77777777" w:rsidR="00FA40E8" w:rsidRDefault="00E74AE8">
      <w:pPr>
        <w:pStyle w:val="P68B1DB1-Text126"/>
        <w:keepNext/>
        <w:keepLines/>
        <w:spacing w:before="0" w:after="200" w:line="276" w:lineRule="auto"/>
        <w:ind w:left="0"/>
        <w:rPr>
          <w:noProof/>
        </w:rPr>
      </w:pPr>
      <w:r>
        <w:rPr>
          <w:noProof/>
        </w:rPr>
        <w:t>E.1.1.4. Sous-mesure 4: Promotion systématique de la R &amp; D dans les établissements d’enseignement supérieur et analyse de la recherche</w:t>
      </w:r>
    </w:p>
    <w:p w14:paraId="471868AB" w14:textId="33D4E34D" w:rsidR="00FA40E8" w:rsidRDefault="00E74AE8">
      <w:pPr>
        <w:pStyle w:val="Text1"/>
        <w:spacing w:before="0" w:after="200" w:line="276" w:lineRule="auto"/>
        <w:ind w:left="0"/>
        <w:rPr>
          <w:noProof/>
        </w:rPr>
      </w:pPr>
      <w:r>
        <w:rPr>
          <w:noProof/>
        </w:rPr>
        <w:t>L’objectif de cette sous-mesure est</w:t>
      </w:r>
      <w:r>
        <w:rPr>
          <w:noProof/>
        </w:rPr>
        <w:t xml:space="preserve"> de créer un mécanisme cohérent de mise en œuvre de la politique scientifique en créant l’agence chargée de la mise en œuvre de la politique scientifique. La loi sur les sciences et les études est modifiée et les infrastructures pertinentes sont établies a</w:t>
      </w:r>
      <w:r>
        <w:rPr>
          <w:noProof/>
        </w:rPr>
        <w:t>u plus tard le 30 juin 2022 afin de créer l’agence chargée de la mise en œuvre de la politique scientifique relevant du ministère de l’éducation, des sciences et des sports</w:t>
      </w:r>
      <w:r>
        <w:rPr>
          <w:rFonts w:ascii="Calibri" w:hAnsi="Calibri"/>
          <w:noProof/>
          <w:sz w:val="23"/>
        </w:rPr>
        <w:t xml:space="preserve"> </w:t>
      </w:r>
      <w:r>
        <w:rPr>
          <w:noProof/>
        </w:rPr>
        <w:t>ou du gouvernement de la République de Lituanie, qui est créée à la suite de la réo</w:t>
      </w:r>
      <w:r>
        <w:rPr>
          <w:noProof/>
        </w:rPr>
        <w:t>rganisation de l’Agence pour la science, l’innovation et la technologie (MITA), du Conseil lituanien de la recherche (LMT) et d’autres organismes compétents. Le nouvel organisme encouragera la participation des candidats lituaniens aux programmes européens</w:t>
      </w:r>
      <w:r>
        <w:rPr>
          <w:noProof/>
        </w:rPr>
        <w:t xml:space="preserve"> et internationaux de R &amp; D &amp; I, développera l’excellence scientifique dans le secteur public et élaborera une analyse des processus scientifiques et d’étude. </w:t>
      </w:r>
    </w:p>
    <w:p w14:paraId="0E744782" w14:textId="5F507435" w:rsidR="00FA40E8" w:rsidRDefault="00E74AE8">
      <w:pPr>
        <w:pStyle w:val="P68B1DB1-Text126"/>
        <w:keepNext/>
        <w:keepLines/>
        <w:spacing w:before="0" w:after="200" w:line="276" w:lineRule="auto"/>
        <w:ind w:left="0"/>
        <w:rPr>
          <w:noProof/>
        </w:rPr>
      </w:pPr>
      <w:r>
        <w:rPr>
          <w:noProof/>
        </w:rPr>
        <w:t>E.1.2. Réforme 2 «Mise en œuvre efficace de la politique d’innovation, augmentation de la demand</w:t>
      </w:r>
      <w:r>
        <w:rPr>
          <w:noProof/>
        </w:rPr>
        <w:t>e d’innovation, soutien à l’écosystème des jeunes pousses et innovation verte»</w:t>
      </w:r>
    </w:p>
    <w:p w14:paraId="1DE80279" w14:textId="76B92651" w:rsidR="00FA40E8" w:rsidRDefault="00E74AE8">
      <w:pPr>
        <w:pStyle w:val="Text1"/>
        <w:spacing w:before="0" w:after="200" w:line="276" w:lineRule="auto"/>
        <w:ind w:left="0"/>
        <w:rPr>
          <w:noProof/>
        </w:rPr>
      </w:pPr>
      <w:r>
        <w:rPr>
          <w:noProof/>
        </w:rPr>
        <w:t>L’objectif de la réforme est d’accroître l’efficacité des politiques d’innovation en Lituanie. Cette mesure se compose de 3 sous-mesures: (1) mise en œuvre efficace de la politi</w:t>
      </w:r>
      <w:r>
        <w:rPr>
          <w:noProof/>
        </w:rPr>
        <w:t>que d’innovation par la création d’une agence unique de promotion de l’innovation et l’optimisation du réseau des agences existantes (sous-mesure 1); (2) accroître la demande d’innovation et soutenir l’innovation verte en Lituanie en exploitant le potentie</w:t>
      </w:r>
      <w:r>
        <w:rPr>
          <w:noProof/>
        </w:rPr>
        <w:t>l des marchés publics (sous-mesure 2); (3) soutenir l’écosystème des jeunes pousses (sous-mesure 3).</w:t>
      </w:r>
    </w:p>
    <w:p w14:paraId="68B390EE" w14:textId="2B8E9E8F" w:rsidR="00FA40E8" w:rsidRDefault="00E74AE8">
      <w:pPr>
        <w:pStyle w:val="P68B1DB1-Text126"/>
        <w:keepNext/>
        <w:keepLines/>
        <w:spacing w:before="0" w:after="200" w:line="276" w:lineRule="auto"/>
        <w:ind w:left="0"/>
        <w:rPr>
          <w:noProof/>
        </w:rPr>
      </w:pPr>
      <w:r>
        <w:rPr>
          <w:noProof/>
        </w:rPr>
        <w:t>E.1.2.1. Sous-mesure 1: Mise en œuvre efficace de la politique d’innovation par la création d’une agence unique de promotion de l’innovation et l’optimisat</w:t>
      </w:r>
      <w:r>
        <w:rPr>
          <w:noProof/>
        </w:rPr>
        <w:t>ion du réseau des agences existantes</w:t>
      </w:r>
    </w:p>
    <w:p w14:paraId="4BCBE469" w14:textId="298450F4" w:rsidR="00FA40E8" w:rsidRDefault="00E74AE8">
      <w:pPr>
        <w:pStyle w:val="Text1"/>
        <w:spacing w:before="0" w:after="200" w:line="276" w:lineRule="auto"/>
        <w:ind w:left="0"/>
        <w:rPr>
          <w:noProof/>
        </w:rPr>
      </w:pPr>
      <w:r>
        <w:rPr>
          <w:noProof/>
        </w:rPr>
        <w:t>L’objectif de la sous-mesure est de créer une agence unique de l’innovation en consolidant les fonctions de promotion de l’innovation qui sont actuellement réparties entre plusieurs institutions. La sous-mesure vise éga</w:t>
      </w:r>
      <w:r>
        <w:rPr>
          <w:noProof/>
        </w:rPr>
        <w:t>lement à établir un cadre cohérent de coopération entre la science et les entreprises. L’agence pour l’innovation est créée dès l’entrée en vigueur de la résolution du gouvernement. L’entreprise Lituanie (Versli Lietuva) sert de base à l’agence pour l’inno</w:t>
      </w:r>
      <w:r>
        <w:rPr>
          <w:noProof/>
        </w:rPr>
        <w:t>vation et les fonctions et activités liées à l’innovation de l’agence pour la science, l’innovation et la technologie (MITA) et de l’agence lituanienne de soutien aux entreprises (LVPA) sont transférées à l’agence pour l’innovation. INVEGA coordonne ses ac</w:t>
      </w:r>
      <w:r>
        <w:rPr>
          <w:noProof/>
        </w:rPr>
        <w:t>tivités en matière de financement de l’innovation avec l’Agence pour l’innovation. L’agence pour l’innovation intégrera pleinement le centre lituanien de l’innovation (LIC) ou le LIC sera réorganisé en retirant les droits de propriété des organismes public</w:t>
      </w:r>
      <w:r>
        <w:rPr>
          <w:noProof/>
        </w:rPr>
        <w:t>s. La nouvelle agence contribue à la mise en place d’un cadre cohérent de soutien à l’innovation. La nouvelle agence est créée au plus tard le 31 mars 2022. Parallèlement, les actes juridiques, notamment la loi sur la technologie et l’innovation, sont révi</w:t>
      </w:r>
      <w:r>
        <w:rPr>
          <w:noProof/>
        </w:rPr>
        <w:t xml:space="preserve">sés en vue de combler les lacunes et les chevauchements existants dans le cadre de la politique d’innovation et de clarifier les responsabilités institutionnelles. Les actes juridiques révisés entrent en vigueur au plus tard le 31 décembre 2021. Une étude </w:t>
      </w:r>
      <w:r>
        <w:rPr>
          <w:noProof/>
        </w:rPr>
        <w:t xml:space="preserve">sur la cohérence des incitations à la R &amp; I sera également réalisée, sur la base de laquelle d’autres actes juridiques seront révisés au plus tard le 31 décembre 2022 en vue de créer un ensemble cohérent de mesures de soutien à la R &amp; I. </w:t>
      </w:r>
    </w:p>
    <w:p w14:paraId="680663D6" w14:textId="6DA6C4AF" w:rsidR="00FA40E8" w:rsidRDefault="00E74AE8">
      <w:pPr>
        <w:pStyle w:val="P68B1DB1-Text126"/>
        <w:keepNext/>
        <w:keepLines/>
        <w:spacing w:before="0" w:after="200" w:line="276" w:lineRule="auto"/>
        <w:ind w:left="0"/>
        <w:rPr>
          <w:noProof/>
        </w:rPr>
      </w:pPr>
      <w:r>
        <w:rPr>
          <w:noProof/>
        </w:rPr>
        <w:t>E.1.2.2. Sous-mes</w:t>
      </w:r>
      <w:r>
        <w:rPr>
          <w:noProof/>
        </w:rPr>
        <w:t xml:space="preserve">ure 2: Accroître la demande d’innovation et soutenir l’innovation verte en Lituanie </w:t>
      </w:r>
    </w:p>
    <w:p w14:paraId="67DB5EF0" w14:textId="6B5EC059" w:rsidR="00FA40E8" w:rsidRDefault="00E74AE8">
      <w:pPr>
        <w:pStyle w:val="Text1"/>
        <w:keepNext/>
        <w:keepLines/>
        <w:spacing w:before="0" w:after="200" w:line="276" w:lineRule="auto"/>
        <w:ind w:left="0"/>
        <w:rPr>
          <w:noProof/>
        </w:rPr>
      </w:pPr>
      <w:r>
        <w:rPr>
          <w:noProof/>
        </w:rPr>
        <w:t>L’objectif de la sous-mesure est d’accroître la demande d’innovation et de soutenir l’innovation verte. Cette sous-mesure consiste en des marchés publics de biens ou de se</w:t>
      </w:r>
      <w:r>
        <w:rPr>
          <w:noProof/>
        </w:rPr>
        <w:t xml:space="preserve">rvices innovants et en un soutien à des produits ou à des projets technologiques respectueux de l’environnement et à des projets du laboratoire industriel 4.0. La FRR soutient une partie du coût de l’investissement. Les projets du Industry Lab 4.0 peuvent </w:t>
      </w:r>
      <w:r>
        <w:rPr>
          <w:noProof/>
        </w:rPr>
        <w:t xml:space="preserve">également bénéficier d’un financement au titre d’autres programmes ou instruments de l’Union pour des coûts qui ne sont pas soutenus par la FRR. </w:t>
      </w:r>
    </w:p>
    <w:p w14:paraId="7D5C7CE4" w14:textId="525A5AFC" w:rsidR="00FA40E8" w:rsidRDefault="00E74AE8">
      <w:pPr>
        <w:pStyle w:val="Text1"/>
        <w:keepNext/>
        <w:keepLines/>
        <w:spacing w:before="0" w:after="200" w:line="276" w:lineRule="auto"/>
        <w:ind w:left="0"/>
        <w:rPr>
          <w:noProof/>
          <w:u w:val="single"/>
        </w:rPr>
      </w:pPr>
      <w:r>
        <w:rPr>
          <w:noProof/>
        </w:rPr>
        <w:t xml:space="preserve"> </w:t>
      </w:r>
      <w:r>
        <w:rPr>
          <w:noProof/>
          <w:u w:val="single"/>
        </w:rPr>
        <w:t>E.1.2.3. Sous-mesure 3: Soutenir l’écosystème des jeunes pousses</w:t>
      </w:r>
    </w:p>
    <w:p w14:paraId="54AD86BD" w14:textId="5ADDF712" w:rsidR="00FA40E8" w:rsidRDefault="00E74AE8">
      <w:pPr>
        <w:rPr>
          <w:noProof/>
        </w:rPr>
      </w:pPr>
      <w:r>
        <w:rPr>
          <w:rFonts w:ascii="Times New Roman" w:hAnsi="Times New Roman" w:cs="Times New Roman"/>
          <w:noProof/>
          <w:sz w:val="24"/>
        </w:rPr>
        <w:t>L’objectif de la sous-mesure est de soutenir</w:t>
      </w:r>
      <w:r>
        <w:rPr>
          <w:rFonts w:ascii="Times New Roman" w:hAnsi="Times New Roman" w:cs="Times New Roman"/>
          <w:noProof/>
          <w:sz w:val="24"/>
        </w:rPr>
        <w:t xml:space="preserve"> l’écosystème lituanien des jeunes pousses. La sous-mesure consiste à apporter un soutien aux personnes physiques ou morales par l’intermédiaire du Fonds pour la promotion de l’innovation, de l’incubateur de l’Agence spatiale européenne</w:t>
      </w:r>
      <w:r>
        <w:rPr>
          <w:noProof/>
        </w:rPr>
        <w:t xml:space="preserve"> et des programmes d</w:t>
      </w:r>
      <w:r>
        <w:rPr>
          <w:noProof/>
        </w:rPr>
        <w:t>e</w:t>
      </w:r>
      <w:r>
        <w:rPr>
          <w:rFonts w:ascii="Times New Roman" w:hAnsi="Times New Roman" w:cs="Times New Roman"/>
          <w:noProof/>
          <w:sz w:val="24"/>
        </w:rPr>
        <w:t xml:space="preserve"> préincubation ou d’accélération.</w:t>
      </w:r>
    </w:p>
    <w:p w14:paraId="0E29F151" w14:textId="77777777" w:rsidR="00FA40E8" w:rsidRDefault="00E74AE8">
      <w:pPr>
        <w:pStyle w:val="P68B1DB1-Text126"/>
        <w:keepNext/>
        <w:keepLines/>
        <w:spacing w:before="0" w:after="200" w:line="276" w:lineRule="auto"/>
        <w:ind w:left="0"/>
        <w:rPr>
          <w:noProof/>
        </w:rPr>
      </w:pPr>
      <w:r>
        <w:rPr>
          <w:noProof/>
        </w:rPr>
        <w:t>E.1.3. Réforme 3 «Missions conjointes pour la science et l’innovation dans le domaine de la spécialisation intelligente»</w:t>
      </w:r>
    </w:p>
    <w:p w14:paraId="7A1B762E" w14:textId="073B0D36" w:rsidR="00FA40E8" w:rsidRDefault="00E74AE8">
      <w:pPr>
        <w:pStyle w:val="Text1"/>
        <w:spacing w:before="0" w:after="200" w:line="276" w:lineRule="auto"/>
        <w:ind w:left="0"/>
        <w:rPr>
          <w:noProof/>
        </w:rPr>
      </w:pPr>
      <w:r>
        <w:rPr>
          <w:noProof/>
        </w:rPr>
        <w:t>L’objectif de la réforme est de renforcer la coopération entre la science et les entreprises dans le</w:t>
      </w:r>
      <w:r>
        <w:rPr>
          <w:noProof/>
        </w:rPr>
        <w:t xml:space="preserve"> domaine de la spécialisation intelligente, en soutenant les missions conjointes dans les domaines de la science et de l’innovation. La mesure se compose de 3 sous-mesures: (1) définir des priorités en matière de spécialisation intelligente (sous-mesure 1)</w:t>
      </w:r>
      <w:r>
        <w:rPr>
          <w:noProof/>
        </w:rPr>
        <w:t>; (2) soutenir les programmes scientifiques et d’innovation fondés sur des missions dans le domaine de la spécialisation intelligente (sous-mesure 2); (3) encourager la science et les entreprises à participer au programme de recherche et d’innovation de l’</w:t>
      </w:r>
      <w:r>
        <w:rPr>
          <w:noProof/>
        </w:rPr>
        <w:t>UE «Horizon Europe» et à d’autres programmes de financement internationaux (sous-mesure 3).</w:t>
      </w:r>
      <w:r>
        <w:rPr>
          <w:noProof/>
          <w:u w:val="single"/>
        </w:rPr>
        <w:t xml:space="preserve"> </w:t>
      </w:r>
    </w:p>
    <w:p w14:paraId="0A91C70A" w14:textId="77777777" w:rsidR="00FA40E8" w:rsidRDefault="00E74AE8">
      <w:pPr>
        <w:pStyle w:val="P68B1DB1-Text126"/>
        <w:keepNext/>
        <w:keepLines/>
        <w:spacing w:before="0" w:after="200" w:line="276" w:lineRule="auto"/>
        <w:ind w:left="0"/>
        <w:rPr>
          <w:noProof/>
        </w:rPr>
      </w:pPr>
      <w:r>
        <w:rPr>
          <w:noProof/>
        </w:rPr>
        <w:t xml:space="preserve">E.1.3.1. Sous-mesure 1: Définir des priorités en matière de spécialisation intelligente </w:t>
      </w:r>
    </w:p>
    <w:p w14:paraId="158D75B8" w14:textId="6F1AE781" w:rsidR="00FA40E8" w:rsidRDefault="00E74AE8">
      <w:pPr>
        <w:pStyle w:val="Text1"/>
        <w:spacing w:before="0" w:after="200" w:line="276" w:lineRule="auto"/>
        <w:ind w:left="0"/>
        <w:rPr>
          <w:noProof/>
        </w:rPr>
      </w:pPr>
      <w:r>
        <w:rPr>
          <w:noProof/>
        </w:rPr>
        <w:t>L’objectif de cette sous-mesure est de réviser les priorités en matière de</w:t>
      </w:r>
      <w:r>
        <w:rPr>
          <w:noProof/>
        </w:rPr>
        <w:t xml:space="preserve"> spécialisation intelligente et de réduire leur nombre. Le concept révisé de spécialisation intelligente pour une période allant jusqu’au 31 décembre 2027, qui réduit les domaines prioritaires à trois, est approuvé par le gouvernement au plus tard le 31 dé</w:t>
      </w:r>
      <w:r>
        <w:rPr>
          <w:noProof/>
        </w:rPr>
        <w:t>cembre 2021.</w:t>
      </w:r>
    </w:p>
    <w:p w14:paraId="6EE9D853" w14:textId="1D35B159" w:rsidR="00FA40E8" w:rsidRDefault="00E74AE8">
      <w:pPr>
        <w:pStyle w:val="P68B1DB1-Text126"/>
        <w:keepNext/>
        <w:keepLines/>
        <w:spacing w:before="0" w:after="200" w:line="276" w:lineRule="auto"/>
        <w:ind w:left="0"/>
        <w:rPr>
          <w:noProof/>
        </w:rPr>
      </w:pPr>
      <w:r>
        <w:rPr>
          <w:noProof/>
        </w:rPr>
        <w:t xml:space="preserve">E.1.3.2. Sous-mesure 2: Soutenir la recherche et le développement </w:t>
      </w:r>
    </w:p>
    <w:p w14:paraId="1C1CE91B" w14:textId="10B81873" w:rsidR="00FA40E8" w:rsidRDefault="00E74AE8">
      <w:pPr>
        <w:pStyle w:val="Text1"/>
        <w:spacing w:before="0" w:after="200" w:line="276" w:lineRule="auto"/>
        <w:ind w:left="0"/>
        <w:rPr>
          <w:noProof/>
        </w:rPr>
      </w:pPr>
      <w:r>
        <w:rPr>
          <w:noProof/>
        </w:rPr>
        <w:t>L’objectif de cette sous-mesure est d’apporter un soutien à la recherche et au développement. Cette sous-mesure consiste à réaliser des travaux de construction pour deux centre</w:t>
      </w:r>
      <w:r>
        <w:rPr>
          <w:noProof/>
        </w:rPr>
        <w:t xml:space="preserve">s de R &amp; D et à soutenir des projets de R &amp; D. </w:t>
      </w:r>
    </w:p>
    <w:p w14:paraId="1C277B84" w14:textId="77777777" w:rsidR="00FA40E8" w:rsidRDefault="00E74AE8">
      <w:pPr>
        <w:pStyle w:val="P68B1DB1-Text126"/>
        <w:keepNext/>
        <w:keepLines/>
        <w:spacing w:before="0" w:after="200" w:line="276" w:lineRule="auto"/>
        <w:ind w:left="0"/>
        <w:rPr>
          <w:noProof/>
        </w:rPr>
      </w:pPr>
      <w:r>
        <w:rPr>
          <w:noProof/>
        </w:rPr>
        <w:t xml:space="preserve">E.1.3.3. Sous-mesure 3: Encourager la science et les entreprises à participer au programme de recherche et d’innovation de l’UE «Horizon Europe» et à d’autres programmes de financement internationaux </w:t>
      </w:r>
    </w:p>
    <w:p w14:paraId="3BDF57E2" w14:textId="30E6B5EA" w:rsidR="00FA40E8" w:rsidRDefault="00E74AE8">
      <w:pPr>
        <w:pStyle w:val="Text1"/>
        <w:ind w:left="0"/>
        <w:rPr>
          <w:noProof/>
        </w:rPr>
      </w:pPr>
      <w:r>
        <w:rPr>
          <w:noProof/>
        </w:rPr>
        <w:t>L’objec</w:t>
      </w:r>
      <w:r>
        <w:rPr>
          <w:noProof/>
        </w:rPr>
        <w:t xml:space="preserve">tif de cette sous-mesure est de soutenir la participation des sciences et des entreprises lituaniennes aux programmes internationaux de R &amp; D. Cette sous-mesure consiste en l’octroi d’un soutien financier à des projets ou à des services de conseil. </w:t>
      </w:r>
    </w:p>
    <w:p w14:paraId="023B59B0" w14:textId="77777777" w:rsidR="00FA40E8" w:rsidRDefault="00FA40E8">
      <w:pPr>
        <w:pStyle w:val="Text1"/>
        <w:ind w:left="709"/>
        <w:rPr>
          <w:noProof/>
        </w:rPr>
        <w:sectPr w:rsidR="00FA40E8" w:rsidSect="0074650A">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39EC6D96" w14:textId="415BACB1" w:rsidR="00FA40E8" w:rsidRDefault="00E74AE8">
      <w:pPr>
        <w:pStyle w:val="P68B1DB1-Text15"/>
        <w:keepNext/>
        <w:keepLines/>
        <w:spacing w:before="0" w:after="200" w:line="276" w:lineRule="auto"/>
        <w:ind w:left="0"/>
        <w:outlineLvl w:val="1"/>
        <w:rPr>
          <w:noProof/>
        </w:rPr>
      </w:pPr>
      <w:r>
        <w:rPr>
          <w:noProof/>
        </w:rPr>
        <w:t>E.2. Jalons, cibles, indicateurs et calendrier de suivi et de mise en œuvre du soutien financier non remboursable</w:t>
      </w:r>
    </w:p>
    <w:tbl>
      <w:tblPr>
        <w:tblW w:w="5098"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70"/>
        <w:gridCol w:w="1652"/>
        <w:gridCol w:w="1146"/>
        <w:gridCol w:w="1934"/>
        <w:gridCol w:w="1541"/>
        <w:gridCol w:w="945"/>
        <w:gridCol w:w="973"/>
        <w:gridCol w:w="697"/>
        <w:gridCol w:w="973"/>
        <w:gridCol w:w="697"/>
        <w:gridCol w:w="3949"/>
      </w:tblGrid>
      <w:tr w:rsidR="00FA40E8" w14:paraId="16319DE0" w14:textId="77777777">
        <w:trPr>
          <w:tblHeader/>
        </w:trPr>
        <w:tc>
          <w:tcPr>
            <w:tcW w:w="57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34D342" w14:textId="792D6F17" w:rsidR="00FA40E8" w:rsidRDefault="00E74AE8">
            <w:pPr>
              <w:pStyle w:val="P68B1DB1-Normal9"/>
              <w:spacing w:before="60" w:after="60"/>
              <w:jc w:val="center"/>
              <w:rPr>
                <w:rFonts w:cs="Times New Roman"/>
                <w:noProof/>
              </w:rPr>
            </w:pPr>
            <w:r>
              <w:rPr>
                <w:noProof/>
              </w:rPr>
              <w:t>Non.</w:t>
            </w:r>
          </w:p>
        </w:tc>
        <w:tc>
          <w:tcPr>
            <w:tcW w:w="165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996B90" w14:textId="77777777" w:rsidR="00FA40E8" w:rsidRDefault="00E74AE8">
            <w:pPr>
              <w:pStyle w:val="P68B1DB1-Normal9"/>
              <w:spacing w:before="60" w:after="60"/>
              <w:jc w:val="center"/>
              <w:rPr>
                <w:rFonts w:cs="Times New Roman"/>
                <w:noProof/>
              </w:rPr>
            </w:pPr>
            <w:r>
              <w:rPr>
                <w:noProof/>
              </w:rPr>
              <w:t>Mesure connexe (réforme ou investissement)</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2633C22" w14:textId="2AEA1CDC" w:rsidR="00FA40E8" w:rsidRDefault="00E74AE8">
            <w:pPr>
              <w:pStyle w:val="P68B1DB1-Normal9"/>
              <w:spacing w:before="60" w:after="60"/>
              <w:jc w:val="center"/>
              <w:rPr>
                <w:rFonts w:cs="Times New Roman"/>
                <w:noProof/>
              </w:rPr>
            </w:pPr>
            <w:r>
              <w:rPr>
                <w:noProof/>
              </w:rPr>
              <w:t>Étape/cible</w:t>
            </w:r>
          </w:p>
        </w:tc>
        <w:tc>
          <w:tcPr>
            <w:tcW w:w="19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406ADEE" w14:textId="77777777" w:rsidR="00FA40E8" w:rsidRDefault="00E74AE8">
            <w:pPr>
              <w:pStyle w:val="P68B1DB1-Normal9"/>
              <w:spacing w:before="60" w:after="60"/>
              <w:jc w:val="center"/>
              <w:rPr>
                <w:rFonts w:cs="Times New Roman"/>
                <w:noProof/>
              </w:rPr>
            </w:pPr>
            <w:r>
              <w:rPr>
                <w:noProof/>
              </w:rPr>
              <w:t>Titre</w:t>
            </w:r>
          </w:p>
        </w:tc>
        <w:tc>
          <w:tcPr>
            <w:tcW w:w="154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F4B6B89" w14:textId="5EF073C5"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 xml:space="preserve">Indicateurs </w:t>
            </w:r>
            <w:r>
              <w:rPr>
                <w:rFonts w:ascii="Times New Roman" w:hAnsi="Times New Roman"/>
                <w:b/>
                <w:noProof/>
              </w:rPr>
              <w:t>qualitatifs</w:t>
            </w:r>
            <w:r>
              <w:rPr>
                <w:noProof/>
              </w:rPr>
              <w:t xml:space="preserve"> </w:t>
            </w:r>
            <w:r>
              <w:rPr>
                <w:noProof/>
              </w:rPr>
              <w:br/>
            </w:r>
            <w:r>
              <w:rPr>
                <w:rFonts w:ascii="Times New Roman" w:hAnsi="Times New Roman"/>
                <w:b/>
                <w:noProof/>
              </w:rPr>
              <w:t>(pour les étapes)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694C26" w14:textId="77777777"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67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19B1E6E" w14:textId="2F0E1F73" w:rsidR="00FA40E8" w:rsidRDefault="00E74AE8">
            <w:pPr>
              <w:pStyle w:val="P68B1DB1-Normal9"/>
              <w:spacing w:before="60" w:after="60"/>
              <w:jc w:val="center"/>
              <w:rPr>
                <w:rFonts w:cs="Times New Roman"/>
                <w:noProof/>
              </w:rPr>
            </w:pPr>
            <w:r>
              <w:rPr>
                <w:noProof/>
              </w:rPr>
              <w:t>Calendrier indicatif d’achèvement</w:t>
            </w:r>
          </w:p>
        </w:tc>
        <w:tc>
          <w:tcPr>
            <w:tcW w:w="394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6EB2685" w14:textId="77777777" w:rsidR="00FA40E8" w:rsidRDefault="00E74AE8">
            <w:pPr>
              <w:pStyle w:val="P68B1DB1-Normal9"/>
              <w:spacing w:before="60" w:after="60"/>
              <w:jc w:val="center"/>
              <w:rPr>
                <w:rFonts w:cs="Times New Roman"/>
                <w:noProof/>
              </w:rPr>
            </w:pPr>
            <w:r>
              <w:rPr>
                <w:noProof/>
              </w:rPr>
              <w:t>Description et définition claire de chaque jalon et cible</w:t>
            </w:r>
          </w:p>
        </w:tc>
      </w:tr>
      <w:tr w:rsidR="00FA40E8" w14:paraId="73DACA50" w14:textId="77777777">
        <w:trPr>
          <w:tblHeader/>
        </w:trPr>
        <w:tc>
          <w:tcPr>
            <w:tcW w:w="570" w:type="dxa"/>
            <w:vMerge/>
            <w:tcBorders>
              <w:top w:val="single" w:sz="4" w:space="0" w:color="auto"/>
              <w:left w:val="single" w:sz="4" w:space="0" w:color="auto"/>
              <w:bottom w:val="single" w:sz="4" w:space="0" w:color="auto"/>
              <w:right w:val="single" w:sz="4" w:space="0" w:color="auto"/>
            </w:tcBorders>
            <w:vAlign w:val="center"/>
          </w:tcPr>
          <w:p w14:paraId="088260E3" w14:textId="77777777" w:rsidR="00FA40E8" w:rsidRDefault="00FA40E8">
            <w:pPr>
              <w:spacing w:before="60" w:after="60"/>
              <w:jc w:val="center"/>
              <w:rPr>
                <w:rFonts w:ascii="Times New Roman" w:hAnsi="Times New Roman" w:cs="Times New Roman"/>
                <w:b/>
                <w:noProof/>
                <w:sz w:val="20"/>
              </w:rPr>
            </w:pPr>
          </w:p>
        </w:tc>
        <w:tc>
          <w:tcPr>
            <w:tcW w:w="1652" w:type="dxa"/>
            <w:vMerge/>
            <w:tcBorders>
              <w:top w:val="single" w:sz="4" w:space="0" w:color="auto"/>
              <w:left w:val="single" w:sz="4" w:space="0" w:color="auto"/>
              <w:bottom w:val="single" w:sz="4" w:space="0" w:color="auto"/>
              <w:right w:val="single" w:sz="4" w:space="0" w:color="auto"/>
            </w:tcBorders>
            <w:vAlign w:val="center"/>
          </w:tcPr>
          <w:p w14:paraId="0CCB9506" w14:textId="77777777" w:rsidR="00FA40E8" w:rsidRDefault="00FA40E8">
            <w:pPr>
              <w:spacing w:before="60" w:after="60"/>
              <w:rPr>
                <w:rFonts w:ascii="Times New Roman" w:hAnsi="Times New Roman" w:cs="Times New Roman"/>
                <w:b/>
                <w:noProof/>
                <w:sz w:val="20"/>
              </w:rPr>
            </w:pPr>
          </w:p>
        </w:tc>
        <w:tc>
          <w:tcPr>
            <w:tcW w:w="1146" w:type="dxa"/>
            <w:vMerge/>
            <w:tcBorders>
              <w:top w:val="single" w:sz="4" w:space="0" w:color="auto"/>
              <w:left w:val="single" w:sz="4" w:space="0" w:color="auto"/>
              <w:bottom w:val="single" w:sz="4" w:space="0" w:color="auto"/>
              <w:right w:val="single" w:sz="4" w:space="0" w:color="auto"/>
            </w:tcBorders>
            <w:vAlign w:val="center"/>
          </w:tcPr>
          <w:p w14:paraId="7920AF43" w14:textId="77777777" w:rsidR="00FA40E8" w:rsidRDefault="00FA40E8">
            <w:pPr>
              <w:spacing w:before="60" w:after="60"/>
              <w:jc w:val="center"/>
              <w:rPr>
                <w:rFonts w:ascii="Times New Roman" w:hAnsi="Times New Roman" w:cs="Times New Roman"/>
                <w:b/>
                <w:noProof/>
                <w:sz w:val="20"/>
              </w:rPr>
            </w:pPr>
          </w:p>
        </w:tc>
        <w:tc>
          <w:tcPr>
            <w:tcW w:w="1934" w:type="dxa"/>
            <w:vMerge/>
            <w:tcBorders>
              <w:top w:val="single" w:sz="4" w:space="0" w:color="auto"/>
              <w:left w:val="single" w:sz="4" w:space="0" w:color="auto"/>
              <w:bottom w:val="single" w:sz="4" w:space="0" w:color="auto"/>
              <w:right w:val="single" w:sz="4" w:space="0" w:color="auto"/>
            </w:tcBorders>
            <w:vAlign w:val="center"/>
          </w:tcPr>
          <w:p w14:paraId="75F0A45C" w14:textId="77777777" w:rsidR="00FA40E8" w:rsidRDefault="00FA40E8">
            <w:pPr>
              <w:spacing w:before="60" w:after="60"/>
              <w:rPr>
                <w:rFonts w:ascii="Times New Roman" w:hAnsi="Times New Roman" w:cs="Times New Roman"/>
                <w:b/>
                <w:noProof/>
                <w:sz w:val="20"/>
              </w:rPr>
            </w:pPr>
          </w:p>
        </w:tc>
        <w:tc>
          <w:tcPr>
            <w:tcW w:w="1541" w:type="dxa"/>
            <w:vMerge/>
            <w:tcBorders>
              <w:top w:val="single" w:sz="4" w:space="0" w:color="auto"/>
              <w:left w:val="single" w:sz="4" w:space="0" w:color="auto"/>
              <w:bottom w:val="single" w:sz="4" w:space="0" w:color="auto"/>
              <w:right w:val="single" w:sz="4" w:space="0" w:color="auto"/>
            </w:tcBorders>
            <w:vAlign w:val="center"/>
          </w:tcPr>
          <w:p w14:paraId="2BDE438D" w14:textId="77777777" w:rsidR="00FA40E8" w:rsidRDefault="00FA40E8">
            <w:pPr>
              <w:spacing w:before="60" w:after="60"/>
              <w:rPr>
                <w:rFonts w:ascii="Times New Roman" w:hAnsi="Times New Roman" w:cs="Times New Roman"/>
                <w:b/>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D241E2" w14:textId="77777777" w:rsidR="00FA40E8" w:rsidRDefault="00E74AE8">
            <w:pPr>
              <w:pStyle w:val="P68B1DB1-Normal9"/>
              <w:spacing w:before="60" w:after="60"/>
              <w:jc w:val="center"/>
              <w:rPr>
                <w:rFonts w:cs="Times New Roman"/>
                <w:noProof/>
              </w:rPr>
            </w:pPr>
            <w:r>
              <w:rPr>
                <w:noProof/>
              </w:rPr>
              <w:t>Unité</w:t>
            </w:r>
          </w:p>
        </w:tc>
        <w:tc>
          <w:tcPr>
            <w:tcW w:w="97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361D6C" w14:textId="77777777" w:rsidR="00FA40E8" w:rsidRDefault="00E74AE8">
            <w:pPr>
              <w:pStyle w:val="P68B1DB1-Normal9"/>
              <w:spacing w:before="60" w:after="60"/>
              <w:jc w:val="center"/>
              <w:rPr>
                <w:rFonts w:cs="Times New Roman"/>
                <w:noProof/>
              </w:rPr>
            </w:pPr>
            <w:r>
              <w:rPr>
                <w:noProof/>
              </w:rPr>
              <w:t>Niveau de référence</w:t>
            </w:r>
          </w:p>
        </w:tc>
        <w:tc>
          <w:tcPr>
            <w:tcW w:w="69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13730F" w14:textId="77777777" w:rsidR="00FA40E8" w:rsidRDefault="00E74AE8">
            <w:pPr>
              <w:pStyle w:val="P68B1DB1-Normal9"/>
              <w:spacing w:before="60" w:after="60"/>
              <w:jc w:val="center"/>
              <w:rPr>
                <w:rFonts w:cs="Times New Roman"/>
                <w:noProof/>
              </w:rPr>
            </w:pPr>
            <w:r>
              <w:rPr>
                <w:noProof/>
              </w:rPr>
              <w:t>Objectif</w:t>
            </w:r>
          </w:p>
        </w:tc>
        <w:tc>
          <w:tcPr>
            <w:tcW w:w="97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31AA1D" w14:textId="77777777" w:rsidR="00FA40E8" w:rsidRDefault="00E74AE8">
            <w:pPr>
              <w:pStyle w:val="P68B1DB1-Normal9"/>
              <w:spacing w:before="60" w:after="60"/>
              <w:jc w:val="center"/>
              <w:rPr>
                <w:rFonts w:cs="Times New Roman"/>
                <w:noProof/>
              </w:rPr>
            </w:pPr>
            <w:r>
              <w:rPr>
                <w:noProof/>
              </w:rPr>
              <w:t>Trimestre</w:t>
            </w:r>
          </w:p>
        </w:tc>
        <w:tc>
          <w:tcPr>
            <w:tcW w:w="69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58060F" w14:textId="77777777" w:rsidR="00FA40E8" w:rsidRDefault="00E74AE8">
            <w:pPr>
              <w:pStyle w:val="P68B1DB1-Normal9"/>
              <w:spacing w:before="60" w:after="60"/>
              <w:jc w:val="center"/>
              <w:rPr>
                <w:rFonts w:cs="Times New Roman"/>
                <w:noProof/>
              </w:rPr>
            </w:pPr>
            <w:r>
              <w:rPr>
                <w:noProof/>
              </w:rPr>
              <w:t>Année</w:t>
            </w:r>
          </w:p>
        </w:tc>
        <w:tc>
          <w:tcPr>
            <w:tcW w:w="3949" w:type="dxa"/>
            <w:vMerge/>
            <w:tcBorders>
              <w:top w:val="single" w:sz="4" w:space="0" w:color="auto"/>
              <w:left w:val="single" w:sz="4" w:space="0" w:color="auto"/>
              <w:bottom w:val="single" w:sz="4" w:space="0" w:color="auto"/>
              <w:right w:val="single" w:sz="4" w:space="0" w:color="auto"/>
            </w:tcBorders>
            <w:vAlign w:val="center"/>
          </w:tcPr>
          <w:p w14:paraId="3CED3A1A" w14:textId="77777777" w:rsidR="00FA40E8" w:rsidRDefault="00FA40E8">
            <w:pPr>
              <w:spacing w:before="60" w:after="60"/>
              <w:rPr>
                <w:rFonts w:ascii="Times New Roman" w:hAnsi="Times New Roman" w:cs="Times New Roman"/>
                <w:b/>
                <w:noProof/>
                <w:sz w:val="20"/>
              </w:rPr>
            </w:pPr>
          </w:p>
        </w:tc>
      </w:tr>
      <w:tr w:rsidR="00FA40E8" w14:paraId="7693C5D0"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905B38" w14:textId="77777777" w:rsidR="00FA40E8" w:rsidRDefault="00E74AE8">
            <w:pPr>
              <w:pStyle w:val="P68B1DB1-Normal12"/>
              <w:spacing w:before="60" w:after="60"/>
              <w:jc w:val="center"/>
              <w:rPr>
                <w:rFonts w:cs="Times New Roman"/>
                <w:noProof/>
              </w:rPr>
            </w:pPr>
            <w:r>
              <w:rPr>
                <w:noProof/>
              </w:rPr>
              <w:t>121</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5E7E0" w14:textId="420B6CCE" w:rsidR="00FA40E8" w:rsidRDefault="00E74AE8">
            <w:pPr>
              <w:pStyle w:val="P68B1DB1-Normal12"/>
              <w:spacing w:before="60" w:after="60"/>
              <w:rPr>
                <w:noProof/>
              </w:rPr>
            </w:pPr>
            <w:r>
              <w:rPr>
                <w:noProof/>
              </w:rPr>
              <w:t xml:space="preserve">E.1.1. Un enseignement supérieur de qualité et des établissements d’enseignement supérieur solides — </w:t>
            </w:r>
          </w:p>
          <w:p w14:paraId="5C084C6F" w14:textId="441B6409" w:rsidR="00FA40E8" w:rsidRDefault="00E74AE8">
            <w:pPr>
              <w:pStyle w:val="P68B1DB1-Normal12"/>
              <w:spacing w:before="60" w:after="60"/>
              <w:rPr>
                <w:rFonts w:cs="Times New Roman"/>
                <w:noProof/>
              </w:rPr>
            </w:pPr>
            <w:r>
              <w:rPr>
                <w:noProof/>
              </w:rPr>
              <w:t>E.1.1.1. Améliorer le financement de l’enseignement supérieur et les systèmes d’admission des étudiants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9170A" w14:textId="77777777" w:rsidR="00FA40E8" w:rsidRDefault="00E74AE8">
            <w:pPr>
              <w:pStyle w:val="P68B1DB1-Normal12"/>
              <w:spacing w:before="60" w:after="60"/>
              <w:jc w:val="center"/>
              <w:rPr>
                <w:rFonts w:cs="Times New Roman"/>
                <w:noProof/>
              </w:rPr>
            </w:pPr>
            <w:r>
              <w:rPr>
                <w:noProof/>
              </w:rPr>
              <w:t>Étape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A5B6DE" w14:textId="77777777" w:rsidR="00FA40E8" w:rsidRDefault="00E74AE8">
            <w:pPr>
              <w:pStyle w:val="P68B1DB1-Normal12"/>
              <w:spacing w:before="60" w:after="60"/>
              <w:rPr>
                <w:rFonts w:eastAsia="Times New Roman" w:cs="Times New Roman"/>
                <w:noProof/>
              </w:rPr>
            </w:pPr>
            <w:r>
              <w:rPr>
                <w:noProof/>
              </w:rPr>
              <w:t>Entrée en vigueur des actes juridiques établ</w:t>
            </w:r>
            <w:r>
              <w:rPr>
                <w:noProof/>
              </w:rPr>
              <w:t xml:space="preserve">issant un système de contrats avec les établissements d’enseignement supérieur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B31032" w14:textId="4B7B7E0B" w:rsidR="00FA40E8" w:rsidRDefault="00E74AE8">
            <w:pPr>
              <w:pStyle w:val="P68B1DB1-Normal12"/>
              <w:spacing w:before="60" w:after="60"/>
              <w:rPr>
                <w:rFonts w:eastAsia="Times New Roman" w:cs="Times New Roman"/>
                <w:noProof/>
              </w:rPr>
            </w:pPr>
            <w:r>
              <w:rPr>
                <w:noProof/>
              </w:rPr>
              <w:t>Entrée en vigueur des actes juridiques</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81143A" w14:textId="664E2CBE"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F1A22E" w14:textId="3723750C" w:rsidR="00FA40E8" w:rsidRDefault="00FA40E8">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E77F87" w14:textId="7E05949E"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142D17" w14:textId="77777777" w:rsidR="00FA40E8" w:rsidRDefault="00E74AE8">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12BD65" w14:textId="77777777" w:rsidR="00FA40E8" w:rsidRDefault="00E74AE8">
            <w:pPr>
              <w:pStyle w:val="P68B1DB1-Normal12"/>
              <w:spacing w:before="60" w:after="60"/>
              <w:jc w:val="center"/>
              <w:rPr>
                <w:rFonts w:cs="Times New Roman"/>
                <w:noProof/>
              </w:rPr>
            </w:pPr>
            <w:r>
              <w:rPr>
                <w:noProof/>
              </w:rPr>
              <w:t>2023</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91749" w14:textId="77777777" w:rsidR="00FA40E8" w:rsidRDefault="00E74AE8">
            <w:pPr>
              <w:pStyle w:val="P68B1DB1-Normal12"/>
              <w:spacing w:before="60" w:after="60"/>
              <w:jc w:val="both"/>
              <w:rPr>
                <w:noProof/>
              </w:rPr>
            </w:pPr>
            <w:r>
              <w:rPr>
                <w:noProof/>
              </w:rPr>
              <w:t xml:space="preserve">Entrée en vigueur de la loi sur l’enseignement supérieur établissant un modèle pour la conclusion de contrats avec les </w:t>
            </w:r>
            <w:r>
              <w:rPr>
                <w:noProof/>
              </w:rPr>
              <w:t>établissements d’enseignement supérieur, qui prévoit un financement supplémentaire pour la fusion des établissements d’enseignement supérieur, ainsi que pour d’autres objectifs stratégiques (expansion des établissements, amélioration de la qualité des étud</w:t>
            </w:r>
            <w:r>
              <w:rPr>
                <w:noProof/>
              </w:rPr>
              <w:t>es, investissement dans les infrastructures et autres changements opérationnels nécessitant des investissements publics). Les fusions potentielles sont conformes au plan élaboré par un ou plusieurs experts indépendants.</w:t>
            </w:r>
          </w:p>
          <w:p w14:paraId="0EF8B711" w14:textId="47C48D02" w:rsidR="00FA40E8" w:rsidRDefault="00E74AE8">
            <w:pPr>
              <w:pStyle w:val="P68B1DB1-Normal12"/>
              <w:spacing w:before="60" w:after="60"/>
              <w:jc w:val="both"/>
              <w:rPr>
                <w:rFonts w:eastAsia="Times New Roman" w:cs="Times New Roman"/>
                <w:noProof/>
              </w:rPr>
            </w:pPr>
            <w:r>
              <w:rPr>
                <w:noProof/>
              </w:rPr>
              <w:t>L’attribution des marchés est formal</w:t>
            </w:r>
            <w:r>
              <w:rPr>
                <w:noProof/>
              </w:rPr>
              <w:t>isée dans la loi sur la science et les études, qui est suivie de l’élaboration de contrats statutaires pour la conclusion de contrats avec les établissements d’enseignement supérieur.</w:t>
            </w:r>
          </w:p>
        </w:tc>
      </w:tr>
      <w:tr w:rsidR="00FA40E8" w14:paraId="32E08080"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18B713" w14:textId="77777777" w:rsidR="00FA40E8" w:rsidRDefault="00E74AE8">
            <w:pPr>
              <w:pStyle w:val="P68B1DB1-Normal12"/>
              <w:spacing w:before="60" w:after="60"/>
              <w:jc w:val="center"/>
              <w:rPr>
                <w:rFonts w:cs="Times New Roman"/>
                <w:noProof/>
              </w:rPr>
            </w:pPr>
            <w:r>
              <w:rPr>
                <w:noProof/>
              </w:rPr>
              <w:t>122</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0AE6BB" w14:textId="567504E6" w:rsidR="00FA40E8" w:rsidRDefault="00E74AE8">
            <w:pPr>
              <w:pStyle w:val="P68B1DB1-Normal12"/>
              <w:spacing w:before="60" w:after="60"/>
              <w:rPr>
                <w:noProof/>
              </w:rPr>
            </w:pPr>
            <w:r>
              <w:rPr>
                <w:noProof/>
              </w:rPr>
              <w:t xml:space="preserve">E.1.1. Un enseignement supérieur de qualité et des établissements d’enseignement supérieur solides — </w:t>
            </w:r>
          </w:p>
          <w:p w14:paraId="174D3098" w14:textId="69D97B31" w:rsidR="00FA40E8" w:rsidRDefault="00E74AE8">
            <w:pPr>
              <w:pStyle w:val="P68B1DB1-Normal12"/>
              <w:spacing w:before="60" w:after="60"/>
              <w:rPr>
                <w:noProof/>
              </w:rPr>
            </w:pPr>
            <w:r>
              <w:rPr>
                <w:noProof/>
              </w:rPr>
              <w:t>E.1.1.1. Améliorer le financement de l’enseignement supérieur et les systèmes d’admission des étudiants —</w:t>
            </w:r>
          </w:p>
          <w:p w14:paraId="353406C8" w14:textId="1DDDA508" w:rsidR="00FA40E8" w:rsidRDefault="00E74AE8">
            <w:pPr>
              <w:pStyle w:val="P68B1DB1-Normal12"/>
              <w:spacing w:before="60" w:after="60"/>
              <w:rPr>
                <w:rFonts w:cs="Times New Roman"/>
                <w:noProof/>
              </w:rPr>
            </w:pPr>
            <w:r>
              <w:rPr>
                <w:noProof/>
              </w:rPr>
              <w:t>E.1.1.2. Un réseau d’enseignement supérieur effi</w:t>
            </w:r>
            <w:r>
              <w:rPr>
                <w:noProof/>
              </w:rPr>
              <w:t>cace en affinant les missions des universités et des établissements d’enseignement supérieur</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4E6F2" w14:textId="77777777" w:rsidR="00FA40E8" w:rsidRDefault="00E74AE8">
            <w:pPr>
              <w:pStyle w:val="P68B1DB1-Normal12"/>
              <w:spacing w:before="60" w:after="60"/>
              <w:jc w:val="center"/>
              <w:rPr>
                <w:rFonts w:cs="Times New Roman"/>
                <w:noProof/>
              </w:rPr>
            </w:pPr>
            <w:r>
              <w:rPr>
                <w:noProof/>
              </w:rPr>
              <w:t>Étape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4CA5E8" w14:textId="77777777" w:rsidR="00FA40E8" w:rsidRDefault="00E74AE8">
            <w:pPr>
              <w:pStyle w:val="P68B1DB1-Normal12"/>
              <w:spacing w:before="60" w:after="60"/>
              <w:rPr>
                <w:rFonts w:cs="Times New Roman"/>
                <w:noProof/>
              </w:rPr>
            </w:pPr>
            <w:r>
              <w:rPr>
                <w:noProof/>
              </w:rPr>
              <w:t>Entrée en vigueur de la loi modifiée sur la recherche et les études, modifiant le système de financement et d’inscription dans l’enseignement supérieur</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85A6E0" w14:textId="77777777" w:rsidR="00FA40E8" w:rsidRDefault="00E74AE8">
            <w:pPr>
              <w:pStyle w:val="P68B1DB1-Normal12"/>
              <w:spacing w:before="60" w:after="60"/>
              <w:rPr>
                <w:rFonts w:eastAsia="Times New Roman" w:cs="Times New Roman"/>
                <w:noProof/>
              </w:rPr>
            </w:pPr>
            <w:r>
              <w:rPr>
                <w:noProof/>
              </w:rPr>
              <w:t>Entré</w:t>
            </w:r>
            <w:r>
              <w:rPr>
                <w:noProof/>
              </w:rPr>
              <w:t>e en vigueur de la législation</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5FA0EF" w14:textId="496AAFBC"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ADEE8E" w14:textId="3808ECA1" w:rsidR="00FA40E8" w:rsidRDefault="00FA40E8">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A58FA1" w14:textId="771D3F0E"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840FB9" w14:textId="77777777" w:rsidR="00FA40E8" w:rsidRDefault="00E74AE8">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5BE5FA" w14:textId="77777777" w:rsidR="00FA40E8" w:rsidRDefault="00E74AE8">
            <w:pPr>
              <w:pStyle w:val="P68B1DB1-Normal12"/>
              <w:spacing w:before="60" w:after="60"/>
              <w:jc w:val="center"/>
              <w:rPr>
                <w:rFonts w:cs="Times New Roman"/>
                <w:noProof/>
              </w:rPr>
            </w:pPr>
            <w:r>
              <w:rPr>
                <w:noProof/>
              </w:rPr>
              <w:t>2023</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92553" w14:textId="05E59EC8" w:rsidR="00FA40E8" w:rsidRDefault="00E74AE8">
            <w:pPr>
              <w:pStyle w:val="P68B1DB1-Normal12"/>
              <w:spacing w:before="60" w:after="60"/>
              <w:jc w:val="both"/>
              <w:rPr>
                <w:rFonts w:cs="Times New Roman"/>
                <w:noProof/>
              </w:rPr>
            </w:pPr>
            <w:r>
              <w:rPr>
                <w:noProof/>
              </w:rPr>
              <w:t>Entrée en vigueur de la loi modifiée sur la recherche et les études, qui:</w:t>
            </w:r>
          </w:p>
          <w:p w14:paraId="7AC71F17" w14:textId="77777777" w:rsidR="00FA40E8" w:rsidRDefault="00E74AE8">
            <w:pPr>
              <w:pStyle w:val="P68B1DB1-Normal12"/>
              <w:spacing w:before="60" w:after="60"/>
              <w:jc w:val="both"/>
              <w:rPr>
                <w:rFonts w:cs="Times New Roman"/>
                <w:noProof/>
              </w:rPr>
            </w:pPr>
            <w:r>
              <w:rPr>
                <w:noProof/>
              </w:rPr>
              <w:t xml:space="preserve">— établir une harmonisation vers le haut des exigences minimales pour l’accès aux places d’étude financées ou non par des fonds publics, </w:t>
            </w:r>
          </w:p>
          <w:p w14:paraId="4400A30D" w14:textId="77777777" w:rsidR="00FA40E8" w:rsidRDefault="00E74AE8">
            <w:pPr>
              <w:pStyle w:val="P68B1DB1-Normal12"/>
              <w:spacing w:before="60" w:after="60"/>
              <w:jc w:val="both"/>
              <w:rPr>
                <w:rFonts w:cs="Times New Roman"/>
                <w:noProof/>
              </w:rPr>
            </w:pPr>
            <w:r>
              <w:rPr>
                <w:noProof/>
              </w:rPr>
              <w:t xml:space="preserve">— </w:t>
            </w:r>
            <w:r>
              <w:rPr>
                <w:noProof/>
              </w:rPr>
              <w:t>introduit une nouvelle structure de financement pour les activités d’enseignement supérieur (financement de base, financement des objectifs stratégiques, financement supplémentaire pour les indicateurs qualitatifs),</w:t>
            </w:r>
          </w:p>
          <w:p w14:paraId="677C0090" w14:textId="77777777" w:rsidR="00FA40E8" w:rsidRDefault="00E74AE8">
            <w:pPr>
              <w:pStyle w:val="P68B1DB1-Normal12"/>
              <w:spacing w:before="60" w:after="60"/>
              <w:jc w:val="both"/>
              <w:rPr>
                <w:rFonts w:cs="Times New Roman"/>
                <w:noProof/>
              </w:rPr>
            </w:pPr>
            <w:r>
              <w:rPr>
                <w:noProof/>
              </w:rPr>
              <w:t>— définir les missions des universités e</w:t>
            </w:r>
            <w:r>
              <w:rPr>
                <w:noProof/>
              </w:rPr>
              <w:t xml:space="preserve">t des établissements d’enseignement supérieur (quelles exigences qualitatives doivent être remplies par les deux types d’établissements, ce qui distingue les établissements d’enseignement supérieur des universités), </w:t>
            </w:r>
          </w:p>
          <w:p w14:paraId="1B2E8229" w14:textId="77777777" w:rsidR="00FA40E8" w:rsidRDefault="00E74AE8">
            <w:pPr>
              <w:pStyle w:val="P68B1DB1-Normal12"/>
              <w:spacing w:before="60" w:after="60"/>
              <w:jc w:val="both"/>
              <w:rPr>
                <w:rFonts w:cs="Times New Roman"/>
                <w:noProof/>
              </w:rPr>
            </w:pPr>
            <w:r>
              <w:rPr>
                <w:noProof/>
              </w:rPr>
              <w:t>— encourager la coopération des établis</w:t>
            </w:r>
            <w:r>
              <w:rPr>
                <w:noProof/>
              </w:rPr>
              <w:t>sements d’enseignement supérieur,</w:t>
            </w:r>
          </w:p>
          <w:p w14:paraId="3EAC477F" w14:textId="55091308" w:rsidR="00FA40E8" w:rsidRDefault="00E74AE8">
            <w:pPr>
              <w:pStyle w:val="P68B1DB1-Normal12"/>
              <w:spacing w:before="60" w:after="60"/>
              <w:jc w:val="both"/>
              <w:rPr>
                <w:rFonts w:cs="Times New Roman"/>
                <w:noProof/>
              </w:rPr>
            </w:pPr>
            <w:r>
              <w:rPr>
                <w:noProof/>
              </w:rPr>
              <w:t xml:space="preserve">— accroître le volet «financement» des activités de R &amp; D dans la structure de financement de l’enseignement supérieur. </w:t>
            </w:r>
          </w:p>
          <w:p w14:paraId="6A25454D" w14:textId="77777777" w:rsidR="00FA40E8" w:rsidRDefault="00E74AE8">
            <w:pPr>
              <w:pStyle w:val="P68B1DB1-Normal12"/>
              <w:spacing w:before="60" w:after="60"/>
              <w:jc w:val="both"/>
              <w:rPr>
                <w:rFonts w:eastAsia="Times New Roman" w:cs="Times New Roman"/>
                <w:noProof/>
              </w:rPr>
            </w:pPr>
            <w:r>
              <w:rPr>
                <w:noProof/>
              </w:rPr>
              <w:t>Les conditions minimales d’admission des étudiants sont harmonisées à la hausse et ne sont pas affaib</w:t>
            </w:r>
            <w:r>
              <w:rPr>
                <w:noProof/>
              </w:rPr>
              <w:t>lies par la modification. Les nouveaux critères applicables aux établissements d’enseignement supérieur et aux universités sont fixés de manière objective, indépendante et suffisamment élevée. Le rôle des évaluations externes est renforcé. Les modification</w:t>
            </w:r>
            <w:r>
              <w:rPr>
                <w:noProof/>
              </w:rPr>
              <w:t>s juridiques favorisent la coopération et la consolidation des ressources dans le secteur de l’enseignement supérieur.</w:t>
            </w:r>
          </w:p>
        </w:tc>
      </w:tr>
      <w:tr w:rsidR="00FA40E8" w14:paraId="7EDF23B1"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AE8D0F" w14:textId="77777777" w:rsidR="00FA40E8" w:rsidRDefault="00E74AE8">
            <w:pPr>
              <w:pStyle w:val="P68B1DB1-Normal12"/>
              <w:spacing w:before="60" w:after="60"/>
              <w:jc w:val="center"/>
              <w:rPr>
                <w:rFonts w:cs="Times New Roman"/>
                <w:noProof/>
              </w:rPr>
            </w:pPr>
            <w:r>
              <w:rPr>
                <w:noProof/>
              </w:rPr>
              <w:t>123</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C7A490" w14:textId="32DC026B" w:rsidR="00FA40E8" w:rsidRDefault="00E74AE8">
            <w:pPr>
              <w:pStyle w:val="P68B1DB1-Normal12"/>
              <w:spacing w:before="60" w:after="60"/>
              <w:rPr>
                <w:noProof/>
              </w:rPr>
            </w:pPr>
            <w:r>
              <w:rPr>
                <w:noProof/>
              </w:rPr>
              <w:t xml:space="preserve">E.1.1. Un enseignement supérieur de qualité et des établissements d’enseignement supérieur solides — </w:t>
            </w:r>
          </w:p>
          <w:p w14:paraId="68665B21" w14:textId="40AA7F5D" w:rsidR="00FA40E8" w:rsidRDefault="00E74AE8">
            <w:pPr>
              <w:pStyle w:val="P68B1DB1-Normal12"/>
              <w:spacing w:before="60" w:after="60"/>
              <w:rPr>
                <w:rFonts w:cs="Times New Roman"/>
                <w:noProof/>
              </w:rPr>
            </w:pPr>
            <w:r>
              <w:rPr>
                <w:noProof/>
              </w:rPr>
              <w:t xml:space="preserve">E.1.1.2. Un réseau </w:t>
            </w:r>
            <w:r>
              <w:rPr>
                <w:noProof/>
              </w:rPr>
              <w:t>d’enseignement supérieur efficace en affinant les missions des universités et des établissements d’enseignement supérieur</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2E34B" w14:textId="77777777" w:rsidR="00FA40E8" w:rsidRDefault="00E74AE8">
            <w:pPr>
              <w:pStyle w:val="P68B1DB1-Normal12"/>
              <w:spacing w:before="60" w:after="60"/>
              <w:jc w:val="center"/>
              <w:rPr>
                <w:rFonts w:cs="Times New Roman"/>
                <w:noProof/>
              </w:rPr>
            </w:pPr>
            <w:r>
              <w:rPr>
                <w:noProof/>
              </w:rPr>
              <w:t>Objectif</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969A14" w14:textId="48677265" w:rsidR="00FA40E8" w:rsidRDefault="00E74AE8">
            <w:pPr>
              <w:pStyle w:val="P68B1DB1-Normal12"/>
              <w:spacing w:before="60" w:after="60"/>
              <w:rPr>
                <w:rFonts w:cs="Times New Roman"/>
                <w:noProof/>
              </w:rPr>
            </w:pPr>
            <w:r>
              <w:rPr>
                <w:noProof/>
              </w:rPr>
              <w:t>Fusions collégiales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A19EF9" w14:textId="06C9E567" w:rsidR="00FA40E8" w:rsidRDefault="00FA40E8">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5C88A7" w14:textId="77777777" w:rsidR="00FA40E8" w:rsidRDefault="00E74AE8">
            <w:pPr>
              <w:pStyle w:val="P68B1DB1-Normal12"/>
              <w:spacing w:before="60" w:after="60"/>
              <w:jc w:val="center"/>
              <w:rPr>
                <w:rFonts w:cs="Times New Roman"/>
                <w:noProof/>
              </w:rPr>
            </w:pPr>
            <w:r>
              <w:rPr>
                <w:noProof/>
              </w:rPr>
              <w:t>Nombre</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F35279" w14:textId="77777777" w:rsidR="00FA40E8" w:rsidRDefault="00E74AE8">
            <w:pPr>
              <w:pStyle w:val="P68B1DB1-Normal12"/>
              <w:spacing w:before="60" w:after="60"/>
              <w:jc w:val="center"/>
              <w:rPr>
                <w:rFonts w:cs="Times New Roman"/>
                <w:noProof/>
              </w:rPr>
            </w:pPr>
            <w:r>
              <w:rPr>
                <w:noProof/>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AFC3B2" w14:textId="3D7D9C63" w:rsidR="00FA40E8" w:rsidRDefault="00E74AE8">
            <w:pPr>
              <w:pStyle w:val="P68B1DB1-Normal12"/>
              <w:spacing w:before="60" w:after="60"/>
              <w:jc w:val="center"/>
              <w:rPr>
                <w:rFonts w:cs="Times New Roman"/>
                <w:noProof/>
              </w:rPr>
            </w:pPr>
            <w:r>
              <w:rPr>
                <w:noProof/>
              </w:rPr>
              <w:t>4</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F37868" w14:textId="16E55B48" w:rsidR="00FA40E8" w:rsidRDefault="00E74AE8">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5EE142" w14:textId="715D9FD4" w:rsidR="00FA40E8" w:rsidRDefault="00E74AE8">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F472A6" w14:textId="596CB39C" w:rsidR="00FA40E8" w:rsidRDefault="00E74AE8">
            <w:pPr>
              <w:pStyle w:val="P68B1DB1-Normal12"/>
              <w:spacing w:before="60" w:after="60"/>
              <w:jc w:val="both"/>
              <w:rPr>
                <w:rFonts w:eastAsia="Times New Roman" w:cs="Times New Roman"/>
                <w:noProof/>
              </w:rPr>
            </w:pPr>
            <w:r>
              <w:rPr>
                <w:noProof/>
              </w:rPr>
              <w:t>Quatre fusions collégiales impliquant au moins deux entités ont lieu. Celles-ci: cons</w:t>
            </w:r>
            <w:r>
              <w:rPr>
                <w:noProof/>
              </w:rPr>
              <w:t xml:space="preserve">olider les programmes d’études existants, intégrer les fonctions et processus de soutien administratif et universitaire et optimiser l’infrastructure utilisée. </w:t>
            </w:r>
          </w:p>
        </w:tc>
      </w:tr>
      <w:tr w:rsidR="00FA40E8" w14:paraId="25A0EA9E"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6931E3" w14:textId="77777777" w:rsidR="00FA40E8" w:rsidRDefault="00E74AE8">
            <w:pPr>
              <w:pStyle w:val="P68B1DB1-Normal12"/>
              <w:spacing w:before="60" w:after="60"/>
              <w:jc w:val="center"/>
              <w:rPr>
                <w:rFonts w:cs="Times New Roman"/>
                <w:noProof/>
              </w:rPr>
            </w:pPr>
            <w:r>
              <w:rPr>
                <w:noProof/>
              </w:rPr>
              <w:t>124</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38A162" w14:textId="422A2CDB" w:rsidR="00FA40E8" w:rsidRDefault="00E74AE8">
            <w:pPr>
              <w:pStyle w:val="P68B1DB1-Normal12"/>
              <w:spacing w:before="60" w:after="60"/>
              <w:rPr>
                <w:noProof/>
              </w:rPr>
            </w:pPr>
            <w:r>
              <w:rPr>
                <w:noProof/>
              </w:rPr>
              <w:t xml:space="preserve">E.1.1. Un enseignement supérieur de qualité et des établissements d’enseignement supérieur solides — </w:t>
            </w:r>
          </w:p>
          <w:p w14:paraId="4BABC395" w14:textId="67E4EC19" w:rsidR="00FA40E8" w:rsidRDefault="00E74AE8">
            <w:pPr>
              <w:pStyle w:val="P68B1DB1-Normal12"/>
              <w:spacing w:before="60" w:after="60"/>
              <w:rPr>
                <w:rFonts w:cs="Times New Roman"/>
                <w:noProof/>
              </w:rPr>
            </w:pPr>
            <w:r>
              <w:rPr>
                <w:noProof/>
              </w:rPr>
              <w:t>E.1.1.3. Renforcer la compétitivité internationale des établissements d’enseignement supérieur</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7AF71C" w14:textId="77777777" w:rsidR="00FA40E8" w:rsidRDefault="00E74AE8">
            <w:pPr>
              <w:pStyle w:val="P68B1DB1-Normal12"/>
              <w:spacing w:before="60" w:after="60"/>
              <w:jc w:val="center"/>
              <w:rPr>
                <w:rFonts w:cs="Times New Roman"/>
                <w:noProof/>
              </w:rPr>
            </w:pPr>
            <w:r>
              <w:rPr>
                <w:noProof/>
              </w:rPr>
              <w:t>Objectif</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66A7B0" w14:textId="77777777" w:rsidR="00FA40E8" w:rsidRDefault="00E74AE8">
            <w:pPr>
              <w:pStyle w:val="P68B1DB1-Normal12"/>
              <w:spacing w:before="60" w:after="60"/>
              <w:rPr>
                <w:rFonts w:cs="Times New Roman"/>
                <w:noProof/>
              </w:rPr>
            </w:pPr>
            <w:r>
              <w:rPr>
                <w:noProof/>
              </w:rPr>
              <w:t>Nombre de projets d’internationalisation achevés p</w:t>
            </w:r>
            <w:r>
              <w:rPr>
                <w:noProof/>
              </w:rPr>
              <w:t>ar des établissements d’enseignement supérieur</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3C05D1" w14:textId="2A305B9B" w:rsidR="00FA40E8" w:rsidRDefault="00FA40E8">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81EEF" w14:textId="77777777" w:rsidR="00FA40E8" w:rsidRDefault="00E74AE8">
            <w:pPr>
              <w:pStyle w:val="P68B1DB1-Normal12"/>
              <w:spacing w:before="60" w:after="60"/>
              <w:jc w:val="center"/>
              <w:rPr>
                <w:rFonts w:cs="Times New Roman"/>
                <w:noProof/>
              </w:rPr>
            </w:pPr>
            <w:r>
              <w:rPr>
                <w:noProof/>
              </w:rPr>
              <w:t>Nombre</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8781FA" w14:textId="77777777" w:rsidR="00FA40E8" w:rsidRDefault="00E74AE8">
            <w:pPr>
              <w:pStyle w:val="P68B1DB1-Normal12"/>
              <w:spacing w:before="60" w:after="60"/>
              <w:jc w:val="center"/>
              <w:rPr>
                <w:rFonts w:cs="Times New Roman"/>
                <w:noProof/>
              </w:rPr>
            </w:pPr>
            <w:r>
              <w:rPr>
                <w:noProof/>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9234C6" w14:textId="389BD831" w:rsidR="00FA40E8" w:rsidRDefault="00E74AE8">
            <w:pPr>
              <w:pStyle w:val="P68B1DB1-Normal12"/>
              <w:spacing w:before="60" w:after="60"/>
              <w:jc w:val="center"/>
              <w:rPr>
                <w:rFonts w:cs="Times New Roman"/>
                <w:noProof/>
              </w:rPr>
            </w:pPr>
            <w:r>
              <w:rPr>
                <w:noProof/>
              </w:rPr>
              <w:t>5</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FF91C8" w14:textId="77777777" w:rsidR="00FA40E8" w:rsidRDefault="00E74AE8">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887741" w14:textId="77777777" w:rsidR="00FA40E8" w:rsidRDefault="00E74AE8">
            <w:pPr>
              <w:pStyle w:val="P68B1DB1-Normal12"/>
              <w:spacing w:before="60" w:after="60"/>
              <w:jc w:val="center"/>
              <w:rPr>
                <w:rFonts w:cs="Times New Roman"/>
                <w:noProof/>
              </w:rPr>
            </w:pPr>
            <w:r>
              <w:rPr>
                <w:noProof/>
              </w:rPr>
              <w:t>2024</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53CB09" w14:textId="158DD8AE" w:rsidR="00FA40E8" w:rsidRDefault="00E74AE8">
            <w:pPr>
              <w:pStyle w:val="P68B1DB1-Normal12"/>
              <w:spacing w:before="60" w:after="60"/>
              <w:jc w:val="both"/>
              <w:rPr>
                <w:rFonts w:eastAsia="Times New Roman" w:cs="Times New Roman"/>
                <w:noProof/>
              </w:rPr>
            </w:pPr>
            <w:r>
              <w:rPr>
                <w:noProof/>
              </w:rPr>
              <w:t>Cinq projets seront menés à bien par des établissements d’enseignement supérieur conçus pour offrir aux étudiants davantage d’activités internationales, attirer davantage d’étudiants, attir</w:t>
            </w:r>
            <w:r>
              <w:rPr>
                <w:noProof/>
              </w:rPr>
              <w:t>er des étudiants étrangers et des professeurs/scientifiques étrangers; développer la conception et la mise en œuvre de programmes de diplômes communs et doubles; développer la fourniture de services virtuels; améliorer la qualité des études et élargir l’of</w:t>
            </w:r>
            <w:r>
              <w:rPr>
                <w:noProof/>
              </w:rPr>
              <w:t>fre. Les bénéficiaires sont choisis par procédure d’appel à propositions.</w:t>
            </w:r>
          </w:p>
        </w:tc>
      </w:tr>
      <w:tr w:rsidR="00FA40E8" w14:paraId="26FC523F"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57AC7" w14:textId="77777777" w:rsidR="00FA40E8" w:rsidRDefault="00E74AE8">
            <w:pPr>
              <w:pStyle w:val="P68B1DB1-Normal12"/>
              <w:spacing w:before="60" w:after="60"/>
              <w:jc w:val="center"/>
              <w:rPr>
                <w:rFonts w:cs="Times New Roman"/>
                <w:noProof/>
              </w:rPr>
            </w:pPr>
            <w:r>
              <w:rPr>
                <w:noProof/>
              </w:rPr>
              <w:t>125</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D1E2E3" w14:textId="21146F6C" w:rsidR="00FA40E8" w:rsidRDefault="00E74AE8">
            <w:pPr>
              <w:pStyle w:val="P68B1DB1-Normal12"/>
              <w:spacing w:before="60" w:after="60"/>
              <w:rPr>
                <w:noProof/>
              </w:rPr>
            </w:pPr>
            <w:r>
              <w:rPr>
                <w:noProof/>
              </w:rPr>
              <w:t xml:space="preserve">E.1.1. Un enseignement supérieur de qualité et des établissements d’enseignement supérieur solides — </w:t>
            </w:r>
          </w:p>
          <w:p w14:paraId="4F53F3CB" w14:textId="544268B4" w:rsidR="00FA40E8" w:rsidRDefault="00E74AE8">
            <w:pPr>
              <w:pStyle w:val="P68B1DB1-Normal12"/>
              <w:spacing w:before="60" w:after="60"/>
              <w:rPr>
                <w:rFonts w:cs="Times New Roman"/>
                <w:noProof/>
              </w:rPr>
            </w:pPr>
            <w:r>
              <w:rPr>
                <w:noProof/>
              </w:rPr>
              <w:t xml:space="preserve">E.1.1.3. Renforcer la compétitivité internationale des établissements </w:t>
            </w:r>
            <w:r>
              <w:rPr>
                <w:noProof/>
              </w:rPr>
              <w:t>d’enseignement supérieur</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C81DE" w14:textId="77777777" w:rsidR="00FA40E8" w:rsidRDefault="00E74AE8">
            <w:pPr>
              <w:pStyle w:val="P68B1DB1-Normal12"/>
              <w:spacing w:before="60" w:after="60"/>
              <w:jc w:val="center"/>
              <w:rPr>
                <w:rFonts w:cs="Times New Roman"/>
                <w:noProof/>
              </w:rPr>
            </w:pPr>
            <w:r>
              <w:rPr>
                <w:noProof/>
              </w:rPr>
              <w:t>Objectif</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CF1AA8" w14:textId="77777777" w:rsidR="00FA40E8" w:rsidRDefault="00E74AE8">
            <w:pPr>
              <w:pStyle w:val="P68B1DB1-Normal12"/>
              <w:spacing w:before="60" w:after="60"/>
              <w:rPr>
                <w:rFonts w:cs="Times New Roman"/>
                <w:noProof/>
              </w:rPr>
            </w:pPr>
            <w:r>
              <w:rPr>
                <w:noProof/>
              </w:rPr>
              <w:t>Nombre de personnes ayant bénéficié d’une aide à l’intégration des étudiants étrangers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3E8648" w14:textId="77777777" w:rsidR="00FA40E8" w:rsidRDefault="00FA40E8">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B25DB0" w14:textId="77777777" w:rsidR="00FA40E8" w:rsidRDefault="00E74AE8">
            <w:pPr>
              <w:pStyle w:val="P68B1DB1-Normal12"/>
              <w:spacing w:before="60" w:after="60"/>
              <w:jc w:val="center"/>
              <w:rPr>
                <w:rFonts w:cs="Times New Roman"/>
                <w:noProof/>
              </w:rPr>
            </w:pPr>
            <w:r>
              <w:rPr>
                <w:noProof/>
              </w:rPr>
              <w:t>Nombre</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C0E122" w14:textId="77777777" w:rsidR="00FA40E8" w:rsidRDefault="00E74AE8">
            <w:pPr>
              <w:pStyle w:val="P68B1DB1-Normal12"/>
              <w:spacing w:before="60" w:after="60"/>
              <w:jc w:val="center"/>
              <w:rPr>
                <w:rFonts w:cs="Times New Roman"/>
                <w:noProof/>
              </w:rPr>
            </w:pPr>
            <w:r>
              <w:rPr>
                <w:noProof/>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9B808" w14:textId="7DBE53E3" w:rsidR="00FA40E8" w:rsidRDefault="00E74AE8">
            <w:pPr>
              <w:pStyle w:val="P68B1DB1-Normal12"/>
              <w:spacing w:before="60" w:after="60"/>
              <w:jc w:val="center"/>
              <w:rPr>
                <w:rFonts w:cs="Times New Roman"/>
                <w:noProof/>
              </w:rPr>
            </w:pPr>
            <w:r>
              <w:rPr>
                <w:noProof/>
              </w:rPr>
              <w:t>250</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5ED36" w14:textId="77777777" w:rsidR="00FA40E8" w:rsidRDefault="00E74AE8">
            <w:pPr>
              <w:pStyle w:val="P68B1DB1-Normal12"/>
              <w:spacing w:before="60" w:after="60"/>
              <w:jc w:val="center"/>
              <w:rPr>
                <w:rFonts w:cs="Times New Roman"/>
                <w:noProof/>
              </w:rPr>
            </w:pPr>
            <w:r>
              <w:rPr>
                <w:noProof/>
              </w:rPr>
              <w:t>T4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4A1673" w14:textId="21A2C432" w:rsidR="00FA40E8" w:rsidRDefault="00E74AE8">
            <w:pPr>
              <w:pStyle w:val="P68B1DB1-Normal12"/>
              <w:spacing w:before="60" w:after="60"/>
              <w:jc w:val="center"/>
              <w:rPr>
                <w:rFonts w:cs="Times New Roman"/>
                <w:noProof/>
              </w:rPr>
            </w:pPr>
            <w:r>
              <w:rPr>
                <w:noProof/>
              </w:rPr>
              <w:t>2024</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4BE77C" w14:textId="1448831E" w:rsidR="00FA40E8" w:rsidRDefault="00E74AE8">
            <w:pPr>
              <w:pStyle w:val="P68B1DB1-Normal12"/>
              <w:spacing w:before="60" w:after="60"/>
              <w:jc w:val="both"/>
              <w:rPr>
                <w:rFonts w:eastAsia="Times New Roman" w:cs="Times New Roman"/>
                <w:noProof/>
              </w:rPr>
            </w:pPr>
            <w:r>
              <w:rPr>
                <w:noProof/>
              </w:rPr>
              <w:t>250 étudiants étrangers ont reçu des bourses pour leur intégration. Des bourses sont proposées aux étudiants du p</w:t>
            </w:r>
            <w:r>
              <w:rPr>
                <w:noProof/>
              </w:rPr>
              <w:t>remier, du deuxième cycle et intégrés qui viennent étudier en Lituanie.</w:t>
            </w:r>
          </w:p>
        </w:tc>
      </w:tr>
      <w:tr w:rsidR="00FA40E8" w14:paraId="3A6D0204"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EBF854" w14:textId="77777777" w:rsidR="00FA40E8" w:rsidRDefault="00E74AE8">
            <w:pPr>
              <w:pStyle w:val="P68B1DB1-Normal12"/>
              <w:spacing w:before="60" w:after="60"/>
              <w:jc w:val="center"/>
              <w:rPr>
                <w:rFonts w:cs="Times New Roman"/>
                <w:noProof/>
              </w:rPr>
            </w:pPr>
            <w:r>
              <w:rPr>
                <w:noProof/>
              </w:rPr>
              <w:t>126</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6877F9" w14:textId="1F5265E5" w:rsidR="00FA40E8" w:rsidRDefault="00E74AE8">
            <w:pPr>
              <w:pStyle w:val="P68B1DB1-Normal12"/>
              <w:spacing w:before="60" w:after="60"/>
              <w:rPr>
                <w:noProof/>
              </w:rPr>
            </w:pPr>
            <w:r>
              <w:rPr>
                <w:noProof/>
              </w:rPr>
              <w:t xml:space="preserve">E.1.1. Un enseignement supérieur de qualité et des établissements d’enseignement supérieur solides </w:t>
            </w:r>
          </w:p>
          <w:p w14:paraId="4FA28642" w14:textId="274CA94F" w:rsidR="00FA40E8" w:rsidRDefault="00E74AE8">
            <w:pPr>
              <w:pStyle w:val="P68B1DB1-Normal12"/>
              <w:spacing w:before="60" w:after="60"/>
              <w:rPr>
                <w:rFonts w:cs="Times New Roman"/>
                <w:noProof/>
              </w:rPr>
            </w:pPr>
            <w:r>
              <w:rPr>
                <w:noProof/>
              </w:rPr>
              <w:t xml:space="preserve">E.1.1.4. Promotion systématique de la R &amp; D dans les établissements </w:t>
            </w:r>
            <w:r>
              <w:rPr>
                <w:noProof/>
              </w:rPr>
              <w:t>d’enseignement supérieur et analyse de la recherche</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05605A" w14:textId="77777777" w:rsidR="00FA40E8" w:rsidRDefault="00E74AE8">
            <w:pPr>
              <w:pStyle w:val="P68B1DB1-Normal12"/>
              <w:spacing w:before="60" w:after="60"/>
              <w:jc w:val="center"/>
              <w:rPr>
                <w:rFonts w:cs="Times New Roman"/>
                <w:noProof/>
              </w:rPr>
            </w:pPr>
            <w:r>
              <w:rPr>
                <w:noProof/>
              </w:rPr>
              <w:t>Étape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4E3662" w14:textId="77777777" w:rsidR="00FA40E8" w:rsidRDefault="00E74AE8">
            <w:pPr>
              <w:pStyle w:val="P68B1DB1-Normal12"/>
              <w:spacing w:before="60" w:after="60"/>
              <w:rPr>
                <w:rFonts w:cs="Times New Roman"/>
                <w:noProof/>
              </w:rPr>
            </w:pPr>
            <w:r>
              <w:rPr>
                <w:noProof/>
              </w:rPr>
              <w:t>Entrée en vigueur de l’acte juridique établissant l’agence chargée de la mise en œuvre de la politique scientifique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8937B4" w14:textId="77777777" w:rsidR="00FA40E8" w:rsidRDefault="00E74AE8">
            <w:pPr>
              <w:pStyle w:val="P68B1DB1-Normal12"/>
              <w:spacing w:before="60" w:after="60"/>
              <w:rPr>
                <w:rFonts w:eastAsia="Times New Roman" w:cs="Times New Roman"/>
                <w:noProof/>
              </w:rPr>
            </w:pPr>
            <w:r>
              <w:rPr>
                <w:noProof/>
              </w:rPr>
              <w:t xml:space="preserve">Entrée en vigueur de la législation </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AAFAA" w14:textId="1AA7ED7B"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A1B3DF" w14:textId="758F6F26" w:rsidR="00FA40E8" w:rsidRDefault="00FA40E8">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7E44CE" w14:textId="5C990631"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228807" w14:textId="77777777" w:rsidR="00FA40E8" w:rsidRDefault="00E74AE8">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C92B50" w14:textId="77777777" w:rsidR="00FA40E8" w:rsidRDefault="00E74AE8">
            <w:pPr>
              <w:pStyle w:val="P68B1DB1-Normal12"/>
              <w:spacing w:before="60" w:after="60"/>
              <w:jc w:val="center"/>
              <w:rPr>
                <w:rFonts w:cs="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25DCFE" w14:textId="582BF278" w:rsidR="00FA40E8" w:rsidRDefault="00E74AE8">
            <w:pPr>
              <w:pStyle w:val="P68B1DB1-Normal12"/>
              <w:spacing w:before="60" w:after="60"/>
              <w:jc w:val="both"/>
              <w:rPr>
                <w:rFonts w:eastAsia="Times New Roman" w:cs="Times New Roman"/>
                <w:noProof/>
              </w:rPr>
            </w:pPr>
            <w:r>
              <w:rPr>
                <w:noProof/>
              </w:rPr>
              <w:t>Entrée en vigueur de l’acte juridi</w:t>
            </w:r>
            <w:r>
              <w:rPr>
                <w:noProof/>
              </w:rPr>
              <w:t>que sur les responsabilités, les fonctions et les activités de l’agence chargée de la mise en œuvre de la politique scientifique (relevant du ministère de l’éducation, des sciences et des sports ou du gouvernement de la République de Lituanie), qui contien</w:t>
            </w:r>
            <w:r>
              <w:rPr>
                <w:noProof/>
              </w:rPr>
              <w:t>t des dispositions relatives à l’agence et à la date de début.</w:t>
            </w:r>
          </w:p>
          <w:p w14:paraId="529BB49E" w14:textId="77777777" w:rsidR="00FA40E8" w:rsidRDefault="00E74AE8">
            <w:pPr>
              <w:pStyle w:val="P68B1DB1-Normal12"/>
              <w:spacing w:before="60" w:after="60"/>
              <w:jc w:val="both"/>
              <w:rPr>
                <w:rFonts w:eastAsia="Times New Roman" w:cs="Times New Roman"/>
                <w:noProof/>
              </w:rPr>
            </w:pPr>
            <w:r>
              <w:rPr>
                <w:noProof/>
              </w:rPr>
              <w:t>Toutes les infrastructures nécessaires au fonctionnement de l’agence chargée de la mise en œuvre de la politique scientifique sont créées. L’agence chargée de la mise en œuvre de la politique s</w:t>
            </w:r>
            <w:r>
              <w:rPr>
                <w:noProof/>
              </w:rPr>
              <w:t>cientifique devrait promouvoir une participation plus active des candidats lituaniens aux programmes européens et internationaux de R &amp; D &amp; I, développer les compétences scientifiques dans le secteur public et développer l’analyse à long terme des processu</w:t>
            </w:r>
            <w:r>
              <w:rPr>
                <w:noProof/>
              </w:rPr>
              <w:t>s de recherche et d’étude.</w:t>
            </w:r>
          </w:p>
        </w:tc>
      </w:tr>
      <w:tr w:rsidR="00FA40E8" w14:paraId="63DBA359"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2D85" w14:textId="77777777" w:rsidR="00FA40E8" w:rsidRDefault="00E74AE8">
            <w:pPr>
              <w:pStyle w:val="P68B1DB1-Normal12"/>
              <w:spacing w:before="60" w:after="60"/>
              <w:jc w:val="center"/>
              <w:rPr>
                <w:rFonts w:cs="Times New Roman"/>
                <w:noProof/>
              </w:rPr>
            </w:pPr>
            <w:r>
              <w:rPr>
                <w:noProof/>
              </w:rPr>
              <w:t>127</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3F765AB" w14:textId="4307F9BD" w:rsidR="00FA40E8" w:rsidRDefault="00E74AE8">
            <w:pPr>
              <w:pStyle w:val="P68B1DB1-Normal12"/>
              <w:spacing w:before="60" w:after="60"/>
              <w:rPr>
                <w:noProof/>
              </w:rPr>
            </w:pPr>
            <w:r>
              <w:rPr>
                <w:noProof/>
              </w:rPr>
              <w:t xml:space="preserve">E.1.2. Mise en œuvre efficace de la politique d’innovation, augmentation de la demande d’innovation, soutien à l’écosystème des jeunes pousses et à l’innovation verte — </w:t>
            </w:r>
          </w:p>
          <w:p w14:paraId="46260788" w14:textId="6D30CB62" w:rsidR="00FA40E8" w:rsidRDefault="00E74AE8">
            <w:pPr>
              <w:pStyle w:val="P68B1DB1-Normal12"/>
              <w:spacing w:before="60" w:after="60"/>
              <w:rPr>
                <w:rFonts w:cs="Times New Roman"/>
                <w:noProof/>
              </w:rPr>
            </w:pPr>
            <w:r>
              <w:rPr>
                <w:noProof/>
              </w:rPr>
              <w:t xml:space="preserve">E.1.2.1. Mise en œuvre efficace de la politique </w:t>
            </w:r>
            <w:r>
              <w:rPr>
                <w:noProof/>
              </w:rPr>
              <w:t>d’innovation par la création d’une agence unique de promotion de l’innovation et l’optimisation du réseau des agences existantes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BFBB96F" w14:textId="77777777" w:rsidR="00FA40E8" w:rsidRDefault="00E74AE8">
            <w:pPr>
              <w:pStyle w:val="P68B1DB1-Normal12"/>
              <w:spacing w:before="60" w:after="60"/>
              <w:jc w:val="center"/>
              <w:rPr>
                <w:rFonts w:cs="Times New Roman"/>
                <w:noProof/>
              </w:rPr>
            </w:pPr>
            <w:r>
              <w:rPr>
                <w:noProof/>
              </w:rPr>
              <w:t>Étape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305BDAD" w14:textId="77777777" w:rsidR="00FA40E8" w:rsidRDefault="00E74AE8">
            <w:pPr>
              <w:pStyle w:val="P68B1DB1-Normal12"/>
              <w:spacing w:before="60" w:after="60"/>
              <w:rPr>
                <w:rFonts w:cs="Times New Roman"/>
                <w:noProof/>
              </w:rPr>
            </w:pPr>
            <w:r>
              <w:rPr>
                <w:noProof/>
              </w:rPr>
              <w:t>L’entrée en vigueur de la résolution du gouvernement portant création de l’Agence pour l’innovation et transfert des fonc</w:t>
            </w:r>
            <w:r>
              <w:rPr>
                <w:noProof/>
              </w:rPr>
              <w:t>tions de promotion de l’innovation d’autres agences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95DBC98" w14:textId="202D4C8B" w:rsidR="00FA40E8" w:rsidRDefault="00E74AE8">
            <w:pPr>
              <w:pStyle w:val="P68B1DB1-Normal12"/>
              <w:spacing w:before="60" w:after="60"/>
              <w:rPr>
                <w:rFonts w:cs="Times New Roman"/>
                <w:noProof/>
              </w:rPr>
            </w:pPr>
            <w:r>
              <w:rPr>
                <w:noProof/>
              </w:rPr>
              <w:t>Entrée en vigueur de la législation</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18D348" w14:textId="63B3BC34"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6E569D" w14:textId="5DA024E1" w:rsidR="00FA40E8" w:rsidRDefault="00FA40E8">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FD7643" w14:textId="04DE423F"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AECF25" w14:textId="77777777" w:rsidR="00FA40E8" w:rsidRDefault="00E74AE8">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14D7A02" w14:textId="77777777" w:rsidR="00FA40E8" w:rsidRDefault="00E74AE8">
            <w:pPr>
              <w:pStyle w:val="P68B1DB1-Normal12"/>
              <w:spacing w:before="60" w:after="60"/>
              <w:jc w:val="center"/>
              <w:rPr>
                <w:rFonts w:cs="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44E8813" w14:textId="77777777" w:rsidR="00FA40E8" w:rsidRDefault="00E74AE8">
            <w:pPr>
              <w:pStyle w:val="P68B1DB1-Normal12"/>
              <w:spacing w:before="60" w:after="60"/>
              <w:jc w:val="both"/>
              <w:rPr>
                <w:noProof/>
              </w:rPr>
            </w:pPr>
            <w:r>
              <w:rPr>
                <w:noProof/>
              </w:rPr>
              <w:t>L’agence pour l’innovation est créée dès l’entrée en vigueur de la résolution du gouvernement. Versli Lietuva sert de base à l’Agence pour l’innovation et le</w:t>
            </w:r>
            <w:r>
              <w:rPr>
                <w:noProof/>
              </w:rPr>
              <w:t>s fonctions et activités liées à l’innovation du MITA et de l’LVPA sont transférées à l’Agence pour l’innovation.</w:t>
            </w:r>
          </w:p>
          <w:p w14:paraId="03C72995" w14:textId="77777777" w:rsidR="00FA40E8" w:rsidRDefault="00E74AE8">
            <w:pPr>
              <w:pStyle w:val="P68B1DB1-Normal12"/>
              <w:spacing w:before="60" w:after="60"/>
              <w:jc w:val="both"/>
              <w:rPr>
                <w:noProof/>
              </w:rPr>
            </w:pPr>
            <w:r>
              <w:rPr>
                <w:noProof/>
              </w:rPr>
              <w:t>INVEGA coordonne ses activités en matière de financement de l’innovation avec l’Agence pour l’innovation.</w:t>
            </w:r>
          </w:p>
          <w:p w14:paraId="0A92E32B" w14:textId="5AC59F59" w:rsidR="00FA40E8" w:rsidRDefault="00E74AE8">
            <w:pPr>
              <w:pStyle w:val="P68B1DB1-Normal12"/>
              <w:spacing w:before="60" w:after="60"/>
              <w:jc w:val="both"/>
              <w:rPr>
                <w:noProof/>
              </w:rPr>
            </w:pPr>
            <w:r>
              <w:rPr>
                <w:noProof/>
              </w:rPr>
              <w:t>L’agence pour l’innovation intègre p</w:t>
            </w:r>
            <w:r>
              <w:rPr>
                <w:noProof/>
              </w:rPr>
              <w:t xml:space="preserve">leinement le centre lituanien de l’innovation (LIC) ou le LIC est réorganisé en retirant les droits de propriété des organismes publics. </w:t>
            </w:r>
          </w:p>
          <w:p w14:paraId="40219847" w14:textId="77777777" w:rsidR="00FA40E8" w:rsidRDefault="00E74AE8">
            <w:pPr>
              <w:pStyle w:val="P68B1DB1-Normal12"/>
              <w:spacing w:before="60" w:after="60"/>
              <w:jc w:val="both"/>
              <w:rPr>
                <w:rFonts w:eastAsia="Times New Roman" w:cs="Times New Roman"/>
                <w:noProof/>
              </w:rPr>
            </w:pPr>
            <w:r>
              <w:rPr>
                <w:noProof/>
              </w:rPr>
              <w:t>Toutes les infrastructures des agences sont mises en place au plus tard le 31 mars 2022.</w:t>
            </w:r>
          </w:p>
        </w:tc>
      </w:tr>
      <w:tr w:rsidR="00FA40E8" w14:paraId="64EAA9F0"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C167913" w14:textId="77777777" w:rsidR="00FA40E8" w:rsidRDefault="00E74AE8">
            <w:pPr>
              <w:pStyle w:val="P68B1DB1-Normal12"/>
              <w:spacing w:before="60" w:after="60"/>
              <w:jc w:val="center"/>
              <w:rPr>
                <w:rFonts w:cs="Times New Roman"/>
                <w:noProof/>
              </w:rPr>
            </w:pPr>
            <w:r>
              <w:rPr>
                <w:noProof/>
              </w:rPr>
              <w:t>128</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5D8253" w14:textId="1C9F8E36" w:rsidR="00FA40E8" w:rsidRDefault="00E74AE8">
            <w:pPr>
              <w:pStyle w:val="P68B1DB1-Normal12"/>
              <w:spacing w:before="60" w:after="60"/>
              <w:rPr>
                <w:noProof/>
              </w:rPr>
            </w:pPr>
            <w:r>
              <w:rPr>
                <w:noProof/>
              </w:rPr>
              <w:t>E.1.2 Mise en œuvre efficace de la politique d’innovation, augmentation de la demande d’innovation, soutien à l’écosystème des jeunes pousses et innovation verte —</w:t>
            </w:r>
          </w:p>
          <w:p w14:paraId="052FD5C0" w14:textId="5357762D" w:rsidR="00FA40E8" w:rsidRDefault="00E74AE8">
            <w:pPr>
              <w:pStyle w:val="P68B1DB1-Normal12"/>
              <w:spacing w:before="60" w:after="60"/>
              <w:rPr>
                <w:rFonts w:cs="Times New Roman"/>
                <w:noProof/>
              </w:rPr>
            </w:pPr>
            <w:r>
              <w:rPr>
                <w:noProof/>
              </w:rPr>
              <w:t>E.1.2.1. Mise en œuvre efficace de la politique d’innovation par la création d’une agence un</w:t>
            </w:r>
            <w:r>
              <w:rPr>
                <w:noProof/>
              </w:rPr>
              <w:t>ique de promotion de l’innovation et l’optimisation du réseau des agences existantes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727E65E" w14:textId="77777777" w:rsidR="00FA40E8" w:rsidRDefault="00E74AE8">
            <w:pPr>
              <w:pStyle w:val="P68B1DB1-Normal12"/>
              <w:spacing w:before="60" w:after="60"/>
              <w:jc w:val="center"/>
              <w:rPr>
                <w:rFonts w:cs="Times New Roman"/>
                <w:noProof/>
              </w:rPr>
            </w:pPr>
            <w:r>
              <w:rPr>
                <w:noProof/>
              </w:rPr>
              <w:t>Étape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BD5FCA" w14:textId="77777777" w:rsidR="00FA40E8" w:rsidRDefault="00E74AE8">
            <w:pPr>
              <w:pStyle w:val="P68B1DB1-Normal12"/>
              <w:spacing w:before="60" w:after="60"/>
              <w:rPr>
                <w:rFonts w:cs="Times New Roman"/>
                <w:noProof/>
              </w:rPr>
            </w:pPr>
            <w:r>
              <w:rPr>
                <w:noProof/>
              </w:rPr>
              <w:t>Entrée en vigueur de la législation révisée sur les activités innovantes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8A8FA9" w14:textId="331437A0" w:rsidR="00FA40E8" w:rsidRDefault="00E74AE8">
            <w:pPr>
              <w:pStyle w:val="P68B1DB1-Normal12"/>
              <w:spacing w:before="60" w:after="60"/>
              <w:rPr>
                <w:rFonts w:cs="Times New Roman"/>
                <w:noProof/>
              </w:rPr>
            </w:pPr>
            <w:r>
              <w:rPr>
                <w:noProof/>
              </w:rPr>
              <w:t>Entrée en vigueur de la législation</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B5F7B3" w14:textId="562CCBA1"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EC556F" w14:textId="5C30C61A" w:rsidR="00FA40E8" w:rsidRDefault="00FA40E8">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966122" w14:textId="546FB2F2"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A193F12" w14:textId="77777777" w:rsidR="00FA40E8" w:rsidRDefault="00E74AE8">
            <w:pPr>
              <w:pStyle w:val="P68B1DB1-Normal12"/>
              <w:spacing w:before="60" w:after="60"/>
              <w:jc w:val="center"/>
              <w:rPr>
                <w:rFonts w:cs="Times New Roman"/>
                <w:noProof/>
              </w:rPr>
            </w:pPr>
            <w:r>
              <w:rPr>
                <w:noProof/>
              </w:rPr>
              <w:t>T4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595A10E" w14:textId="77777777" w:rsidR="00FA40E8" w:rsidRDefault="00E74AE8">
            <w:pPr>
              <w:pStyle w:val="P68B1DB1-Normal12"/>
              <w:spacing w:before="60" w:after="60"/>
              <w:jc w:val="center"/>
              <w:rPr>
                <w:rFonts w:cs="Times New Roman"/>
                <w:noProof/>
              </w:rPr>
            </w:pPr>
            <w:r>
              <w:rPr>
                <w:noProof/>
              </w:rPr>
              <w:t>2021</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551B8FE" w14:textId="4B59E949" w:rsidR="00FA40E8" w:rsidRDefault="00E74AE8">
            <w:pPr>
              <w:pStyle w:val="P68B1DB1-Normal12"/>
              <w:spacing w:before="60" w:after="60"/>
              <w:jc w:val="both"/>
              <w:rPr>
                <w:noProof/>
              </w:rPr>
            </w:pPr>
            <w:r>
              <w:rPr>
                <w:noProof/>
              </w:rPr>
              <w:t>Entrée en vigueur de la législation révisée e</w:t>
            </w:r>
            <w:r>
              <w:rPr>
                <w:noProof/>
              </w:rPr>
              <w:t>t modifiée sur les activités innovantes, y compris la loi sur la technologie et l’innovation et la modification de la résolution no 982 du 3 octobre 2018 sur l’octroi de compétences pour la mise en œuvre de la loi sur la technologie et l’innovation de la R</w:t>
            </w:r>
            <w:r>
              <w:rPr>
                <w:noProof/>
              </w:rPr>
              <w:t>épublique de Lituanie. Les actes juridiques sont approuvés par le Seimas, le gouvernement lituanien, le ministre de l’économie et de l’innovation, en fonction du type d’acte juridique. La présente décision entre en vigueur lors de la publication du registr</w:t>
            </w:r>
            <w:r>
              <w:rPr>
                <w:noProof/>
              </w:rPr>
              <w:t>e des lois (E-TAR).</w:t>
            </w:r>
          </w:p>
          <w:p w14:paraId="52249A49" w14:textId="77777777" w:rsidR="00FA40E8" w:rsidRDefault="00E74AE8">
            <w:pPr>
              <w:pStyle w:val="P68B1DB1-Normal12"/>
              <w:spacing w:before="60" w:after="60"/>
              <w:jc w:val="both"/>
              <w:rPr>
                <w:noProof/>
              </w:rPr>
            </w:pPr>
            <w:r>
              <w:rPr>
                <w:noProof/>
              </w:rPr>
              <w:t>Les actes juridiques révisés réduisent les lacunes et les chevauchements dans le cadre de la politique de recherche et d’innovation, harmonisent la combinaison de mesures de soutien et précisent les responsabilités institutionnelles.</w:t>
            </w:r>
          </w:p>
          <w:p w14:paraId="613FBAB5" w14:textId="77777777" w:rsidR="00FA40E8" w:rsidRDefault="00E74AE8">
            <w:pPr>
              <w:pStyle w:val="P68B1DB1-Normal12"/>
              <w:spacing w:before="60" w:after="60"/>
              <w:jc w:val="both"/>
              <w:rPr>
                <w:rFonts w:eastAsia="Times New Roman" w:cs="Times New Roman"/>
                <w:noProof/>
              </w:rPr>
            </w:pPr>
            <w:r>
              <w:rPr>
                <w:noProof/>
              </w:rPr>
              <w:t>La</w:t>
            </w:r>
            <w:r>
              <w:rPr>
                <w:noProof/>
              </w:rPr>
              <w:t xml:space="preserve"> loi révisée sur la technologie et l’innovation recense les institutions chargées de l’élaboration et de la mise en œuvre de la politique d’innovation, ainsi que les principes de promotion des activités liées à l’innovation.</w:t>
            </w:r>
          </w:p>
        </w:tc>
      </w:tr>
      <w:tr w:rsidR="00FA40E8" w14:paraId="6330C852"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9864384" w14:textId="77777777" w:rsidR="00FA40E8" w:rsidRDefault="00E74AE8">
            <w:pPr>
              <w:pStyle w:val="P68B1DB1-Normal12"/>
              <w:spacing w:before="60" w:after="60"/>
              <w:jc w:val="center"/>
              <w:rPr>
                <w:rFonts w:cs="Times New Roman"/>
                <w:noProof/>
              </w:rPr>
            </w:pPr>
            <w:r>
              <w:rPr>
                <w:noProof/>
              </w:rPr>
              <w:t>129</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505410" w14:textId="78058179" w:rsidR="00FA40E8" w:rsidRDefault="00E74AE8">
            <w:pPr>
              <w:pStyle w:val="P68B1DB1-Normal12"/>
              <w:spacing w:before="60" w:after="60"/>
              <w:rPr>
                <w:noProof/>
              </w:rPr>
            </w:pPr>
            <w:r>
              <w:rPr>
                <w:noProof/>
              </w:rPr>
              <w:t xml:space="preserve">E.1.2. Mise en œuvre efficace de la politique d’innovation, augmentation de la demande d’innovation, soutien à l’écosystème des jeunes pousses et innovation verte </w:t>
            </w:r>
          </w:p>
          <w:p w14:paraId="4ED8E4F0" w14:textId="104586C8" w:rsidR="00FA40E8" w:rsidRDefault="00E74AE8">
            <w:pPr>
              <w:pStyle w:val="P68B1DB1-Normal12"/>
              <w:spacing w:before="60" w:after="60"/>
              <w:rPr>
                <w:rFonts w:cs="Times New Roman"/>
                <w:noProof/>
              </w:rPr>
            </w:pPr>
            <w:r>
              <w:rPr>
                <w:noProof/>
              </w:rPr>
              <w:t>E.1.2.1. Mise en œuvre efficace de la politique d’innovation par la création d’une agence un</w:t>
            </w:r>
            <w:r>
              <w:rPr>
                <w:noProof/>
              </w:rPr>
              <w:t>ique de promotion de l’innovation et l’optimisation du réseau des agences existantes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1D397B0" w14:textId="77777777" w:rsidR="00FA40E8" w:rsidRDefault="00E74AE8">
            <w:pPr>
              <w:pStyle w:val="P68B1DB1-Normal12"/>
              <w:spacing w:before="60" w:after="60"/>
              <w:jc w:val="center"/>
              <w:rPr>
                <w:rFonts w:cs="Times New Roman"/>
                <w:noProof/>
              </w:rPr>
            </w:pPr>
            <w:r>
              <w:rPr>
                <w:noProof/>
              </w:rPr>
              <w:t>Étape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6F263C" w14:textId="77777777" w:rsidR="00FA40E8" w:rsidRDefault="00E74AE8">
            <w:pPr>
              <w:pStyle w:val="P68B1DB1-Normal12"/>
              <w:spacing w:before="60" w:after="60"/>
              <w:rPr>
                <w:rFonts w:cs="Times New Roman"/>
                <w:noProof/>
              </w:rPr>
            </w:pPr>
            <w:r>
              <w:rPr>
                <w:noProof/>
              </w:rPr>
              <w:t>Entrée en vigueur du cadre renouvelé d’incitations pour les entreprises à investir dans la R &amp; D</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5F228A4" w14:textId="0DC2FB81" w:rsidR="00FA40E8" w:rsidRDefault="00E74AE8">
            <w:pPr>
              <w:pStyle w:val="P68B1DB1-Normal12"/>
              <w:spacing w:before="60" w:after="60"/>
              <w:rPr>
                <w:rFonts w:cs="Times New Roman"/>
                <w:noProof/>
              </w:rPr>
            </w:pPr>
            <w:r>
              <w:rPr>
                <w:noProof/>
              </w:rPr>
              <w:t>Entrée en vigueur de la législation</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0E1ABB" w14:textId="580BD9A2"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245B37" w14:textId="738F35B2" w:rsidR="00FA40E8" w:rsidRDefault="00FA40E8">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CC1A4E" w14:textId="310A4F41"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1A0D8F" w14:textId="77777777" w:rsidR="00FA40E8" w:rsidRDefault="00E74AE8">
            <w:pPr>
              <w:pStyle w:val="P68B1DB1-Normal12"/>
              <w:spacing w:before="60" w:after="60"/>
              <w:jc w:val="center"/>
              <w:rPr>
                <w:rFonts w:cs="Times New Roman"/>
                <w:noProof/>
              </w:rPr>
            </w:pPr>
            <w:r>
              <w:rPr>
                <w:noProof/>
              </w:rPr>
              <w:t>T4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286FE17" w14:textId="77777777" w:rsidR="00FA40E8" w:rsidRDefault="00E74AE8">
            <w:pPr>
              <w:pStyle w:val="P68B1DB1-Normal12"/>
              <w:spacing w:before="60" w:after="60"/>
              <w:jc w:val="center"/>
              <w:rPr>
                <w:rFonts w:cs="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1372A43" w14:textId="230A2DD8" w:rsidR="00FA40E8" w:rsidRDefault="00E74AE8">
            <w:pPr>
              <w:pStyle w:val="P68B1DB1-Normal12"/>
              <w:spacing w:before="60" w:after="60"/>
              <w:jc w:val="both"/>
              <w:rPr>
                <w:rFonts w:cs="Times New Roman"/>
                <w:noProof/>
              </w:rPr>
            </w:pPr>
            <w:r>
              <w:rPr>
                <w:noProof/>
              </w:rPr>
              <w:t xml:space="preserve">Entrée en vigueur de </w:t>
            </w:r>
            <w:r>
              <w:rPr>
                <w:noProof/>
              </w:rPr>
              <w:t xml:space="preserve">règles révisées pour le soutien aux mesures de R &amp; D (environ 20 actes juridiques tels que des arrêtés ministériels). Le système actuel d’incitations à la R &amp; D a été révisé en mettant en œuvre les recommandations de l’étude menée sur les incitations à la </w:t>
            </w:r>
            <w:r>
              <w:rPr>
                <w:noProof/>
              </w:rPr>
              <w:t>R &amp; D pour les entreprises. Les règles entrent en vigueur après leur publication au registre des actes juridiques (E-TAR).</w:t>
            </w:r>
          </w:p>
          <w:p w14:paraId="64386969" w14:textId="77777777" w:rsidR="00FA40E8" w:rsidRDefault="00E74AE8">
            <w:pPr>
              <w:pStyle w:val="P68B1DB1-Normal12"/>
              <w:spacing w:before="60" w:after="60"/>
              <w:jc w:val="both"/>
              <w:rPr>
                <w:rFonts w:cs="Times New Roman"/>
                <w:noProof/>
              </w:rPr>
            </w:pPr>
            <w:r>
              <w:rPr>
                <w:noProof/>
              </w:rPr>
              <w:t>Les règles révisées: réduire les écarts et les chevauchements entre les différentes mesures de soutien à la R &amp; D harmonise la combin</w:t>
            </w:r>
            <w:r>
              <w:rPr>
                <w:noProof/>
              </w:rPr>
              <w:t>aison de mesures de soutien en établissant des liens logiques clairs entre les différents instruments de financement, ainsi qu’entre les instruments de financement et les différents services de soutien à l’innovation.</w:t>
            </w:r>
          </w:p>
        </w:tc>
      </w:tr>
      <w:tr w:rsidR="00FA40E8" w14:paraId="26688BD0"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81D032" w14:textId="77777777" w:rsidR="00FA40E8" w:rsidRDefault="00E74AE8">
            <w:pPr>
              <w:pStyle w:val="P68B1DB1-Normal28"/>
              <w:spacing w:before="60" w:after="60"/>
              <w:jc w:val="center"/>
              <w:rPr>
                <w:noProof/>
              </w:rPr>
            </w:pPr>
            <w:r>
              <w:rPr>
                <w:noProof/>
              </w:rPr>
              <w:t>130</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B412EE" w14:textId="656B63C4" w:rsidR="00FA40E8" w:rsidRDefault="00E74AE8">
            <w:pPr>
              <w:pStyle w:val="P68B1DB1-Normal28"/>
              <w:spacing w:before="60" w:after="60"/>
              <w:rPr>
                <w:noProof/>
              </w:rPr>
            </w:pPr>
            <w:r>
              <w:rPr>
                <w:noProof/>
              </w:rPr>
              <w:t xml:space="preserve">E.1.2. Mise en œuvre efficace de la politique d’innovation, augmentation de la demande d’innovation, soutien à l’écosystème des jeunes pousses et à l’innovation verte — </w:t>
            </w:r>
          </w:p>
          <w:p w14:paraId="4C1D0945" w14:textId="37885245" w:rsidR="00FA40E8" w:rsidRDefault="00E74AE8">
            <w:pPr>
              <w:pStyle w:val="P68B1DB1-Normal28"/>
              <w:spacing w:before="60" w:after="60"/>
              <w:rPr>
                <w:noProof/>
              </w:rPr>
            </w:pPr>
            <w:r>
              <w:rPr>
                <w:noProof/>
              </w:rPr>
              <w:t xml:space="preserve">E.1.2.2. Accroître la demande d’innovation et soutenir l’innovation verte en Lituanie </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F9869E" w14:textId="2F765CD4" w:rsidR="00FA40E8" w:rsidRDefault="00E74AE8">
            <w:pPr>
              <w:pStyle w:val="P68B1DB1-Normal28"/>
              <w:spacing w:before="60" w:after="60"/>
              <w:jc w:val="center"/>
              <w:rPr>
                <w:noProof/>
              </w:rPr>
            </w:pPr>
            <w:r>
              <w:rPr>
                <w:noProof/>
              </w:rPr>
              <w:t>Étape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AE1A1D" w14:textId="37B55F25" w:rsidR="00FA40E8" w:rsidRDefault="00E74AE8">
            <w:pPr>
              <w:pStyle w:val="P68B1DB1-Normal28"/>
              <w:spacing w:before="60" w:after="60"/>
              <w:rPr>
                <w:noProof/>
              </w:rPr>
            </w:pPr>
            <w:r>
              <w:rPr>
                <w:noProof/>
              </w:rPr>
              <w:t>Biens ou services innovants achetés et produits ou projets technologiques respectueux de l’environnement et projets soutenus dans le cadre du laboratoire industriel 4.0</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CA5A5" w14:textId="440FEB6D" w:rsidR="00FA40E8" w:rsidRDefault="00E74AE8">
            <w:pPr>
              <w:pStyle w:val="P68B1DB1-Normal28"/>
              <w:spacing w:before="60" w:after="60"/>
              <w:rPr>
                <w:noProof/>
              </w:rPr>
            </w:pPr>
            <w:r>
              <w:rPr>
                <w:noProof/>
              </w:rPr>
              <w:t xml:space="preserve">Biens ou services innovants achetés et produits ou projets technologiques </w:t>
            </w:r>
            <w:r>
              <w:rPr>
                <w:noProof/>
              </w:rPr>
              <w:t>respectueux de l’environnement et projets soutenus dans le cadre du laboratoire industriel 4.0</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DBA658" w14:textId="0E2BD921"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898465" w14:textId="4335779E" w:rsidR="00FA40E8" w:rsidRDefault="00FA40E8">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A8C512" w14:textId="753ABDD0"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9D2E16" w14:textId="77777777" w:rsidR="00FA40E8" w:rsidRDefault="00E74AE8">
            <w:pPr>
              <w:pStyle w:val="P68B1DB1-Normal28"/>
              <w:spacing w:before="60" w:after="60"/>
              <w:jc w:val="center"/>
              <w:rPr>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FDE713" w14:textId="77777777" w:rsidR="00FA40E8" w:rsidRDefault="00E74AE8">
            <w:pPr>
              <w:pStyle w:val="P68B1DB1-Normal28"/>
              <w:spacing w:before="60" w:after="60"/>
              <w:jc w:val="center"/>
              <w:rPr>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0E3420" w14:textId="1861D9CF" w:rsidR="00FA40E8" w:rsidRDefault="00E74AE8">
            <w:pPr>
              <w:pStyle w:val="P68B1DB1-Normal28"/>
              <w:spacing w:before="60" w:after="60"/>
              <w:jc w:val="both"/>
              <w:rPr>
                <w:noProof/>
              </w:rPr>
            </w:pPr>
            <w:r>
              <w:rPr>
                <w:noProof/>
              </w:rPr>
              <w:t>Les biens ou services sont fournis au moyen de 55 marchés publics innovants.</w:t>
            </w:r>
          </w:p>
          <w:p w14:paraId="5E91C307" w14:textId="687F2F6C" w:rsidR="00FA40E8" w:rsidRDefault="00E74AE8">
            <w:pPr>
              <w:pStyle w:val="P68B1DB1-Normal28"/>
              <w:spacing w:before="60" w:after="60"/>
              <w:jc w:val="both"/>
              <w:rPr>
                <w:noProof/>
              </w:rPr>
            </w:pPr>
            <w:r>
              <w:rPr>
                <w:noProof/>
              </w:rPr>
              <w:t>97 les projets de produits ou de technologies respectueux de l’environnem</w:t>
            </w:r>
            <w:r>
              <w:rPr>
                <w:noProof/>
              </w:rPr>
              <w:t>ent bénéficient d’un soutien financier.</w:t>
            </w:r>
          </w:p>
          <w:p w14:paraId="2E26ED40" w14:textId="0D9A7794" w:rsidR="00FA40E8" w:rsidRDefault="00E74AE8">
            <w:pPr>
              <w:pStyle w:val="P68B1DB1-Normal28"/>
              <w:spacing w:before="60" w:after="60"/>
              <w:jc w:val="both"/>
              <w:rPr>
                <w:rFonts w:eastAsia="Times New Roman"/>
                <w:noProof/>
              </w:rPr>
            </w:pPr>
            <w:r>
              <w:rPr>
                <w:noProof/>
              </w:rPr>
              <w:t>Au moins 2 500 000 EUR seront versés à 3 projets du Industry Lab 4.0. Les montants fournis par d’autres programmes ou instruments de l’Union ne sont pas comptabilisés dans ce montant.</w:t>
            </w:r>
          </w:p>
        </w:tc>
      </w:tr>
      <w:tr w:rsidR="00FA40E8" w14:paraId="4663E512"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3C8830E" w14:textId="5E2937D0" w:rsidR="00FA40E8" w:rsidRDefault="00E74AE8">
            <w:pPr>
              <w:pStyle w:val="P68B1DB1-Normal12"/>
              <w:spacing w:before="60" w:after="60"/>
              <w:jc w:val="center"/>
              <w:rPr>
                <w:rFonts w:cs="Times New Roman"/>
                <w:noProof/>
              </w:rPr>
            </w:pPr>
            <w:r>
              <w:rPr>
                <w:noProof/>
              </w:rPr>
              <w:t>131</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7E2994A" w14:textId="40D65BBF" w:rsidR="00FA40E8" w:rsidRDefault="00E74AE8">
            <w:pPr>
              <w:pStyle w:val="P68B1DB1-Normal12"/>
              <w:spacing w:before="60" w:after="60"/>
              <w:rPr>
                <w:noProof/>
              </w:rPr>
            </w:pPr>
            <w:r>
              <w:rPr>
                <w:noProof/>
              </w:rPr>
              <w:t xml:space="preserve">E.1.2. Mise en œuvre efficace de la politique d’innovation, augmentation de la demande d’innovation, soutien à l’écosystème des jeunes pousses et à l’innovation verte — </w:t>
            </w:r>
          </w:p>
          <w:p w14:paraId="0E58776C" w14:textId="20340AF7" w:rsidR="00FA40E8" w:rsidRDefault="00E74AE8">
            <w:pPr>
              <w:pStyle w:val="P68B1DB1-Normal12"/>
              <w:spacing w:before="60" w:after="60"/>
              <w:rPr>
                <w:rFonts w:cs="Times New Roman"/>
                <w:noProof/>
              </w:rPr>
            </w:pPr>
            <w:r>
              <w:rPr>
                <w:noProof/>
              </w:rPr>
              <w:t>E.1.2.3. Soutenir l’écosystème des jeunes pousses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EA1AB6" w14:textId="6D60D3F7" w:rsidR="00FA40E8" w:rsidRDefault="00E74AE8">
            <w:pPr>
              <w:pStyle w:val="P68B1DB1-Normal12"/>
              <w:spacing w:before="60" w:after="60"/>
              <w:jc w:val="center"/>
              <w:rPr>
                <w:rFonts w:cs="Times New Roman"/>
                <w:noProof/>
              </w:rPr>
            </w:pPr>
            <w:r>
              <w:rPr>
                <w:noProof/>
              </w:rPr>
              <w:t>Objectif</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A0FA5F7" w14:textId="0AF310BE" w:rsidR="00FA40E8" w:rsidRDefault="00E74AE8">
            <w:pPr>
              <w:pStyle w:val="P68B1DB1-Normal12"/>
              <w:spacing w:before="60" w:after="60"/>
              <w:rPr>
                <w:rFonts w:cs="Times New Roman"/>
                <w:noProof/>
              </w:rPr>
            </w:pPr>
            <w:r>
              <w:rPr>
                <w:noProof/>
              </w:rPr>
              <w:t>Nombre de personnes physiqu</w:t>
            </w:r>
            <w:r>
              <w:rPr>
                <w:noProof/>
              </w:rPr>
              <w:t>es ou morales ayant bénéficié d’investissements ou de services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5EB34B" w14:textId="21837BAD" w:rsidR="00FA40E8" w:rsidRDefault="00FA40E8">
            <w:pPr>
              <w:spacing w:before="60" w:after="60"/>
              <w:rPr>
                <w:rFonts w:ascii="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1137C8" w14:textId="7F25ADD6" w:rsidR="00FA40E8" w:rsidRDefault="00E74AE8">
            <w:pPr>
              <w:pStyle w:val="P68B1DB1-Normal12"/>
              <w:spacing w:before="60" w:after="60"/>
              <w:jc w:val="center"/>
              <w:rPr>
                <w:rFonts w:cs="Times New Roman"/>
                <w:noProof/>
              </w:rPr>
            </w:pPr>
            <w:r>
              <w:rPr>
                <w:noProof/>
              </w:rPr>
              <w:t>Nombre</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95F74F" w14:textId="77777777" w:rsidR="00FA40E8" w:rsidRDefault="00E74AE8">
            <w:pPr>
              <w:pStyle w:val="P68B1DB1-Normal12"/>
              <w:spacing w:before="60" w:after="60"/>
              <w:jc w:val="center"/>
              <w:rPr>
                <w:rFonts w:cs="Times New Roman"/>
                <w:noProof/>
              </w:rPr>
            </w:pPr>
            <w:r>
              <w:rPr>
                <w:noProof/>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C3D4AB8" w14:textId="36C2238B" w:rsidR="00FA40E8" w:rsidRDefault="00E74AE8">
            <w:pPr>
              <w:pStyle w:val="P68B1DB1-Normal12"/>
              <w:spacing w:before="60" w:after="60"/>
              <w:jc w:val="center"/>
              <w:rPr>
                <w:rFonts w:cs="Times New Roman"/>
                <w:noProof/>
              </w:rPr>
            </w:pPr>
            <w:r>
              <w:rPr>
                <w:noProof/>
              </w:rPr>
              <w:t>193</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6685773" w14:textId="169A04D8" w:rsidR="00FA40E8" w:rsidRDefault="00E74AE8">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EFB21D" w14:textId="71F303CC" w:rsidR="00FA40E8" w:rsidRDefault="00E74AE8">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B37CA7" w14:textId="65C04C76" w:rsidR="00FA40E8" w:rsidRDefault="00E74AE8">
            <w:pPr>
              <w:pStyle w:val="P68B1DB1-Normal12"/>
              <w:spacing w:before="60" w:after="60"/>
              <w:jc w:val="both"/>
              <w:rPr>
                <w:noProof/>
              </w:rPr>
            </w:pPr>
            <w:r>
              <w:rPr>
                <w:noProof/>
              </w:rPr>
              <w:t>Nombre de personnes physiques ou morales ayant bénéficié d’un soutien, dont:</w:t>
            </w:r>
          </w:p>
          <w:p w14:paraId="4590EC7C" w14:textId="7A8A757E" w:rsidR="00FA40E8" w:rsidRDefault="00E74AE8">
            <w:pPr>
              <w:pStyle w:val="P68B1DB1-Normal12"/>
              <w:spacing w:before="60" w:after="60"/>
              <w:jc w:val="both"/>
              <w:rPr>
                <w:noProof/>
              </w:rPr>
            </w:pPr>
            <w:r>
              <w:rPr>
                <w:noProof/>
              </w:rPr>
              <w:t>— 32 personnes morales soutenues par des investissements du Fonds pour la promotion de l’innov</w:t>
            </w:r>
            <w:r>
              <w:rPr>
                <w:noProof/>
              </w:rPr>
              <w:t xml:space="preserve">ation, </w:t>
            </w:r>
          </w:p>
          <w:p w14:paraId="2C93B0F8" w14:textId="67AEEBBF" w:rsidR="00FA40E8" w:rsidRDefault="00E74AE8">
            <w:pPr>
              <w:pStyle w:val="P68B1DB1-Normal12"/>
              <w:spacing w:before="60" w:after="60"/>
              <w:jc w:val="both"/>
              <w:rPr>
                <w:noProof/>
              </w:rPr>
            </w:pPr>
            <w:r>
              <w:rPr>
                <w:noProof/>
              </w:rPr>
              <w:t xml:space="preserve">— 71 personnes morales soutenues par des investissements au titre du programme d’accélération spécialisée, </w:t>
            </w:r>
          </w:p>
          <w:p w14:paraId="37C0C6DD" w14:textId="2CCA4B13" w:rsidR="00FA40E8" w:rsidRDefault="00E74AE8">
            <w:pPr>
              <w:pStyle w:val="P68B1DB1-Normal12"/>
              <w:spacing w:before="60" w:after="60"/>
              <w:jc w:val="both"/>
              <w:rPr>
                <w:noProof/>
              </w:rPr>
            </w:pPr>
            <w:r>
              <w:rPr>
                <w:noProof/>
              </w:rPr>
              <w:t>— 60 personnes morales bénéficiant d’un soutien sous la forme de services ou d’investissements au titre du programme international d’accélér</w:t>
            </w:r>
            <w:r>
              <w:rPr>
                <w:noProof/>
              </w:rPr>
              <w:t>ateur,</w:t>
            </w:r>
          </w:p>
          <w:p w14:paraId="500762BE" w14:textId="3C96E20B" w:rsidR="00FA40E8" w:rsidRDefault="00E74AE8">
            <w:pPr>
              <w:pStyle w:val="P68B1DB1-Normal12"/>
              <w:spacing w:before="60" w:after="60"/>
              <w:jc w:val="both"/>
              <w:rPr>
                <w:noProof/>
              </w:rPr>
            </w:pPr>
            <w:r>
              <w:rPr>
                <w:noProof/>
              </w:rPr>
              <w:t>— 30 personnes physiques ou morales qui ont reçu l’investissement de l’incubateur ou des services de l’Agence spatiale européenne dans le cadre de programmes de préincubation ou d’accélération dans le domaine spatial.</w:t>
            </w:r>
          </w:p>
        </w:tc>
      </w:tr>
      <w:tr w:rsidR="00FA40E8" w14:paraId="026DCB4A"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57B969" w14:textId="77777777" w:rsidR="00FA40E8" w:rsidRDefault="00E74AE8">
            <w:pPr>
              <w:pStyle w:val="P68B1DB1-Normal12"/>
              <w:spacing w:before="60" w:after="60"/>
              <w:jc w:val="center"/>
              <w:rPr>
                <w:rFonts w:cs="Times New Roman"/>
                <w:noProof/>
              </w:rPr>
            </w:pPr>
            <w:r>
              <w:rPr>
                <w:noProof/>
              </w:rPr>
              <w:t>132</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37CA2D" w14:textId="51580B14" w:rsidR="00FA40E8" w:rsidRDefault="00E74AE8">
            <w:pPr>
              <w:pStyle w:val="P68B1DB1-Normal12"/>
              <w:spacing w:before="60" w:after="60"/>
              <w:rPr>
                <w:noProof/>
              </w:rPr>
            </w:pPr>
            <w:r>
              <w:rPr>
                <w:noProof/>
              </w:rPr>
              <w:t xml:space="preserve">E.1.3. Missions conjointes pour la science et l’innovation dans le domaine de la spécialisation intelligente — </w:t>
            </w:r>
          </w:p>
          <w:p w14:paraId="1D70AAC4" w14:textId="4CA5B938" w:rsidR="00FA40E8" w:rsidRDefault="00E74AE8">
            <w:pPr>
              <w:pStyle w:val="P68B1DB1-Normal12"/>
              <w:spacing w:before="60" w:after="60"/>
              <w:rPr>
                <w:rFonts w:cs="Times New Roman"/>
                <w:noProof/>
              </w:rPr>
            </w:pPr>
            <w:r>
              <w:rPr>
                <w:noProof/>
              </w:rPr>
              <w:t>E.1.3.1. Définir des priorités en matière de spécialisation intelligente</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53EED5" w14:textId="77777777" w:rsidR="00FA40E8" w:rsidRDefault="00E74AE8">
            <w:pPr>
              <w:pStyle w:val="P68B1DB1-Normal12"/>
              <w:spacing w:before="60" w:after="60"/>
              <w:jc w:val="center"/>
              <w:rPr>
                <w:rFonts w:cs="Times New Roman"/>
                <w:noProof/>
              </w:rPr>
            </w:pPr>
            <w:r>
              <w:rPr>
                <w:noProof/>
              </w:rPr>
              <w:t>Étape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FE2740" w14:textId="77777777" w:rsidR="00FA40E8" w:rsidRDefault="00E74AE8">
            <w:pPr>
              <w:pStyle w:val="P68B1DB1-Normal12"/>
              <w:spacing w:before="60" w:after="60"/>
              <w:rPr>
                <w:rFonts w:eastAsia="Times New Roman" w:cs="Times New Roman"/>
                <w:noProof/>
              </w:rPr>
            </w:pPr>
            <w:r>
              <w:rPr>
                <w:noProof/>
              </w:rPr>
              <w:t>Entrée en vigueur du concept révisé de spécialisation intelligent</w:t>
            </w:r>
            <w:r>
              <w:rPr>
                <w:noProof/>
              </w:rPr>
              <w:t>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34977C" w14:textId="29355417" w:rsidR="00FA40E8" w:rsidRDefault="00E74AE8">
            <w:pPr>
              <w:pStyle w:val="P68B1DB1-Normal12"/>
              <w:spacing w:before="60" w:after="60"/>
              <w:rPr>
                <w:rFonts w:eastAsia="Times New Roman" w:cs="Times New Roman"/>
                <w:noProof/>
              </w:rPr>
            </w:pPr>
            <w:r>
              <w:rPr>
                <w:noProof/>
              </w:rPr>
              <w:t>Entrée en vigueur de la législation</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A427F3" w14:textId="77C3ACF0"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9D35BA" w14:textId="68AE35F3" w:rsidR="00FA40E8" w:rsidRDefault="00FA40E8">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22C6A1" w14:textId="6272C9A2" w:rsidR="00FA40E8" w:rsidRDefault="00FA40E8">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2B192F" w14:textId="77777777" w:rsidR="00FA40E8" w:rsidRDefault="00E74AE8">
            <w:pPr>
              <w:pStyle w:val="P68B1DB1-Normal12"/>
              <w:spacing w:before="60" w:after="60"/>
              <w:jc w:val="center"/>
              <w:rPr>
                <w:rFonts w:cs="Times New Roman"/>
                <w:noProof/>
              </w:rPr>
            </w:pPr>
            <w:r>
              <w:rPr>
                <w:noProof/>
              </w:rPr>
              <w:t>T4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71DBF2" w14:textId="77777777" w:rsidR="00FA40E8" w:rsidRDefault="00E74AE8">
            <w:pPr>
              <w:pStyle w:val="P68B1DB1-Normal12"/>
              <w:spacing w:before="60" w:after="60"/>
              <w:jc w:val="center"/>
              <w:rPr>
                <w:rFonts w:cs="Times New Roman"/>
                <w:noProof/>
              </w:rPr>
            </w:pPr>
            <w:r>
              <w:rPr>
                <w:noProof/>
              </w:rPr>
              <w:t>2021</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6421B4" w14:textId="6D87BBFD" w:rsidR="00FA40E8" w:rsidRDefault="00E74AE8">
            <w:pPr>
              <w:pStyle w:val="P68B1DB1-Normal12"/>
              <w:spacing w:before="60" w:after="60"/>
              <w:jc w:val="both"/>
              <w:rPr>
                <w:rFonts w:eastAsia="Times New Roman" w:cs="Times New Roman"/>
                <w:noProof/>
              </w:rPr>
            </w:pPr>
            <w:r>
              <w:rPr>
                <w:noProof/>
              </w:rPr>
              <w:t>Approbation d’un nouveau concept de spécialisation intelligente par une résolution du gouvernement lituanien pour la période allant jusqu’au 31 décembre 2027. Le concept définit trois priorités en matière de</w:t>
            </w:r>
            <w:r>
              <w:rPr>
                <w:noProof/>
              </w:rPr>
              <w:t xml:space="preserve"> spécialisation intelligente et les domaines thématiques relevant de ces priorités, ainsi qu’un modèle de coordination et de suivi de la mise en œuvre.</w:t>
            </w:r>
          </w:p>
        </w:tc>
      </w:tr>
      <w:tr w:rsidR="00FA40E8" w14:paraId="21504D49"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1C81A4" w14:textId="77777777" w:rsidR="00FA40E8" w:rsidRDefault="00E74AE8">
            <w:pPr>
              <w:pStyle w:val="P68B1DB1-Normal12"/>
              <w:spacing w:before="60" w:after="60"/>
              <w:jc w:val="center"/>
              <w:rPr>
                <w:rFonts w:cs="Times New Roman"/>
                <w:noProof/>
              </w:rPr>
            </w:pPr>
            <w:r>
              <w:rPr>
                <w:noProof/>
              </w:rPr>
              <w:t>133</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B8706F" w14:textId="2A48C409" w:rsidR="00FA40E8" w:rsidRDefault="00E74AE8">
            <w:pPr>
              <w:pStyle w:val="P68B1DB1-Normal12"/>
              <w:spacing w:before="60" w:after="60"/>
              <w:rPr>
                <w:noProof/>
              </w:rPr>
            </w:pPr>
            <w:r>
              <w:rPr>
                <w:noProof/>
              </w:rPr>
              <w:t xml:space="preserve">E.1.3. Missions conjointes pour la science et l’innovation dans le domaine de la spécialisation intelligente — </w:t>
            </w:r>
          </w:p>
          <w:p w14:paraId="65A64D6A" w14:textId="42C2DD81" w:rsidR="00FA40E8" w:rsidRDefault="00E74AE8">
            <w:pPr>
              <w:pStyle w:val="P68B1DB1-Normal12"/>
              <w:spacing w:before="60" w:after="60"/>
              <w:rPr>
                <w:rFonts w:cs="Times New Roman"/>
                <w:noProof/>
              </w:rPr>
            </w:pPr>
            <w:r>
              <w:rPr>
                <w:noProof/>
              </w:rPr>
              <w:t xml:space="preserve">E.1.3.2. Soutenir la recherche et le développement </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F4CE60" w14:textId="77777777" w:rsidR="00FA40E8" w:rsidRDefault="00E74AE8">
            <w:pPr>
              <w:pStyle w:val="P68B1DB1-Normal12"/>
              <w:spacing w:before="60" w:after="60"/>
              <w:jc w:val="center"/>
              <w:rPr>
                <w:rFonts w:cs="Times New Roman"/>
                <w:noProof/>
              </w:rPr>
            </w:pPr>
            <w:r>
              <w:rPr>
                <w:noProof/>
              </w:rPr>
              <w:t>Objectif</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9DFDCF" w14:textId="1E1FD852" w:rsidR="00FA40E8" w:rsidRDefault="00E74AE8">
            <w:pPr>
              <w:pStyle w:val="P68B1DB1-Normal12"/>
              <w:spacing w:before="60" w:after="60"/>
              <w:rPr>
                <w:rFonts w:eastAsia="Times New Roman" w:cs="Times New Roman"/>
                <w:noProof/>
              </w:rPr>
            </w:pPr>
            <w:r>
              <w:rPr>
                <w:noProof/>
              </w:rPr>
              <w:t xml:space="preserve">Travaux de construction de deux centres de R &amp; D réalisés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1ECC3C" w14:textId="32D9A7F4" w:rsidR="00FA40E8" w:rsidRDefault="00FA40E8">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8DF211" w14:textId="77777777" w:rsidR="00FA40E8" w:rsidRDefault="00E74AE8">
            <w:pPr>
              <w:pStyle w:val="P68B1DB1-Normal12"/>
              <w:spacing w:before="60" w:after="60"/>
              <w:jc w:val="center"/>
              <w:rPr>
                <w:rFonts w:cs="Times New Roman"/>
                <w:noProof/>
              </w:rPr>
            </w:pPr>
            <w:r>
              <w:rPr>
                <w:noProof/>
              </w:rPr>
              <w:t>Nombre</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8C289B" w14:textId="77777777" w:rsidR="00FA40E8" w:rsidRDefault="00E74AE8">
            <w:pPr>
              <w:pStyle w:val="P68B1DB1-Normal12"/>
              <w:spacing w:before="60" w:after="60"/>
              <w:jc w:val="center"/>
              <w:rPr>
                <w:rFonts w:cs="Times New Roman"/>
                <w:noProof/>
              </w:rPr>
            </w:pPr>
            <w:r>
              <w:rPr>
                <w:noProof/>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FE7F27" w14:textId="77777777" w:rsidR="00FA40E8" w:rsidRDefault="00E74AE8">
            <w:pPr>
              <w:pStyle w:val="P68B1DB1-Normal12"/>
              <w:spacing w:before="60" w:after="60"/>
              <w:jc w:val="center"/>
              <w:rPr>
                <w:rFonts w:cs="Times New Roman"/>
                <w:noProof/>
              </w:rPr>
            </w:pPr>
            <w:r>
              <w:rPr>
                <w:noProof/>
              </w:rPr>
              <w:t>2</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60C187" w14:textId="46BA7FD4" w:rsidR="00FA40E8" w:rsidRDefault="00E74AE8">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ED2106" w14:textId="7BC6D123" w:rsidR="00FA40E8" w:rsidRDefault="00E74AE8">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EAC2F" w14:textId="0EAFD98B" w:rsidR="00FA40E8" w:rsidRDefault="00E74AE8">
            <w:pPr>
              <w:pStyle w:val="P68B1DB1-Normal28"/>
              <w:rPr>
                <w:rFonts w:eastAsia="Times New Roman"/>
                <w:noProof/>
                <w:szCs w:val="18"/>
              </w:rPr>
            </w:pPr>
            <w:r>
              <w:rPr>
                <w:noProof/>
              </w:rPr>
              <w:t xml:space="preserve">Les travaux de construction réalisés pour deux centres et équipements de R &amp; D ont été livrés. </w:t>
            </w:r>
          </w:p>
        </w:tc>
      </w:tr>
      <w:tr w:rsidR="00FA40E8" w14:paraId="31EB842A"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1A491" w14:textId="77777777" w:rsidR="00FA40E8" w:rsidRDefault="00E74AE8">
            <w:pPr>
              <w:pStyle w:val="P68B1DB1-Normal12"/>
              <w:spacing w:before="60" w:after="60"/>
              <w:jc w:val="center"/>
              <w:rPr>
                <w:rFonts w:cs="Times New Roman"/>
                <w:noProof/>
              </w:rPr>
            </w:pPr>
            <w:r>
              <w:rPr>
                <w:noProof/>
              </w:rPr>
              <w:t>134</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EF0B5A" w14:textId="0AC694A0" w:rsidR="00FA40E8" w:rsidRDefault="00E74AE8">
            <w:pPr>
              <w:pStyle w:val="P68B1DB1-Normal12"/>
              <w:spacing w:before="60" w:after="60"/>
              <w:rPr>
                <w:noProof/>
              </w:rPr>
            </w:pPr>
            <w:r>
              <w:rPr>
                <w:noProof/>
              </w:rPr>
              <w:t xml:space="preserve">E.1.3. Missions conjointes pour la science et l’innovation dans le domaine de la spécialisation intelligente — </w:t>
            </w:r>
          </w:p>
          <w:p w14:paraId="5A03073F" w14:textId="3B106DB4" w:rsidR="00FA40E8" w:rsidRDefault="00E74AE8">
            <w:pPr>
              <w:pStyle w:val="P68B1DB1-Normal12"/>
              <w:spacing w:before="60" w:after="60"/>
              <w:rPr>
                <w:rFonts w:cs="Times New Roman"/>
                <w:noProof/>
              </w:rPr>
            </w:pPr>
            <w:r>
              <w:rPr>
                <w:noProof/>
              </w:rPr>
              <w:t xml:space="preserve">E.1.3.2. Soutenir la recherche et le développement </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39DB0C" w14:textId="77777777" w:rsidR="00FA40E8" w:rsidRDefault="00E74AE8">
            <w:pPr>
              <w:pStyle w:val="P68B1DB1-Normal12"/>
              <w:spacing w:before="60" w:after="60"/>
              <w:jc w:val="center"/>
              <w:rPr>
                <w:rFonts w:cs="Times New Roman"/>
                <w:noProof/>
              </w:rPr>
            </w:pPr>
            <w:r>
              <w:rPr>
                <w:noProof/>
              </w:rPr>
              <w:t>Objectif</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95290F" w14:textId="004D5A67" w:rsidR="00FA40E8" w:rsidRDefault="00E74AE8">
            <w:pPr>
              <w:pStyle w:val="P68B1DB1-Normal12"/>
              <w:spacing w:before="60" w:after="60"/>
              <w:rPr>
                <w:rFonts w:eastAsia="Times New Roman" w:cs="Times New Roman"/>
                <w:noProof/>
              </w:rPr>
            </w:pPr>
            <w:r>
              <w:rPr>
                <w:noProof/>
              </w:rPr>
              <w:t>Projets de R &amp; D bénéficiant d’un soutien financier.</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550C26" w14:textId="071EE1BD" w:rsidR="00FA40E8" w:rsidRDefault="00FA40E8">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BFF6A2" w14:textId="77777777" w:rsidR="00FA40E8" w:rsidRDefault="00E74AE8">
            <w:pPr>
              <w:pStyle w:val="P68B1DB1-Normal12"/>
              <w:spacing w:before="60" w:after="60"/>
              <w:jc w:val="center"/>
              <w:rPr>
                <w:rFonts w:cs="Times New Roman"/>
                <w:noProof/>
              </w:rPr>
            </w:pPr>
            <w:r>
              <w:rPr>
                <w:noProof/>
              </w:rPr>
              <w:t>Nombre</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655CD4" w14:textId="77777777" w:rsidR="00FA40E8" w:rsidRDefault="00E74AE8">
            <w:pPr>
              <w:pStyle w:val="P68B1DB1-Normal12"/>
              <w:spacing w:before="60" w:after="60"/>
              <w:jc w:val="center"/>
              <w:rPr>
                <w:rFonts w:cs="Times New Roman"/>
                <w:noProof/>
              </w:rPr>
            </w:pPr>
            <w:r>
              <w:rPr>
                <w:noProof/>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A6D86D" w14:textId="77777777" w:rsidR="00FA40E8" w:rsidRDefault="00E74AE8">
            <w:pPr>
              <w:pStyle w:val="P68B1DB1-Normal12"/>
              <w:spacing w:before="60" w:after="60"/>
              <w:jc w:val="center"/>
              <w:rPr>
                <w:rFonts w:cs="Times New Roman"/>
                <w:noProof/>
              </w:rPr>
            </w:pPr>
            <w:r>
              <w:rPr>
                <w:noProof/>
              </w:rPr>
              <w:t>21</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C9BC44" w14:textId="77777777" w:rsidR="00FA40E8" w:rsidRDefault="00E74AE8">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486FCC" w14:textId="77777777" w:rsidR="00FA40E8" w:rsidRDefault="00E74AE8">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F59895" w14:textId="45E5DD48" w:rsidR="00FA40E8" w:rsidRDefault="00E74AE8">
            <w:pPr>
              <w:pStyle w:val="P68B1DB1-Normal12"/>
              <w:spacing w:before="60" w:after="60"/>
              <w:jc w:val="both"/>
              <w:rPr>
                <w:rFonts w:eastAsia="Times New Roman" w:cs="Times New Roman"/>
                <w:noProof/>
              </w:rPr>
            </w:pPr>
            <w:r>
              <w:rPr>
                <w:noProof/>
              </w:rPr>
              <w:t xml:space="preserve">21 projets de R &amp; D bénéficieront d’un soutien financier. </w:t>
            </w:r>
          </w:p>
        </w:tc>
      </w:tr>
      <w:tr w:rsidR="00FA40E8" w14:paraId="5CEA4689" w14:textId="77777777">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3A18A6" w14:textId="77777777" w:rsidR="00FA40E8" w:rsidRDefault="00E74AE8">
            <w:pPr>
              <w:pStyle w:val="P68B1DB1-Normal12"/>
              <w:spacing w:before="60" w:after="60"/>
              <w:jc w:val="center"/>
              <w:rPr>
                <w:rFonts w:cs="Times New Roman"/>
                <w:noProof/>
              </w:rPr>
            </w:pPr>
            <w:r>
              <w:rPr>
                <w:noProof/>
              </w:rPr>
              <w:t>135</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ED1E3A" w14:textId="5BCEE377" w:rsidR="00FA40E8" w:rsidRDefault="00E74AE8">
            <w:pPr>
              <w:pStyle w:val="P68B1DB1-Normal12"/>
              <w:spacing w:before="60" w:after="60"/>
              <w:rPr>
                <w:noProof/>
              </w:rPr>
            </w:pPr>
            <w:r>
              <w:rPr>
                <w:noProof/>
              </w:rPr>
              <w:t xml:space="preserve">E.1.3. Missions conjointes pour la science et l’innovation dans le domaine de la spécialisation intelligente — </w:t>
            </w:r>
          </w:p>
          <w:p w14:paraId="01BC5FE0" w14:textId="67360866" w:rsidR="00FA40E8" w:rsidRDefault="00E74AE8">
            <w:pPr>
              <w:pStyle w:val="P68B1DB1-Normal12"/>
              <w:spacing w:before="60" w:after="60"/>
              <w:rPr>
                <w:rFonts w:cs="Times New Roman"/>
                <w:noProof/>
              </w:rPr>
            </w:pPr>
            <w:r>
              <w:rPr>
                <w:noProof/>
              </w:rPr>
              <w:t xml:space="preserve">E.1.3.3. Encourager la science et les entreprises à participer au programme de recherche et d’innovation de l’UE «Horizon Europe» et à d’autres </w:t>
            </w:r>
            <w:r>
              <w:rPr>
                <w:noProof/>
              </w:rPr>
              <w:t>programmes de financement internationaux</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B6CEE5" w14:textId="106FC96C" w:rsidR="00FA40E8" w:rsidRDefault="00E74AE8">
            <w:pPr>
              <w:pStyle w:val="P68B1DB1-Normal12"/>
              <w:spacing w:before="60" w:after="60"/>
              <w:jc w:val="center"/>
              <w:rPr>
                <w:rFonts w:cs="Times New Roman"/>
                <w:noProof/>
              </w:rPr>
            </w:pPr>
            <w:r>
              <w:rPr>
                <w:noProof/>
              </w:rPr>
              <w:t>Objectif</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6461C3" w14:textId="7759ED83" w:rsidR="00FA40E8" w:rsidRDefault="00E74AE8">
            <w:pPr>
              <w:pStyle w:val="P68B1DB1-Normal12"/>
              <w:spacing w:before="60" w:after="60"/>
              <w:rPr>
                <w:rFonts w:eastAsia="Times New Roman" w:cs="Times New Roman"/>
                <w:noProof/>
              </w:rPr>
            </w:pPr>
            <w:r>
              <w:rPr>
                <w:noProof/>
              </w:rPr>
              <w:t>Projets et services de conseil pour les candidats potentiels au programme Horizon Europe issus d’établissements d’enseignement supérieur et de PME bénéficiant d’un soutien financier</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75E37" w14:textId="77777777" w:rsidR="00FA40E8" w:rsidRDefault="00FA40E8">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B63EDF" w14:textId="77777777" w:rsidR="00FA40E8" w:rsidRDefault="00E74AE8">
            <w:pPr>
              <w:pStyle w:val="P68B1DB1-Normal12"/>
              <w:spacing w:before="60" w:after="60"/>
              <w:jc w:val="center"/>
              <w:rPr>
                <w:rFonts w:cs="Times New Roman"/>
                <w:noProof/>
              </w:rPr>
            </w:pPr>
            <w:r>
              <w:rPr>
                <w:noProof/>
              </w:rPr>
              <w:t>Nombre</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96B126" w14:textId="77777777" w:rsidR="00FA40E8" w:rsidRDefault="00E74AE8">
            <w:pPr>
              <w:pStyle w:val="P68B1DB1-Normal12"/>
              <w:spacing w:before="60" w:after="60"/>
              <w:jc w:val="center"/>
              <w:rPr>
                <w:rFonts w:cs="Times New Roman"/>
                <w:noProof/>
              </w:rPr>
            </w:pPr>
            <w:r>
              <w:rPr>
                <w:noProof/>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16EB3A" w14:textId="77777777" w:rsidR="00FA40E8" w:rsidRDefault="00E74AE8">
            <w:pPr>
              <w:pStyle w:val="P68B1DB1-Normal12"/>
              <w:spacing w:before="60" w:after="60"/>
              <w:jc w:val="center"/>
              <w:rPr>
                <w:rFonts w:cs="Times New Roman"/>
                <w:noProof/>
              </w:rPr>
            </w:pPr>
            <w:r>
              <w:rPr>
                <w:noProof/>
              </w:rPr>
              <w:t>200</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4AE38B" w14:textId="77777777" w:rsidR="00FA40E8" w:rsidRDefault="00E74AE8">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080C4E" w14:textId="77777777" w:rsidR="00FA40E8" w:rsidRDefault="00E74AE8">
            <w:pPr>
              <w:pStyle w:val="P68B1DB1-Normal12"/>
              <w:spacing w:before="60" w:after="60"/>
              <w:jc w:val="center"/>
              <w:rPr>
                <w:rFonts w:cs="Times New Roman"/>
                <w:noProof/>
              </w:rPr>
            </w:pPr>
            <w:r>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CD111B" w14:textId="387786FA" w:rsidR="00FA40E8" w:rsidRDefault="00E74AE8">
            <w:pPr>
              <w:pStyle w:val="P68B1DB1-Normal12"/>
              <w:spacing w:before="60" w:after="60"/>
              <w:jc w:val="both"/>
              <w:rPr>
                <w:rFonts w:eastAsia="Times New Roman" w:cs="Times New Roman"/>
                <w:noProof/>
              </w:rPr>
            </w:pPr>
            <w:r>
              <w:rPr>
                <w:noProof/>
              </w:rPr>
              <w:t>Au</w:t>
            </w:r>
            <w:r>
              <w:rPr>
                <w:noProof/>
              </w:rPr>
              <w:t xml:space="preserve"> moins 200 projets ou services de conseil destinés aux établissements d’enseignement supérieur et aux PME bénéficient d’un soutien financier: </w:t>
            </w:r>
          </w:p>
          <w:p w14:paraId="401633EB" w14:textId="3D92EB6D" w:rsidR="00FA40E8" w:rsidRDefault="00E74AE8">
            <w:pPr>
              <w:pStyle w:val="P68B1DB1-Normal12"/>
              <w:spacing w:before="60" w:after="60"/>
              <w:jc w:val="both"/>
              <w:rPr>
                <w:rFonts w:eastAsia="Times New Roman" w:cs="Times New Roman"/>
                <w:noProof/>
              </w:rPr>
            </w:pPr>
            <w:r>
              <w:rPr>
                <w:noProof/>
              </w:rPr>
              <w:t>a) 150 projets visant à soutenir la préparation d’études de faisabilité pour permettre aux bénéficiaires potentie</w:t>
            </w:r>
            <w:r>
              <w:rPr>
                <w:noProof/>
              </w:rPr>
              <w:t xml:space="preserve">ls de participer aux actions d’ «Horizon Europe»; </w:t>
            </w:r>
          </w:p>
          <w:p w14:paraId="2E856BA7" w14:textId="2611F61A" w:rsidR="00FA40E8" w:rsidRDefault="00E74AE8">
            <w:pPr>
              <w:pStyle w:val="P68B1DB1-Normal12"/>
              <w:spacing w:before="60" w:after="60"/>
              <w:jc w:val="both"/>
              <w:rPr>
                <w:noProof/>
              </w:rPr>
            </w:pPr>
            <w:r>
              <w:rPr>
                <w:noProof/>
              </w:rPr>
              <w:t>b) 10 services de conseil/d’expertise pour soutenir les compétences permettant de participer à des programmes internationaux de R &amp; D &amp; I.</w:t>
            </w:r>
          </w:p>
          <w:p w14:paraId="2ED282A2" w14:textId="3ABB9965" w:rsidR="00FA40E8" w:rsidRDefault="00E74AE8">
            <w:pPr>
              <w:pStyle w:val="P68B1DB1-Normal12"/>
              <w:spacing w:before="60" w:after="60"/>
              <w:jc w:val="both"/>
              <w:rPr>
                <w:rFonts w:eastAsia="Times New Roman" w:cs="Times New Roman"/>
                <w:noProof/>
              </w:rPr>
            </w:pPr>
            <w:r>
              <w:rPr>
                <w:noProof/>
              </w:rPr>
              <w:t>c) 40 affiliations à des réseaux internationaux.</w:t>
            </w:r>
          </w:p>
        </w:tc>
      </w:tr>
      <w:tr w:rsidR="00FA40E8" w14:paraId="50189135" w14:textId="77777777">
        <w:trPr>
          <w:trHeight w:val="300"/>
        </w:trPr>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A0CCC3" w14:textId="77777777" w:rsidR="00FA40E8" w:rsidRDefault="00E74AE8">
            <w:pPr>
              <w:pStyle w:val="P68B1DB1-Normal12"/>
              <w:spacing w:before="60" w:after="60"/>
              <w:jc w:val="center"/>
              <w:rPr>
                <w:rFonts w:cs="Times New Roman"/>
                <w:noProof/>
              </w:rPr>
            </w:pPr>
            <w:r>
              <w:rPr>
                <w:noProof/>
              </w:rPr>
              <w:t>136</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7563DB" w14:textId="79B5D075" w:rsidR="00FA40E8" w:rsidRDefault="00E74AE8">
            <w:pPr>
              <w:pStyle w:val="P68B1DB1-Normal12"/>
              <w:spacing w:before="60" w:after="60"/>
              <w:rPr>
                <w:noProof/>
              </w:rPr>
            </w:pPr>
            <w:r>
              <w:rPr>
                <w:noProof/>
              </w:rPr>
              <w:t xml:space="preserve">E.1.3. Missions conjointes pour la science et l’innovation dans le domaine de la spécialisation intelligente — </w:t>
            </w:r>
          </w:p>
          <w:p w14:paraId="0DDC2A43" w14:textId="79EA1472" w:rsidR="00FA40E8" w:rsidRDefault="00E74AE8">
            <w:pPr>
              <w:pStyle w:val="P68B1DB1-Normal12"/>
              <w:spacing w:before="60" w:after="60"/>
              <w:rPr>
                <w:rFonts w:cs="Times New Roman"/>
                <w:noProof/>
              </w:rPr>
            </w:pPr>
            <w:r>
              <w:rPr>
                <w:noProof/>
              </w:rPr>
              <w:t xml:space="preserve">E.1.3.3. Encourager la science et les entreprises à participer au programme de recherche et d’innovation de l’UE «Horizon Europe» et à d’autres </w:t>
            </w:r>
            <w:r>
              <w:rPr>
                <w:noProof/>
              </w:rPr>
              <w:t>programmes de financement internationaux</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4E0283" w14:textId="1E66F41E" w:rsidR="00FA40E8" w:rsidRDefault="00E74AE8">
            <w:pPr>
              <w:pStyle w:val="P68B1DB1-Normal12"/>
              <w:spacing w:before="60" w:after="60"/>
              <w:jc w:val="center"/>
              <w:rPr>
                <w:rFonts w:cs="Times New Roman"/>
                <w:noProof/>
              </w:rPr>
            </w:pPr>
            <w:r>
              <w:rPr>
                <w:noProof/>
              </w:rPr>
              <w:t>Objectif</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C341F2" w14:textId="5AD5D7D8" w:rsidR="00FA40E8" w:rsidRDefault="00E74AE8">
            <w:pPr>
              <w:pStyle w:val="P68B1DB1-Normal12"/>
              <w:spacing w:before="60" w:after="60"/>
              <w:rPr>
                <w:rFonts w:eastAsia="Times New Roman" w:cs="Times New Roman"/>
                <w:noProof/>
              </w:rPr>
            </w:pPr>
            <w:r>
              <w:rPr>
                <w:noProof/>
              </w:rPr>
              <w:t>Projets ou services de conseil pour les candidats potentiels au programme Horizon Europe bénéficiant d’un soutien financier.</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C59908" w14:textId="4AF85510" w:rsidR="00FA40E8" w:rsidRDefault="00FA40E8">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8CC9FA" w14:textId="0560820B" w:rsidR="00FA40E8" w:rsidRDefault="00E74AE8">
            <w:pPr>
              <w:pStyle w:val="P68B1DB1-Normal28"/>
              <w:spacing w:before="60" w:after="60"/>
              <w:jc w:val="center"/>
              <w:rPr>
                <w:noProof/>
              </w:rPr>
            </w:pPr>
            <w:r>
              <w:rPr>
                <w:noProof/>
              </w:rPr>
              <w:t>Nombre</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2D889D" w14:textId="2CD1EC22" w:rsidR="00FA40E8" w:rsidRDefault="00E74AE8">
            <w:pPr>
              <w:pStyle w:val="P68B1DB1-Normal28"/>
              <w:spacing w:before="60" w:after="60"/>
              <w:jc w:val="center"/>
              <w:rPr>
                <w:noProof/>
              </w:rPr>
            </w:pPr>
            <w:r>
              <w:rPr>
                <w:noProof/>
              </w:rPr>
              <w:t>200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DEAE32" w14:textId="638310A0" w:rsidR="00FA40E8" w:rsidRDefault="00E74AE8">
            <w:pPr>
              <w:pStyle w:val="P68B1DB1-Normal28"/>
              <w:spacing w:before="60" w:after="60"/>
              <w:jc w:val="center"/>
              <w:rPr>
                <w:noProof/>
              </w:rPr>
            </w:pPr>
            <w:r>
              <w:rPr>
                <w:noProof/>
              </w:rPr>
              <w:t>480</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DB916" w14:textId="77777777" w:rsidR="00FA40E8" w:rsidRDefault="00E74AE8">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4263D4" w14:textId="04B1C25A" w:rsidR="00FA40E8" w:rsidRDefault="00E74AE8">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164C97" w14:textId="073ECA8E" w:rsidR="00FA40E8" w:rsidRDefault="00E74AE8">
            <w:pPr>
              <w:pStyle w:val="P68B1DB1-Normal12"/>
              <w:spacing w:before="60" w:after="60"/>
              <w:jc w:val="both"/>
              <w:rPr>
                <w:noProof/>
              </w:rPr>
            </w:pPr>
            <w:r>
              <w:rPr>
                <w:noProof/>
              </w:rPr>
              <w:t>Au moins 480 projets ou services de conseil bénéficieront</w:t>
            </w:r>
            <w:r>
              <w:rPr>
                <w:noProof/>
              </w:rPr>
              <w:t xml:space="preserve"> d’un soutien financier (y compris les projets et services de conseil soutenus au titre de la cible 135), dont 67 projets de modernisation des équipements dans les laboratoires et les infrastructures de R &amp; D.</w:t>
            </w:r>
          </w:p>
          <w:p w14:paraId="1F9C73F0" w14:textId="4757C359" w:rsidR="00FA40E8" w:rsidRDefault="00FA40E8">
            <w:pPr>
              <w:spacing w:before="60" w:after="60"/>
              <w:jc w:val="both"/>
              <w:rPr>
                <w:rFonts w:ascii="Times New Roman" w:eastAsia="Times New Roman" w:hAnsi="Times New Roman" w:cs="Times New Roman"/>
                <w:noProof/>
                <w:sz w:val="20"/>
              </w:rPr>
            </w:pPr>
          </w:p>
        </w:tc>
      </w:tr>
    </w:tbl>
    <w:p w14:paraId="54FA5050" w14:textId="77777777" w:rsidR="00FA40E8" w:rsidRDefault="00FA40E8">
      <w:pPr>
        <w:jc w:val="both"/>
        <w:rPr>
          <w:rFonts w:ascii="Times New Roman" w:hAnsi="Times New Roman" w:cs="Times New Roman"/>
          <w:noProof/>
        </w:rPr>
      </w:pPr>
    </w:p>
    <w:p w14:paraId="5C1B74DA" w14:textId="77777777" w:rsidR="00FA40E8" w:rsidRDefault="00FA40E8">
      <w:pPr>
        <w:ind w:left="709"/>
        <w:jc w:val="both"/>
        <w:rPr>
          <w:rFonts w:ascii="Times New Roman" w:hAnsi="Times New Roman" w:cs="Times New Roman"/>
          <w:noProof/>
        </w:rPr>
        <w:sectPr w:rsidR="00FA40E8" w:rsidSect="0074650A">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075822BD" w14:textId="33729B32" w:rsidR="00FA40E8" w:rsidRDefault="00E74AE8">
      <w:pPr>
        <w:pStyle w:val="P68B1DB1-Text15"/>
        <w:keepNext/>
        <w:keepLines/>
        <w:spacing w:before="0" w:after="200" w:line="276" w:lineRule="auto"/>
        <w:ind w:left="0"/>
        <w:outlineLvl w:val="1"/>
        <w:rPr>
          <w:noProof/>
        </w:rPr>
      </w:pPr>
      <w:r>
        <w:rPr>
          <w:noProof/>
        </w:rPr>
        <w:t>E.3. Description des réformes et des investissements en vue d’un soutien sous forme de prêt</w:t>
      </w:r>
    </w:p>
    <w:p w14:paraId="714C6903" w14:textId="543D47C3" w:rsidR="00FA40E8" w:rsidRDefault="00E74AE8">
      <w:pPr>
        <w:pStyle w:val="P68B1DB1-Text126"/>
        <w:spacing w:after="200"/>
        <w:ind w:left="0"/>
        <w:rPr>
          <w:noProof/>
        </w:rPr>
      </w:pPr>
      <w:r>
        <w:rPr>
          <w:noProof/>
        </w:rPr>
        <w:t>E.3.1.</w:t>
      </w:r>
      <w:r>
        <w:rPr>
          <w:b/>
          <w:noProof/>
        </w:rPr>
        <w:t xml:space="preserve"> </w:t>
      </w:r>
      <w:r>
        <w:rPr>
          <w:noProof/>
        </w:rPr>
        <w:t>Investissement 1 «Prêts aux entreprises pour le développement de technologies vertes et à haute valeur ajoutée pour le développemen</w:t>
      </w:r>
      <w:r>
        <w:rPr>
          <w:noProof/>
        </w:rPr>
        <w:t>t industriel»</w:t>
      </w:r>
    </w:p>
    <w:p w14:paraId="04A37279" w14:textId="1370E100" w:rsidR="00FA40E8" w:rsidRDefault="00E74AE8">
      <w:pPr>
        <w:pStyle w:val="P68B1DB1-Normal4"/>
        <w:spacing w:line="240" w:lineRule="auto"/>
        <w:jc w:val="both"/>
        <w:rPr>
          <w:rFonts w:eastAsia="Calibri" w:cs="Times New Roman"/>
          <w:noProof/>
        </w:rPr>
      </w:pPr>
      <w:r>
        <w:rPr>
          <w:noProof/>
        </w:rPr>
        <w:t xml:space="preserve">Cette mesure vise à améliorer l’accès des entreprises au financement pour le développement de technologies vertes et à forte valeur ajoutée et la compétitivité de l’industrie lituanienne de la défense et de la sécurité. </w:t>
      </w:r>
    </w:p>
    <w:p w14:paraId="0D6B3DA3" w14:textId="77777777" w:rsidR="00FA40E8" w:rsidRDefault="00E74AE8">
      <w:pPr>
        <w:pStyle w:val="P68B1DB1-Normal4"/>
        <w:spacing w:line="240" w:lineRule="auto"/>
        <w:jc w:val="both"/>
        <w:rPr>
          <w:rFonts w:eastAsia="Calibri" w:cs="Times New Roman"/>
          <w:noProof/>
        </w:rPr>
      </w:pPr>
      <w:r>
        <w:rPr>
          <w:noProof/>
        </w:rPr>
        <w:t>Le ministère de l’éco</w:t>
      </w:r>
      <w:r>
        <w:rPr>
          <w:noProof/>
        </w:rPr>
        <w:t>nomie et de l’innovation de la République de Lituanie adopte les lignes directrices pour le développement de l’industrie de la défense et de la sécurité 2023-2027 par arrêté ministériel afin d’améliorer la compétitivité de l’industrie lituanienne de la déf</w:t>
      </w:r>
      <w:r>
        <w:rPr>
          <w:noProof/>
        </w:rPr>
        <w:t>ense et de la sécurité.</w:t>
      </w:r>
    </w:p>
    <w:p w14:paraId="66285A19" w14:textId="00607CB5" w:rsidR="00FA40E8" w:rsidRDefault="00E74AE8">
      <w:pPr>
        <w:pStyle w:val="P68B1DB1-Normal25"/>
        <w:spacing w:line="240" w:lineRule="auto"/>
        <w:jc w:val="both"/>
        <w:rPr>
          <w:rFonts w:eastAsia="Calibri" w:cs="Times New Roman"/>
          <w:noProof/>
          <w:sz w:val="24"/>
          <w:szCs w:val="24"/>
        </w:rPr>
      </w:pPr>
      <w:r>
        <w:rPr>
          <w:noProof/>
          <w:sz w:val="24"/>
        </w:rPr>
        <w:t>En outre, cette mesure consiste en un investissement public dans une facilité afin d’encourager les investissements privés et d’améliorer l’accès au financement dans les technologies vertes et à forte valeur ajoutée ainsi que la com</w:t>
      </w:r>
      <w:r>
        <w:rPr>
          <w:noProof/>
          <w:sz w:val="24"/>
        </w:rPr>
        <w:t>pétitivité de l’industrie lituanienne de la défense et de la sécurité. La facilité fonctionne en accordant des prêts subordonnés, syndiqués et directs directement au secteur privé. Sur la base de l’investissement au titre de la FRR, la facilité vise initia</w:t>
      </w:r>
      <w:r>
        <w:rPr>
          <w:noProof/>
          <w:sz w:val="24"/>
        </w:rPr>
        <w:t>lement à fournir au moins</w:t>
      </w:r>
      <w:r>
        <w:rPr>
          <w:noProof/>
          <w:sz w:val="20"/>
        </w:rPr>
        <w:t xml:space="preserve"> </w:t>
      </w:r>
      <w:r>
        <w:rPr>
          <w:noProof/>
          <w:sz w:val="24"/>
        </w:rPr>
        <w:t>850</w:t>
      </w:r>
      <w:r>
        <w:rPr>
          <w:noProof/>
          <w:sz w:val="20"/>
        </w:rPr>
        <w:t xml:space="preserve"> </w:t>
      </w:r>
      <w:r>
        <w:rPr>
          <w:noProof/>
          <w:sz w:val="24"/>
        </w:rPr>
        <w:t>000</w:t>
      </w:r>
      <w:r>
        <w:rPr>
          <w:noProof/>
          <w:sz w:val="20"/>
        </w:rPr>
        <w:t xml:space="preserve"> </w:t>
      </w:r>
      <w:r>
        <w:rPr>
          <w:noProof/>
          <w:sz w:val="24"/>
        </w:rPr>
        <w:t>000 EUR de financement.</w:t>
      </w:r>
    </w:p>
    <w:p w14:paraId="0F44D207" w14:textId="1A252674" w:rsidR="00FA40E8" w:rsidRDefault="00E74AE8">
      <w:pPr>
        <w:spacing w:line="240" w:lineRule="auto"/>
        <w:jc w:val="both"/>
        <w:rPr>
          <w:rFonts w:ascii="Times New Roman" w:eastAsia="Calibri" w:hAnsi="Times New Roman" w:cs="Times New Roman"/>
          <w:noProof/>
          <w:sz w:val="24"/>
          <w:szCs w:val="24"/>
        </w:rPr>
      </w:pPr>
      <w:r>
        <w:rPr>
          <w:rFonts w:ascii="Times New Roman" w:hAnsi="Times New Roman"/>
          <w:noProof/>
          <w:sz w:val="24"/>
        </w:rPr>
        <w:t>La facilité est gérée par INVEGA en tant que partenaire chargé de la mise en œuvre. INVEGA fournit un financement par l’emprunt [cofinancer des projets d’entreprise avec des institutions financières</w:t>
      </w:r>
      <w:r>
        <w:rPr>
          <w:rFonts w:ascii="Times New Roman" w:hAnsi="Times New Roman"/>
          <w:noProof/>
          <w:sz w:val="24"/>
        </w:rPr>
        <w:t xml:space="preserve"> privées (principalement sous la forme de prêts subordonnés) ou, lorsqu’une étude de marché en a démontré la nécessité,</w:t>
      </w:r>
      <w:r>
        <w:rPr>
          <w:rFonts w:ascii="Segoe UI" w:hAnsi="Segoe UI"/>
          <w:noProof/>
          <w:sz w:val="18"/>
        </w:rPr>
        <w:t xml:space="preserve"> </w:t>
      </w:r>
      <w:r>
        <w:rPr>
          <w:rFonts w:ascii="Times New Roman" w:hAnsi="Times New Roman"/>
          <w:noProof/>
          <w:sz w:val="24"/>
        </w:rPr>
        <w:t>financer directement des projets d’entreprise] pour:</w:t>
      </w:r>
    </w:p>
    <w:p w14:paraId="29B49077" w14:textId="76245156" w:rsidR="00FA40E8" w:rsidRDefault="00E74AE8">
      <w:pPr>
        <w:pStyle w:val="P68B1DB1-ListParagraph16"/>
        <w:numPr>
          <w:ilvl w:val="0"/>
          <w:numId w:val="124"/>
        </w:numPr>
        <w:spacing w:line="240" w:lineRule="auto"/>
        <w:jc w:val="both"/>
        <w:rPr>
          <w:rFonts w:eastAsia="Calibri" w:cs="Times New Roman"/>
          <w:noProof/>
          <w:szCs w:val="24"/>
        </w:rPr>
      </w:pPr>
      <w:r>
        <w:rPr>
          <w:noProof/>
        </w:rPr>
        <w:t>projets contribuant à la réalisation d’au moins un des objectifs suivants: le dével</w:t>
      </w:r>
      <w:r>
        <w:rPr>
          <w:noProof/>
        </w:rPr>
        <w:t>oppement de la circularité, de la décarbonation, de l’efficacité énergétique, des technologies respectueuses de l’environnement, à faibles déchets, avancées, innovantes et numériques, de la capacité de production de produits à haute valeur ajoutée ou de pr</w:t>
      </w:r>
      <w:r>
        <w:rPr>
          <w:noProof/>
        </w:rPr>
        <w:t xml:space="preserve">ojets dans l’industrie de la défense et de la sécurité. </w:t>
      </w:r>
    </w:p>
    <w:p w14:paraId="0F16ED04" w14:textId="1E8E7F46" w:rsidR="00FA40E8" w:rsidRDefault="00E74AE8">
      <w:pPr>
        <w:pStyle w:val="P68B1DB1-Normal4"/>
        <w:spacing w:line="240" w:lineRule="auto"/>
        <w:jc w:val="both"/>
        <w:rPr>
          <w:rFonts w:eastAsia="Calibri" w:cs="Times New Roman"/>
          <w:noProof/>
        </w:rPr>
      </w:pPr>
      <w:r>
        <w:rPr>
          <w:noProof/>
        </w:rPr>
        <w:t>Afin de mettre en œuvre l’investissement dans la facilité, la Lituanie et INVEGA signent un accord de financement (ou une modification d’un accord existant relatif à un fonds de fonds) qui comprend l</w:t>
      </w:r>
      <w:r>
        <w:rPr>
          <w:noProof/>
        </w:rPr>
        <w:t>es éléments suivants:</w:t>
      </w:r>
    </w:p>
    <w:p w14:paraId="7D8F6660" w14:textId="1B24732E" w:rsidR="00FA40E8" w:rsidRDefault="00E74AE8">
      <w:pPr>
        <w:pStyle w:val="P68B1DB1-ListParagraph16"/>
        <w:numPr>
          <w:ilvl w:val="0"/>
          <w:numId w:val="53"/>
        </w:numPr>
        <w:spacing w:line="256" w:lineRule="auto"/>
        <w:jc w:val="both"/>
        <w:rPr>
          <w:rFonts w:eastAsia="Times New Roman" w:cs="Times New Roman"/>
          <w:noProof/>
        </w:rPr>
      </w:pPr>
      <w:r>
        <w:rPr>
          <w:noProof/>
        </w:rPr>
        <w:t>Description du processus décisionnel de la facilité: La décision finale d’investissement de la facilité est prise par un comité de crédit, un conseil d’administration d’INVEGA ou un autre organe de direction équivalent pertinent et ap</w:t>
      </w:r>
      <w:r>
        <w:rPr>
          <w:noProof/>
        </w:rPr>
        <w:t>prouvée à la majorité des voix des membres indépendants du gouvernement.</w:t>
      </w:r>
    </w:p>
    <w:p w14:paraId="01576C5C" w14:textId="59F44052" w:rsidR="00FA40E8" w:rsidRDefault="00E74AE8">
      <w:pPr>
        <w:pStyle w:val="P68B1DB1-ListParagraph16"/>
        <w:numPr>
          <w:ilvl w:val="0"/>
          <w:numId w:val="53"/>
        </w:numPr>
        <w:spacing w:line="256" w:lineRule="auto"/>
        <w:jc w:val="both"/>
        <w:rPr>
          <w:rFonts w:eastAsia="Calibri" w:cs="Times New Roman"/>
          <w:noProof/>
        </w:rPr>
      </w:pPr>
      <w:r>
        <w:rPr>
          <w:noProof/>
        </w:rPr>
        <w:t>Les principales exigences de la stratégie d’investissement associée,</w:t>
      </w:r>
      <w:r>
        <w:rPr>
          <w:b/>
          <w:noProof/>
        </w:rPr>
        <w:t xml:space="preserve"> </w:t>
      </w:r>
      <w:r>
        <w:rPr>
          <w:noProof/>
        </w:rPr>
        <w:t>à savoir:</w:t>
      </w:r>
    </w:p>
    <w:p w14:paraId="11E4C617" w14:textId="6D9CC710" w:rsidR="00FA40E8" w:rsidRDefault="00E74AE8">
      <w:pPr>
        <w:pStyle w:val="ListParagraph"/>
        <w:numPr>
          <w:ilvl w:val="0"/>
          <w:numId w:val="54"/>
        </w:numPr>
        <w:spacing w:line="256" w:lineRule="auto"/>
        <w:ind w:left="1134"/>
        <w:jc w:val="both"/>
        <w:rPr>
          <w:rFonts w:ascii="Calibri" w:eastAsia="Calibri" w:hAnsi="Calibri" w:cs="Times New Roman"/>
          <w:noProof/>
        </w:rPr>
      </w:pPr>
      <w:r>
        <w:rPr>
          <w:rFonts w:ascii="Times New Roman" w:hAnsi="Times New Roman"/>
          <w:noProof/>
          <w:sz w:val="24"/>
        </w:rPr>
        <w:t>La description des produits financiers et des bénéficiaires finaux éligibles</w:t>
      </w:r>
      <w:r>
        <w:rPr>
          <w:rFonts w:ascii="Calibri" w:hAnsi="Calibri"/>
          <w:noProof/>
          <w:sz w:val="24"/>
        </w:rPr>
        <w:t xml:space="preserve">. Pour </w:t>
      </w:r>
      <w:r>
        <w:rPr>
          <w:rFonts w:ascii="Times New Roman" w:hAnsi="Times New Roman"/>
          <w:noProof/>
          <w:sz w:val="24"/>
        </w:rPr>
        <w:t>les investissements s</w:t>
      </w:r>
      <w:r>
        <w:rPr>
          <w:rFonts w:ascii="Times New Roman" w:hAnsi="Times New Roman"/>
          <w:noProof/>
          <w:sz w:val="24"/>
        </w:rPr>
        <w:t>tratégiques (c’est-à-dire ceux dans les technologies de défense; investissements spatiaux dans les horloges atomiques et les lanceurs stratégiques; produits spatiaux; et les investissements axés uniquement sur le développement et le déploiement d’outils et</w:t>
      </w:r>
      <w:r>
        <w:rPr>
          <w:rFonts w:ascii="Times New Roman" w:hAnsi="Times New Roman"/>
          <w:noProof/>
          <w:sz w:val="24"/>
        </w:rPr>
        <w:t xml:space="preserve"> de solutions de cybersécurité, y compris lorsque ceux-ci s’inscrivent dans le cadre du déploiement ou de la mise à niveau de réseaux numériques et d’infrastructures de données), les bénéficiaires finaux ne sont pas contrôlés par un pays tiers ou des entit</w:t>
      </w:r>
      <w:r>
        <w:rPr>
          <w:rFonts w:ascii="Times New Roman" w:hAnsi="Times New Roman"/>
          <w:noProof/>
          <w:sz w:val="24"/>
        </w:rPr>
        <w:t>és de pays tiers et ont leur direction exécutive dans l’Union, sauf pour les investissements inférieurs à</w:t>
      </w:r>
      <w:r>
        <w:rPr>
          <w:rFonts w:ascii="Times New Roman" w:hAnsi="Times New Roman"/>
          <w:noProof/>
          <w:sz w:val="20"/>
        </w:rPr>
        <w:t xml:space="preserve"> </w:t>
      </w:r>
      <w:r>
        <w:rPr>
          <w:rFonts w:ascii="Times New Roman" w:hAnsi="Times New Roman"/>
          <w:noProof/>
          <w:sz w:val="24"/>
        </w:rPr>
        <w:t>10</w:t>
      </w:r>
      <w:r>
        <w:rPr>
          <w:rFonts w:ascii="Times New Roman" w:hAnsi="Times New Roman"/>
          <w:noProof/>
          <w:sz w:val="20"/>
        </w:rPr>
        <w:t xml:space="preserve"> </w:t>
      </w:r>
      <w:r>
        <w:rPr>
          <w:rFonts w:ascii="Times New Roman" w:hAnsi="Times New Roman"/>
          <w:noProof/>
          <w:sz w:val="24"/>
        </w:rPr>
        <w:t>000</w:t>
      </w:r>
      <w:r>
        <w:rPr>
          <w:rFonts w:ascii="Times New Roman" w:hAnsi="Times New Roman"/>
          <w:noProof/>
          <w:sz w:val="20"/>
        </w:rPr>
        <w:t xml:space="preserve"> </w:t>
      </w:r>
      <w:r>
        <w:rPr>
          <w:rFonts w:ascii="Times New Roman" w:hAnsi="Times New Roman"/>
          <w:noProof/>
          <w:sz w:val="24"/>
        </w:rPr>
        <w:t>000 EUR. Si le bénéficiaire final participe à un investissement stratégique dans le domaine de la connectivité 5G, les mesures et les plans d’a</w:t>
      </w:r>
      <w:r>
        <w:rPr>
          <w:rFonts w:ascii="Times New Roman" w:hAnsi="Times New Roman"/>
          <w:noProof/>
          <w:sz w:val="24"/>
        </w:rPr>
        <w:t>tténuation des risques, conformément à la boîte à outils pour la cybersécurité de la 5G, s’appliquent également à ses fournisseurs. Il s’agit notamment de fournisseurs d’équipements et de fabricants de télécommunications et d’autres fournisseurs tiers, tel</w:t>
      </w:r>
      <w:r>
        <w:rPr>
          <w:rFonts w:ascii="Times New Roman" w:hAnsi="Times New Roman"/>
          <w:noProof/>
          <w:sz w:val="24"/>
        </w:rPr>
        <w:t>s que des fournisseurs d’infrastructures en nuage, des fournisseurs de services gérés, des intégrateurs de systèmes, des contractants en matière de sécurité et de maintenance et des fabricants d’équipements de transmission. Lorsque le bénéficiaire final pa</w:t>
      </w:r>
      <w:r>
        <w:rPr>
          <w:rFonts w:ascii="Times New Roman" w:hAnsi="Times New Roman"/>
          <w:noProof/>
          <w:sz w:val="24"/>
        </w:rPr>
        <w:t>rticipe à un investissement stratégique dans le domaine de la défense, cette limitation s’applique également à ses fournisseurs et sous-traitants. Les limitations concernant l’absence de contrôle par un pays tiers ou une entité d’un pays tiers énoncées ci-</w:t>
      </w:r>
      <w:r>
        <w:rPr>
          <w:rFonts w:ascii="Times New Roman" w:hAnsi="Times New Roman"/>
          <w:noProof/>
          <w:sz w:val="24"/>
        </w:rPr>
        <w:t>dessus ne s’appliquent pas à une opération de financement et d’investissement particulière lorsque le bénéficiaire final peut démontrer qu’il s’agit d’une entité juridique pour laquelle l’État membre dans lequel il est établi a approuvé une garantie confor</w:t>
      </w:r>
      <w:r>
        <w:rPr>
          <w:rFonts w:ascii="Times New Roman" w:hAnsi="Times New Roman"/>
          <w:noProof/>
          <w:sz w:val="24"/>
        </w:rPr>
        <w:t>mément aux dispositions pertinentes du règlement relatif au Fonds européen de la défense (FED) ou la dérogation de la Commission accordée conformément aux principes concernant les entités éligibles énoncés dans les dispositions pertinentes du règlement sur</w:t>
      </w:r>
      <w:r>
        <w:rPr>
          <w:rFonts w:ascii="Times New Roman" w:hAnsi="Times New Roman"/>
          <w:noProof/>
          <w:sz w:val="24"/>
        </w:rPr>
        <w:t xml:space="preserve"> l’espace. Le partenaire chargé de la mise en œuvre doit notifier au gouvernement toute dérogation accordée à ces limitations.</w:t>
      </w:r>
    </w:p>
    <w:p w14:paraId="10900A78" w14:textId="455FE763" w:rsidR="00FA40E8" w:rsidRDefault="00E74AE8">
      <w:pPr>
        <w:pStyle w:val="P68B1DB1-ListParagraph16"/>
        <w:numPr>
          <w:ilvl w:val="0"/>
          <w:numId w:val="54"/>
        </w:numPr>
        <w:spacing w:line="256" w:lineRule="auto"/>
        <w:ind w:left="1134"/>
        <w:jc w:val="both"/>
        <w:rPr>
          <w:rFonts w:eastAsia="Calibri" w:cs="Times New Roman"/>
          <w:noProof/>
        </w:rPr>
      </w:pPr>
      <w:r>
        <w:rPr>
          <w:noProof/>
        </w:rPr>
        <w:t>L’exigence que tous les investissements soutenus soient financièrement viables.</w:t>
      </w:r>
    </w:p>
    <w:p w14:paraId="00EE5FB9" w14:textId="576DDB06" w:rsidR="00FA40E8" w:rsidRDefault="00E74AE8">
      <w:pPr>
        <w:pStyle w:val="ListParagraph"/>
        <w:numPr>
          <w:ilvl w:val="0"/>
          <w:numId w:val="54"/>
        </w:numPr>
        <w:spacing w:line="256" w:lineRule="auto"/>
        <w:ind w:left="1134"/>
        <w:jc w:val="both"/>
        <w:rPr>
          <w:rFonts w:ascii="Times New Roman" w:eastAsia="Calibri" w:hAnsi="Times New Roman" w:cs="Times New Roman"/>
          <w:noProof/>
          <w:sz w:val="24"/>
        </w:rPr>
      </w:pPr>
      <w:r>
        <w:rPr>
          <w:rFonts w:ascii="Times New Roman" w:hAnsi="Times New Roman"/>
          <w:noProof/>
          <w:sz w:val="24"/>
        </w:rPr>
        <w:t>L’obligation de respecter le principe consistant à «ne pas causer de préjudice important» tel qu’énoncé dans les orientations techniques relatives au principe consistant à «ne pas causer de préjudice important» (2021/C58/01). En particulier, la stratégie d</w:t>
      </w:r>
      <w:r>
        <w:rPr>
          <w:rFonts w:ascii="Times New Roman" w:hAnsi="Times New Roman"/>
          <w:noProof/>
          <w:sz w:val="24"/>
        </w:rPr>
        <w:t>’investissement exclut de l’éligibilité la liste suivante d’activités et d’actifs: les activités et actifs liés aux combustibles fossiles, y compris leur utilisation en aval</w:t>
      </w:r>
      <w:r>
        <w:rPr>
          <w:noProof/>
        </w:rPr>
        <w:footnoteReference w:id="3"/>
      </w:r>
      <w:r>
        <w:rPr>
          <w:rFonts w:ascii="Times New Roman" w:hAnsi="Times New Roman"/>
          <w:noProof/>
          <w:sz w:val="24"/>
        </w:rPr>
        <w:t>, ii) les activités et actifs relevant du système d’échange de quotas d’émission d</w:t>
      </w:r>
      <w:r>
        <w:rPr>
          <w:rFonts w:ascii="Times New Roman" w:hAnsi="Times New Roman"/>
          <w:noProof/>
          <w:sz w:val="24"/>
        </w:rPr>
        <w:t>e l’UE (SEQE) permettant d’atteindre les émissions de gaz à effet de serre prévues qui ne sont pas inférieures aux valeurs de référence pertinentes</w:t>
      </w:r>
      <w:r w:rsidRPr="00655914">
        <w:rPr>
          <w:noProof/>
          <w:vertAlign w:val="superscript"/>
        </w:rPr>
        <w:footnoteReference w:id="4"/>
      </w:r>
      <w:r>
        <w:rPr>
          <w:rFonts w:ascii="Times New Roman" w:hAnsi="Times New Roman"/>
          <w:noProof/>
          <w:sz w:val="24"/>
        </w:rPr>
        <w:t>, iii) les activités et actifs liés aux décharges de déchets, aux incinérateurs</w:t>
      </w:r>
      <w:r>
        <w:rPr>
          <w:rStyle w:val="FootnoteReference"/>
          <w:rFonts w:ascii="Times New Roman" w:eastAsia="Calibri" w:hAnsi="Times New Roman" w:cs="Times New Roman"/>
          <w:noProof/>
          <w:sz w:val="24"/>
        </w:rPr>
        <w:footnoteReference w:id="5"/>
      </w:r>
      <w:r>
        <w:rPr>
          <w:rFonts w:ascii="Times New Roman" w:hAnsi="Times New Roman"/>
          <w:noProof/>
          <w:sz w:val="24"/>
        </w:rPr>
        <w:t xml:space="preserve"> et aux installations de tra</w:t>
      </w:r>
      <w:r>
        <w:rPr>
          <w:rFonts w:ascii="Times New Roman" w:hAnsi="Times New Roman"/>
          <w:noProof/>
          <w:sz w:val="24"/>
        </w:rPr>
        <w:t>itement biomécanique</w:t>
      </w:r>
      <w:r>
        <w:rPr>
          <w:rStyle w:val="FootnoteReference"/>
          <w:rFonts w:ascii="Times New Roman" w:eastAsia="Calibri" w:hAnsi="Times New Roman" w:cs="Times New Roman"/>
          <w:noProof/>
          <w:sz w:val="24"/>
        </w:rPr>
        <w:footnoteReference w:id="6"/>
      </w:r>
      <w:r>
        <w:rPr>
          <w:rFonts w:ascii="Times New Roman" w:hAnsi="Times New Roman"/>
          <w:noProof/>
          <w:sz w:val="24"/>
        </w:rPr>
        <w:t>. En outre, la stratégie d’investissement exige le</w:t>
      </w:r>
      <w:r>
        <w:rPr>
          <w:rFonts w:ascii="Times New Roman" w:hAnsi="Times New Roman"/>
          <w:b/>
          <w:noProof/>
          <w:sz w:val="24"/>
        </w:rPr>
        <w:t xml:space="preserve"> </w:t>
      </w:r>
      <w:r>
        <w:rPr>
          <w:rFonts w:ascii="Times New Roman" w:hAnsi="Times New Roman"/>
          <w:noProof/>
          <w:sz w:val="24"/>
        </w:rPr>
        <w:t>respect de la législation environnementale nationale et de l’Union applicable des bénéficiaires finaux de la facilité.</w:t>
      </w:r>
    </w:p>
    <w:p w14:paraId="10005BA3" w14:textId="77777777" w:rsidR="00FA40E8" w:rsidRDefault="00E74AE8">
      <w:pPr>
        <w:pStyle w:val="P68B1DB1-ListParagraph16"/>
        <w:numPr>
          <w:ilvl w:val="0"/>
          <w:numId w:val="54"/>
        </w:numPr>
        <w:spacing w:line="256" w:lineRule="auto"/>
        <w:ind w:left="1134"/>
        <w:jc w:val="both"/>
        <w:rPr>
          <w:rFonts w:eastAsia="Calibri" w:cs="Times New Roman"/>
          <w:noProof/>
        </w:rPr>
      </w:pPr>
      <w:r>
        <w:rPr>
          <w:noProof/>
        </w:rPr>
        <w:t>L’exigence selon laquelle les bénéficiaires finaux de la facilité</w:t>
      </w:r>
      <w:r>
        <w:rPr>
          <w:noProof/>
        </w:rPr>
        <w:t xml:space="preserve"> ne reçoivent pas de soutien d’autres instruments de l’Union pour couvrir les mêmes coûts.</w:t>
      </w:r>
    </w:p>
    <w:p w14:paraId="78C82C17" w14:textId="5E04D56B" w:rsidR="00FA40E8" w:rsidRDefault="00E74AE8">
      <w:pPr>
        <w:pStyle w:val="P68B1DB1-ListParagraph16"/>
        <w:numPr>
          <w:ilvl w:val="0"/>
          <w:numId w:val="53"/>
        </w:numPr>
        <w:spacing w:line="256" w:lineRule="auto"/>
        <w:jc w:val="both"/>
        <w:rPr>
          <w:rFonts w:eastAsia="Calibri" w:cs="Times New Roman"/>
          <w:noProof/>
        </w:rPr>
      </w:pPr>
      <w:r>
        <w:rPr>
          <w:noProof/>
        </w:rPr>
        <w:t>Le montant couvert par l’accord de financement (ou une modification d’un accord existant relatif à un Fonds de fonds), la structure des frais pour le partenaire char</w:t>
      </w:r>
      <w:r>
        <w:rPr>
          <w:noProof/>
        </w:rPr>
        <w:t xml:space="preserve">gé de la mise en œuvre et l’obligation de réinvestir les remboursements conformément à la stratégie d’investissement de la facilité, à moins qu’ils ne soient utilisés pour assurer le service des remboursements de prêts de la facilité pour la reprise et la </w:t>
      </w:r>
      <w:r>
        <w:rPr>
          <w:noProof/>
        </w:rPr>
        <w:t xml:space="preserve">résilience. </w:t>
      </w:r>
    </w:p>
    <w:p w14:paraId="3250712E" w14:textId="00A56932" w:rsidR="00FA40E8" w:rsidRDefault="00E74AE8">
      <w:pPr>
        <w:pStyle w:val="P68B1DB1-ListParagraph16"/>
        <w:numPr>
          <w:ilvl w:val="0"/>
          <w:numId w:val="53"/>
        </w:numPr>
        <w:spacing w:line="256" w:lineRule="auto"/>
        <w:jc w:val="both"/>
        <w:rPr>
          <w:rFonts w:eastAsia="Calibri" w:cs="Times New Roman"/>
          <w:noProof/>
        </w:rPr>
      </w:pPr>
      <w:r>
        <w:rPr>
          <w:noProof/>
        </w:rPr>
        <w:t>Exigences en matière de suivi, d’audit et de contrôle, y compris:</w:t>
      </w:r>
    </w:p>
    <w:p w14:paraId="5312D13E" w14:textId="4EFD561A" w:rsidR="00FA40E8" w:rsidRDefault="00E74AE8">
      <w:pPr>
        <w:pStyle w:val="P68B1DB1-ListParagraph16"/>
        <w:numPr>
          <w:ilvl w:val="0"/>
          <w:numId w:val="63"/>
        </w:numPr>
        <w:spacing w:line="256" w:lineRule="auto"/>
        <w:ind w:left="1134"/>
        <w:jc w:val="both"/>
        <w:rPr>
          <w:rFonts w:eastAsia="Calibri" w:cs="Times New Roman"/>
          <w:noProof/>
        </w:rPr>
      </w:pPr>
      <w:r>
        <w:rPr>
          <w:noProof/>
        </w:rPr>
        <w:t>La description des grands principes du système de suivi du partenaire chargé de la mise en œuvre pour rendre compte des investissements mobilisés.</w:t>
      </w:r>
    </w:p>
    <w:p w14:paraId="13F22812" w14:textId="2216FAFA" w:rsidR="00FA40E8" w:rsidRDefault="00E74AE8">
      <w:pPr>
        <w:pStyle w:val="P68B1DB1-ListParagraph16"/>
        <w:numPr>
          <w:ilvl w:val="0"/>
          <w:numId w:val="63"/>
        </w:numPr>
        <w:spacing w:line="256" w:lineRule="auto"/>
        <w:ind w:left="1134"/>
        <w:jc w:val="both"/>
        <w:rPr>
          <w:rFonts w:eastAsia="Calibri" w:cs="Times New Roman"/>
          <w:noProof/>
        </w:rPr>
      </w:pPr>
      <w:r>
        <w:rPr>
          <w:noProof/>
        </w:rPr>
        <w:t>La description des grands prin</w:t>
      </w:r>
      <w:r>
        <w:rPr>
          <w:noProof/>
        </w:rPr>
        <w:t xml:space="preserve">cipes des procédures du partenaire chargé de la mise en œuvre visant à garantir la prévention, la détection et la correction de la fraude, de la corruption et des conflits d’intérêts dans les activités du partenaire chargé de la mise en œuvre. </w:t>
      </w:r>
    </w:p>
    <w:p w14:paraId="4BF7E745" w14:textId="16305E51" w:rsidR="00FA40E8" w:rsidRDefault="00E74AE8">
      <w:pPr>
        <w:pStyle w:val="P68B1DB1-ListParagraph16"/>
        <w:numPr>
          <w:ilvl w:val="0"/>
          <w:numId w:val="63"/>
        </w:numPr>
        <w:spacing w:line="256" w:lineRule="auto"/>
        <w:ind w:left="1134"/>
        <w:jc w:val="both"/>
        <w:rPr>
          <w:rFonts w:eastAsia="Calibri" w:cs="Times New Roman"/>
          <w:noProof/>
          <w:szCs w:val="24"/>
        </w:rPr>
      </w:pPr>
      <w:r>
        <w:rPr>
          <w:noProof/>
        </w:rPr>
        <w:t>L’obligatio</w:t>
      </w:r>
      <w:r>
        <w:rPr>
          <w:noProof/>
        </w:rPr>
        <w:t>n de vérifier l’éligibilité de chaque opération conformément aux exigences énoncées dans l’accord de financement (ou dans un avenant à un accord existant relatif à un fonds de fonds) avant de s’engager à financer une opération.</w:t>
      </w:r>
    </w:p>
    <w:p w14:paraId="6A7227DA" w14:textId="7BC7A4B8" w:rsidR="00FA40E8" w:rsidRDefault="00E74AE8">
      <w:pPr>
        <w:pStyle w:val="P68B1DB1-ListParagraph16"/>
        <w:numPr>
          <w:ilvl w:val="0"/>
          <w:numId w:val="63"/>
        </w:numPr>
        <w:spacing w:line="256" w:lineRule="auto"/>
        <w:ind w:left="1134"/>
        <w:jc w:val="both"/>
        <w:rPr>
          <w:rFonts w:eastAsia="Calibri" w:cs="Times New Roman"/>
          <w:noProof/>
        </w:rPr>
      </w:pPr>
      <w:r>
        <w:rPr>
          <w:noProof/>
        </w:rPr>
        <w:t>L’obligation d’effectuer des</w:t>
      </w:r>
      <w:r>
        <w:rPr>
          <w:noProof/>
        </w:rPr>
        <w:t xml:space="preserve"> contrôles ex post fondés sur les risques conformément au plan de contrôle interne d’INVEGA. Ces contrôles visent à vérifier i) l’efficacité des systèmes de contrôle de l’INVEGA, y compris la détection de la fraude, de la corruption et des conflits d’intér</w:t>
      </w:r>
      <w:r>
        <w:rPr>
          <w:noProof/>
        </w:rPr>
        <w:t>êts; II) le respect du principe consistant à «ne pas causer de préjudice important» et des règles en matière d’aides d’État; et iii) que l’exigence selon laquelle les bénéficiaires finaux de la facilité n’ont pas reçu de soutien d’autres instruments de l’U</w:t>
      </w:r>
      <w:r>
        <w:rPr>
          <w:noProof/>
        </w:rPr>
        <w:t xml:space="preserve">nion pour couvrir les mêmes coûts est respectée. Les audits vérifient également la légalité des opérations et le respect des conditions de l’accord de financement applicable (ou d’une modification d’un accord existant relatif à un fonds de fonds). </w:t>
      </w:r>
    </w:p>
    <w:p w14:paraId="318A8D95" w14:textId="1ECEB27A" w:rsidR="00FA40E8" w:rsidRDefault="00FA40E8">
      <w:pPr>
        <w:pStyle w:val="Text1"/>
        <w:spacing w:after="200"/>
        <w:ind w:left="0"/>
        <w:rPr>
          <w:noProof/>
        </w:rPr>
        <w:sectPr w:rsidR="00FA40E8" w:rsidSect="0074650A">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p>
    <w:p w14:paraId="7DE99F3D" w14:textId="4EB8AAE6" w:rsidR="00FA40E8" w:rsidRDefault="00E74AE8">
      <w:pPr>
        <w:pStyle w:val="P68B1DB1-Text15"/>
        <w:keepNext/>
        <w:keepLines/>
        <w:spacing w:before="0" w:after="200" w:line="276" w:lineRule="auto"/>
        <w:ind w:left="0"/>
        <w:outlineLvl w:val="1"/>
        <w:rPr>
          <w:noProof/>
        </w:rPr>
      </w:pPr>
      <w:r>
        <w:rPr>
          <w:noProof/>
        </w:rPr>
        <w:t>E.4. Valeurs intermédiaires, valeurs cibles, indicateurs et calendrier de suivi et de mise en œuvre du soutien sous forme de prêt</w:t>
      </w:r>
    </w:p>
    <w:tbl>
      <w:tblPr>
        <w:tblW w:w="14870" w:type="dxa"/>
        <w:tblInd w:w="-269" w:type="dxa"/>
        <w:tblLayout w:type="fixed"/>
        <w:tblLook w:val="04A0" w:firstRow="1" w:lastRow="0" w:firstColumn="1" w:lastColumn="0" w:noHBand="0" w:noVBand="1"/>
      </w:tblPr>
      <w:tblGrid>
        <w:gridCol w:w="655"/>
        <w:gridCol w:w="1990"/>
        <w:gridCol w:w="1134"/>
        <w:gridCol w:w="1541"/>
        <w:gridCol w:w="1569"/>
        <w:gridCol w:w="700"/>
        <w:gridCol w:w="991"/>
        <w:gridCol w:w="848"/>
        <w:gridCol w:w="1014"/>
        <w:gridCol w:w="877"/>
        <w:gridCol w:w="3551"/>
      </w:tblGrid>
      <w:tr w:rsidR="00FA40E8" w14:paraId="771F9F50" w14:textId="77777777">
        <w:trPr>
          <w:trHeight w:val="300"/>
          <w:tblHeader/>
        </w:trPr>
        <w:tc>
          <w:tcPr>
            <w:tcW w:w="655"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7613C9" w14:textId="76D151B8" w:rsidR="00FA40E8" w:rsidRDefault="00E74AE8">
            <w:pPr>
              <w:pStyle w:val="P68B1DB1-Normal9"/>
              <w:spacing w:before="60" w:after="60"/>
              <w:jc w:val="center"/>
              <w:rPr>
                <w:rFonts w:eastAsia="Times New Roman" w:cs="Times New Roman"/>
                <w:noProof/>
              </w:rPr>
            </w:pPr>
            <w:r>
              <w:rPr>
                <w:noProof/>
              </w:rPr>
              <w:t>Non.</w:t>
            </w:r>
          </w:p>
        </w:tc>
        <w:tc>
          <w:tcPr>
            <w:tcW w:w="199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E1D30D" w14:textId="3E7C337D" w:rsidR="00FA40E8" w:rsidRDefault="00E74AE8">
            <w:pPr>
              <w:pStyle w:val="P68B1DB1-Normal9"/>
              <w:spacing w:before="60" w:after="60"/>
              <w:jc w:val="center"/>
              <w:rPr>
                <w:rFonts w:eastAsia="Times New Roman" w:cs="Times New Roman"/>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E6A42B5" w14:textId="548C5F9D" w:rsidR="00FA40E8" w:rsidRDefault="00E74AE8">
            <w:pPr>
              <w:pStyle w:val="P68B1DB1-Normal9"/>
              <w:spacing w:before="60" w:after="60"/>
              <w:jc w:val="center"/>
              <w:rPr>
                <w:rFonts w:eastAsia="Times New Roman" w:cs="Times New Roman"/>
                <w:noProof/>
              </w:rPr>
            </w:pPr>
            <w:r>
              <w:rPr>
                <w:noProof/>
              </w:rPr>
              <w:t>Milestone/</w:t>
            </w:r>
            <w:r>
              <w:rPr>
                <w:noProof/>
              </w:rPr>
              <w:br/>
              <w:t>Objectif</w:t>
            </w:r>
          </w:p>
        </w:tc>
        <w:tc>
          <w:tcPr>
            <w:tcW w:w="1541"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D8E014E" w14:textId="79499C9C" w:rsidR="00FA40E8" w:rsidRDefault="00E74AE8">
            <w:pPr>
              <w:pStyle w:val="P68B1DB1-Normal9"/>
              <w:spacing w:before="60" w:after="60"/>
              <w:jc w:val="center"/>
              <w:rPr>
                <w:rFonts w:eastAsia="Times New Roman" w:cs="Times New Roman"/>
                <w:noProof/>
              </w:rPr>
            </w:pPr>
            <w:r>
              <w:rPr>
                <w:noProof/>
              </w:rPr>
              <w:t>Titre</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D4E83A" w14:textId="6AFD9D62" w:rsidR="00FA40E8" w:rsidRDefault="00E74AE8">
            <w:pPr>
              <w:pStyle w:val="P68B1DB1-Normal10"/>
              <w:spacing w:before="60" w:after="60"/>
              <w:jc w:val="center"/>
              <w:rPr>
                <w:rFonts w:ascii="Times New Roman" w:eastAsia="Times New Roman" w:hAnsi="Times New Roman" w:cs="Times New Roman"/>
                <w:noProof/>
              </w:rPr>
            </w:pPr>
            <w:r>
              <w:rPr>
                <w:rFonts w:ascii="Times New Roman" w:hAnsi="Times New Roman"/>
                <w:b/>
                <w:noProof/>
              </w:rPr>
              <w:t>Indicateurs qualitatifs</w:t>
            </w:r>
            <w:r>
              <w:rPr>
                <w:noProof/>
              </w:rPr>
              <w:br/>
            </w:r>
            <w:r>
              <w:rPr>
                <w:rFonts w:ascii="Times New Roman" w:hAnsi="Times New Roman"/>
                <w:b/>
                <w:noProof/>
              </w:rPr>
              <w:t>(pour les étapes)</w:t>
            </w:r>
          </w:p>
        </w:tc>
        <w:tc>
          <w:tcPr>
            <w:tcW w:w="2539"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1DDB936" w14:textId="1E5FA91E" w:rsidR="00FA40E8" w:rsidRDefault="00E74AE8">
            <w:pPr>
              <w:pStyle w:val="P68B1DB1-Normal10"/>
              <w:spacing w:before="60" w:after="60"/>
              <w:jc w:val="center"/>
              <w:rPr>
                <w:rFonts w:ascii="Times New Roman" w:eastAsia="Times New Roman" w:hAnsi="Times New Roman" w:cs="Times New Roman"/>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891"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21712AD" w14:textId="105A5084" w:rsidR="00FA40E8" w:rsidRDefault="00E74AE8">
            <w:pPr>
              <w:pStyle w:val="P68B1DB1-Normal9"/>
              <w:spacing w:before="60" w:after="60"/>
              <w:jc w:val="center"/>
              <w:rPr>
                <w:rFonts w:eastAsia="Times New Roman" w:cs="Times New Roman"/>
                <w:noProof/>
              </w:rPr>
            </w:pPr>
            <w:r>
              <w:rPr>
                <w:noProof/>
              </w:rPr>
              <w:t>Calendrier indicatif d’achèvement</w:t>
            </w:r>
          </w:p>
        </w:tc>
        <w:tc>
          <w:tcPr>
            <w:tcW w:w="3551"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A344A51" w14:textId="7687E4D2" w:rsidR="00FA40E8" w:rsidRDefault="00E74AE8">
            <w:pPr>
              <w:pStyle w:val="P68B1DB1-Normal9"/>
              <w:spacing w:before="60" w:after="60"/>
              <w:jc w:val="center"/>
              <w:rPr>
                <w:rFonts w:eastAsia="Times New Roman" w:cs="Times New Roman"/>
                <w:noProof/>
              </w:rPr>
            </w:pPr>
            <w:r>
              <w:rPr>
                <w:noProof/>
              </w:rPr>
              <w:t>Description et définition claire de chaque jalon et cible</w:t>
            </w:r>
          </w:p>
        </w:tc>
      </w:tr>
      <w:tr w:rsidR="00FA40E8" w14:paraId="0D69DFD1" w14:textId="77777777">
        <w:trPr>
          <w:trHeight w:val="505"/>
          <w:tblHeader/>
        </w:trPr>
        <w:tc>
          <w:tcPr>
            <w:tcW w:w="655" w:type="dxa"/>
            <w:vMerge/>
            <w:tcBorders>
              <w:top w:val="single" w:sz="4" w:space="0" w:color="auto"/>
              <w:left w:val="single" w:sz="4" w:space="0" w:color="auto"/>
              <w:bottom w:val="single" w:sz="4" w:space="0" w:color="auto"/>
              <w:right w:val="single" w:sz="4" w:space="0" w:color="auto"/>
            </w:tcBorders>
          </w:tcPr>
          <w:p w14:paraId="4E68AE5B" w14:textId="77777777" w:rsidR="00FA40E8" w:rsidRDefault="00FA40E8">
            <w:pPr>
              <w:spacing w:before="60" w:after="60"/>
              <w:jc w:val="center"/>
              <w:rPr>
                <w:rFonts w:ascii="Times New Roman" w:eastAsia="Times New Roman" w:hAnsi="Times New Roman" w:cs="Times New Roman"/>
                <w:noProof/>
                <w:sz w:val="20"/>
              </w:rPr>
            </w:pPr>
          </w:p>
        </w:tc>
        <w:tc>
          <w:tcPr>
            <w:tcW w:w="1990" w:type="dxa"/>
            <w:vMerge/>
            <w:tcBorders>
              <w:top w:val="single" w:sz="4" w:space="0" w:color="auto"/>
              <w:left w:val="single" w:sz="4" w:space="0" w:color="auto"/>
              <w:bottom w:val="single" w:sz="4" w:space="0" w:color="auto"/>
              <w:right w:val="single" w:sz="4" w:space="0" w:color="auto"/>
            </w:tcBorders>
          </w:tcPr>
          <w:p w14:paraId="20F5ADCE" w14:textId="77777777" w:rsidR="00FA40E8" w:rsidRDefault="00FA40E8">
            <w:pPr>
              <w:spacing w:before="60" w:after="60"/>
              <w:rPr>
                <w:rFonts w:ascii="Times New Roman" w:eastAsia="Times New Roman" w:hAnsi="Times New Roman" w:cs="Times New Roman"/>
                <w:noProof/>
                <w:sz w:val="20"/>
              </w:rPr>
            </w:pPr>
          </w:p>
        </w:tc>
        <w:tc>
          <w:tcPr>
            <w:tcW w:w="1134" w:type="dxa"/>
            <w:vMerge/>
            <w:tcBorders>
              <w:top w:val="single" w:sz="4" w:space="0" w:color="auto"/>
              <w:left w:val="single" w:sz="4" w:space="0" w:color="auto"/>
              <w:bottom w:val="single" w:sz="4" w:space="0" w:color="auto"/>
              <w:right w:val="single" w:sz="4" w:space="0" w:color="auto"/>
            </w:tcBorders>
          </w:tcPr>
          <w:p w14:paraId="0C197C06" w14:textId="77777777" w:rsidR="00FA40E8" w:rsidRDefault="00FA40E8">
            <w:pPr>
              <w:spacing w:before="60" w:after="60"/>
              <w:jc w:val="center"/>
              <w:rPr>
                <w:rFonts w:ascii="Times New Roman" w:eastAsia="Times New Roman" w:hAnsi="Times New Roman" w:cs="Times New Roman"/>
                <w:noProof/>
                <w:sz w:val="20"/>
              </w:rPr>
            </w:pPr>
          </w:p>
        </w:tc>
        <w:tc>
          <w:tcPr>
            <w:tcW w:w="1541" w:type="dxa"/>
            <w:vMerge/>
            <w:tcBorders>
              <w:top w:val="single" w:sz="4" w:space="0" w:color="auto"/>
              <w:left w:val="single" w:sz="4" w:space="0" w:color="auto"/>
              <w:bottom w:val="single" w:sz="4" w:space="0" w:color="auto"/>
              <w:right w:val="single" w:sz="4" w:space="0" w:color="auto"/>
            </w:tcBorders>
          </w:tcPr>
          <w:p w14:paraId="48B7B0E5" w14:textId="77777777" w:rsidR="00FA40E8" w:rsidRDefault="00FA40E8">
            <w:pPr>
              <w:spacing w:before="60" w:after="60"/>
              <w:rPr>
                <w:rFonts w:ascii="Times New Roman" w:eastAsia="Times New Roman" w:hAnsi="Times New Roman" w:cs="Times New Roman"/>
                <w:noProof/>
                <w:sz w:val="20"/>
              </w:rPr>
            </w:pPr>
          </w:p>
        </w:tc>
        <w:tc>
          <w:tcPr>
            <w:tcW w:w="1569" w:type="dxa"/>
            <w:vMerge/>
            <w:tcBorders>
              <w:top w:val="single" w:sz="4" w:space="0" w:color="auto"/>
              <w:left w:val="single" w:sz="4" w:space="0" w:color="auto"/>
              <w:bottom w:val="single" w:sz="4" w:space="0" w:color="auto"/>
              <w:right w:val="single" w:sz="4" w:space="0" w:color="auto"/>
            </w:tcBorders>
          </w:tcPr>
          <w:p w14:paraId="4A0A1C4E" w14:textId="77777777" w:rsidR="00FA40E8" w:rsidRDefault="00FA40E8">
            <w:pPr>
              <w:spacing w:before="60" w:after="60"/>
              <w:rPr>
                <w:rFonts w:ascii="Times New Roman" w:eastAsia="Times New Roman" w:hAnsi="Times New Roman" w:cs="Times New Roman"/>
                <w:noProof/>
                <w:sz w:val="20"/>
              </w:rPr>
            </w:pPr>
          </w:p>
        </w:tc>
        <w:tc>
          <w:tcPr>
            <w:tcW w:w="7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0ECB162" w14:textId="11108328" w:rsidR="00FA40E8" w:rsidRDefault="00E74AE8">
            <w:pPr>
              <w:pStyle w:val="P68B1DB1-Normal9"/>
              <w:spacing w:before="60" w:after="60"/>
              <w:jc w:val="center"/>
              <w:rPr>
                <w:rFonts w:eastAsia="Times New Roman" w:cs="Times New Roman"/>
                <w:noProof/>
              </w:rPr>
            </w:pPr>
            <w:r>
              <w:rPr>
                <w:noProof/>
              </w:rPr>
              <w:t>Unité</w:t>
            </w:r>
          </w:p>
        </w:tc>
        <w:tc>
          <w:tcPr>
            <w:tcW w:w="9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35DB64D" w14:textId="0ADD844F" w:rsidR="00FA40E8" w:rsidRDefault="00E74AE8">
            <w:pPr>
              <w:pStyle w:val="P68B1DB1-Normal9"/>
              <w:spacing w:before="60" w:after="60"/>
              <w:jc w:val="center"/>
              <w:rPr>
                <w:rFonts w:eastAsia="Times New Roman" w:cs="Times New Roman"/>
                <w:noProof/>
              </w:rPr>
            </w:pPr>
            <w:r>
              <w:rPr>
                <w:noProof/>
              </w:rPr>
              <w:t>Niveau de référence</w:t>
            </w:r>
          </w:p>
        </w:tc>
        <w:tc>
          <w:tcPr>
            <w:tcW w:w="84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D275635" w14:textId="245C0739" w:rsidR="00FA40E8" w:rsidRDefault="00E74AE8">
            <w:pPr>
              <w:pStyle w:val="P68B1DB1-Normal9"/>
              <w:spacing w:before="60" w:after="60"/>
              <w:jc w:val="center"/>
              <w:rPr>
                <w:rFonts w:eastAsia="Times New Roman" w:cs="Times New Roman"/>
                <w:noProof/>
              </w:rPr>
            </w:pPr>
            <w:r>
              <w:rPr>
                <w:noProof/>
              </w:rPr>
              <w:t>Objectif</w:t>
            </w:r>
          </w:p>
        </w:tc>
        <w:tc>
          <w:tcPr>
            <w:tcW w:w="101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922F101" w14:textId="51040F62" w:rsidR="00FA40E8" w:rsidRDefault="00E74AE8">
            <w:pPr>
              <w:pStyle w:val="P68B1DB1-Normal9"/>
              <w:spacing w:before="60" w:after="60"/>
              <w:jc w:val="center"/>
              <w:rPr>
                <w:rFonts w:eastAsia="Times New Roman" w:cs="Times New Roman"/>
                <w:noProof/>
              </w:rPr>
            </w:pPr>
            <w:r>
              <w:rPr>
                <w:noProof/>
              </w:rPr>
              <w:t>Trimestre</w:t>
            </w:r>
          </w:p>
        </w:tc>
        <w:tc>
          <w:tcPr>
            <w:tcW w:w="87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8488F9" w14:textId="55305E4F" w:rsidR="00FA40E8" w:rsidRDefault="00E74AE8">
            <w:pPr>
              <w:pStyle w:val="P68B1DB1-Normal9"/>
              <w:spacing w:before="60" w:after="60"/>
              <w:jc w:val="center"/>
              <w:rPr>
                <w:rFonts w:eastAsia="Times New Roman" w:cs="Times New Roman"/>
                <w:noProof/>
              </w:rPr>
            </w:pPr>
            <w:r>
              <w:rPr>
                <w:noProof/>
              </w:rPr>
              <w:t>Année</w:t>
            </w:r>
          </w:p>
        </w:tc>
        <w:tc>
          <w:tcPr>
            <w:tcW w:w="3551" w:type="dxa"/>
            <w:vMerge/>
            <w:tcBorders>
              <w:top w:val="single" w:sz="4" w:space="0" w:color="auto"/>
              <w:left w:val="single" w:sz="4" w:space="0" w:color="auto"/>
              <w:bottom w:val="single" w:sz="4" w:space="0" w:color="auto"/>
              <w:right w:val="single" w:sz="4" w:space="0" w:color="auto"/>
            </w:tcBorders>
            <w:vAlign w:val="center"/>
          </w:tcPr>
          <w:p w14:paraId="53876CE8" w14:textId="77777777" w:rsidR="00FA40E8" w:rsidRDefault="00FA40E8">
            <w:pPr>
              <w:spacing w:before="60" w:after="60"/>
              <w:rPr>
                <w:rFonts w:ascii="Times New Roman" w:eastAsia="Times New Roman" w:hAnsi="Times New Roman" w:cs="Times New Roman"/>
                <w:noProof/>
                <w:sz w:val="20"/>
              </w:rPr>
            </w:pPr>
          </w:p>
        </w:tc>
      </w:tr>
      <w:tr w:rsidR="00FA40E8" w14:paraId="50194E31" w14:textId="77777777">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BC1F1B" w14:textId="77777777" w:rsidR="00FA40E8" w:rsidRDefault="00E74AE8">
            <w:pPr>
              <w:pStyle w:val="P68B1DB1-Normal12"/>
              <w:spacing w:before="60" w:after="60"/>
              <w:jc w:val="center"/>
              <w:rPr>
                <w:rFonts w:cs="Times New Roman"/>
                <w:noProof/>
              </w:rPr>
            </w:pPr>
            <w:r>
              <w:rPr>
                <w:noProof/>
              </w:rPr>
              <w:t>137a</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0221E8" w14:textId="5C765944" w:rsidR="00FA40E8" w:rsidRDefault="00E74AE8">
            <w:pPr>
              <w:pStyle w:val="P68B1DB1-Normal12"/>
              <w:spacing w:before="60" w:after="60"/>
              <w:rPr>
                <w:rFonts w:cs="Times New Roman"/>
                <w:noProof/>
              </w:rPr>
            </w:pPr>
            <w:r>
              <w:rPr>
                <w:noProof/>
              </w:rPr>
              <w:t xml:space="preserve">E.3.1. </w:t>
            </w:r>
            <w:r>
              <w:rPr>
                <w:noProof/>
              </w:rPr>
              <w:t>Prêts aux entreprises pour le développement de technologies vertes et à forte valeur ajoutée pour le développement industriel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DB859F" w14:textId="5A24A045" w:rsidR="00FA40E8" w:rsidRDefault="00E74AE8">
            <w:pPr>
              <w:pStyle w:val="P68B1DB1-Normal12"/>
              <w:spacing w:before="60" w:after="60"/>
              <w:jc w:val="center"/>
              <w:rPr>
                <w:rFonts w:eastAsia="Times New Roman" w:cs="Times New Roman"/>
                <w:noProof/>
              </w:rPr>
            </w:pPr>
            <w:r>
              <w:rPr>
                <w:noProof/>
              </w:rPr>
              <w:t>Étape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A1CB0C" w14:textId="1126150C" w:rsidR="00FA40E8" w:rsidRDefault="00E74AE8">
            <w:pPr>
              <w:pStyle w:val="P68B1DB1-Normal12"/>
              <w:spacing w:before="60" w:after="60"/>
              <w:rPr>
                <w:rFonts w:eastAsia="Times New Roman" w:cs="Times New Roman"/>
                <w:noProof/>
              </w:rPr>
            </w:pPr>
            <w:r>
              <w:rPr>
                <w:noProof/>
              </w:rPr>
              <w:t>Lignes directrices pour le développement industriel dans le domaine de la défense et de la sécurité 2023-2027</w:t>
            </w:r>
          </w:p>
        </w:tc>
        <w:tc>
          <w:tcPr>
            <w:tcW w:w="15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F78499" w14:textId="0BB120FA" w:rsidR="00FA40E8" w:rsidRDefault="00E74AE8">
            <w:pPr>
              <w:pStyle w:val="P68B1DB1-Normal12"/>
              <w:spacing w:before="60" w:after="60"/>
              <w:rPr>
                <w:rFonts w:eastAsia="Times New Roman" w:cs="Times New Roman"/>
                <w:noProof/>
              </w:rPr>
            </w:pPr>
            <w:r>
              <w:rPr>
                <w:noProof/>
              </w:rPr>
              <w:t xml:space="preserve">Entrée en </w:t>
            </w:r>
            <w:r>
              <w:rPr>
                <w:noProof/>
              </w:rPr>
              <w:t>vigueur des lignes directrices pour le développement industriel dans le domaine de la défense et de la sécurité 2023-2027</w:t>
            </w:r>
          </w:p>
        </w:tc>
        <w:tc>
          <w:tcPr>
            <w:tcW w:w="7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A6A805" w14:textId="080C699E" w:rsidR="00FA40E8" w:rsidRDefault="00FA40E8">
            <w:pPr>
              <w:spacing w:before="60" w:after="60"/>
              <w:jc w:val="center"/>
              <w:rPr>
                <w:rFonts w:ascii="Times New Roman" w:eastAsia="Times New Roman" w:hAnsi="Times New Roman" w:cs="Times New Roman"/>
                <w:noProof/>
                <w:sz w:val="20"/>
              </w:rPr>
            </w:pPr>
          </w:p>
        </w:tc>
        <w:tc>
          <w:tcPr>
            <w:tcW w:w="99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887166" w14:textId="2906E1AD" w:rsidR="00FA40E8" w:rsidRDefault="00FA40E8">
            <w:pPr>
              <w:spacing w:before="60" w:after="60"/>
              <w:jc w:val="center"/>
              <w:rPr>
                <w:rFonts w:ascii="Times New Roman" w:eastAsia="Times New Roman" w:hAnsi="Times New Roman" w:cs="Times New Roman"/>
                <w:noProof/>
                <w:sz w:val="20"/>
              </w:rPr>
            </w:pPr>
          </w:p>
        </w:tc>
        <w:tc>
          <w:tcPr>
            <w:tcW w:w="84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734EFD" w14:textId="29FB4EB3" w:rsidR="00FA40E8" w:rsidRDefault="00FA40E8">
            <w:pPr>
              <w:spacing w:before="60" w:after="60"/>
              <w:jc w:val="center"/>
              <w:rPr>
                <w:rFonts w:ascii="Times New Roman" w:eastAsia="Times New Roman" w:hAnsi="Times New Roman" w:cs="Times New Roman"/>
                <w:noProof/>
                <w:sz w:val="20"/>
              </w:rPr>
            </w:pPr>
          </w:p>
        </w:tc>
        <w:tc>
          <w:tcPr>
            <w:tcW w:w="10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AA2059" w14:textId="446A453E" w:rsidR="00FA40E8" w:rsidRDefault="00E74AE8">
            <w:pPr>
              <w:pStyle w:val="P68B1DB1-Normal12"/>
              <w:spacing w:before="60" w:after="60"/>
              <w:jc w:val="center"/>
              <w:rPr>
                <w:rFonts w:eastAsia="Times New Roman" w:cs="Times New Roman"/>
                <w:noProof/>
              </w:rPr>
            </w:pPr>
            <w:r>
              <w:rPr>
                <w:noProof/>
              </w:rPr>
              <w:t>T2</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A7A10B" w14:textId="461D3163" w:rsidR="00FA40E8" w:rsidRDefault="00E74AE8">
            <w:pPr>
              <w:pStyle w:val="P68B1DB1-Normal12"/>
              <w:spacing w:before="60" w:after="60"/>
              <w:jc w:val="center"/>
              <w:rPr>
                <w:rFonts w:eastAsia="Times New Roman" w:cs="Times New Roman"/>
                <w:noProof/>
              </w:rPr>
            </w:pPr>
            <w:r>
              <w:rPr>
                <w:noProof/>
              </w:rPr>
              <w:t>2023</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D9EB00" w14:textId="25F3BB39" w:rsidR="00FA40E8" w:rsidRDefault="00E74AE8">
            <w:pPr>
              <w:pStyle w:val="P68B1DB1-Normal12"/>
              <w:spacing w:before="60" w:after="60"/>
              <w:jc w:val="both"/>
              <w:rPr>
                <w:rFonts w:eastAsia="Times New Roman" w:cs="Times New Roman"/>
                <w:noProof/>
              </w:rPr>
            </w:pPr>
            <w:r>
              <w:rPr>
                <w:noProof/>
              </w:rPr>
              <w:t>Adoption et entrée en vigueur de lignes directrices pour le développement de l’industrie de la défense et de la sécurité 20</w:t>
            </w:r>
            <w:r>
              <w:rPr>
                <w:noProof/>
              </w:rPr>
              <w:t>23-2027, par arrêté du ministère de l’économie et de l’innovation de la République de Lituanie, afin d’améliorer la compétitivité de l’industrie lituanienne de la défense et de la sécurité.</w:t>
            </w:r>
          </w:p>
        </w:tc>
      </w:tr>
      <w:tr w:rsidR="00FA40E8" w14:paraId="0A0F291D" w14:textId="77777777">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D99CEB" w14:textId="5165C9EF" w:rsidR="00FA40E8" w:rsidRDefault="00E74AE8">
            <w:pPr>
              <w:pStyle w:val="P68B1DB1-Normal12"/>
              <w:spacing w:before="60" w:after="60"/>
              <w:jc w:val="center"/>
              <w:rPr>
                <w:rFonts w:eastAsia="Times New Roman" w:cs="Times New Roman"/>
                <w:noProof/>
              </w:rPr>
            </w:pPr>
            <w:r>
              <w:rPr>
                <w:noProof/>
              </w:rPr>
              <w:t>137b</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5CB86" w14:textId="3E845BD2" w:rsidR="00FA40E8" w:rsidRDefault="00E74AE8">
            <w:pPr>
              <w:pStyle w:val="P68B1DB1-Normal12"/>
              <w:spacing w:before="60" w:after="60"/>
              <w:rPr>
                <w:rFonts w:eastAsia="Times New Roman" w:cs="Times New Roman"/>
                <w:noProof/>
              </w:rPr>
            </w:pPr>
            <w:r>
              <w:rPr>
                <w:noProof/>
              </w:rPr>
              <w:t xml:space="preserve">E.3.1. Prêts aux entreprises pour le développement de </w:t>
            </w:r>
            <w:r>
              <w:rPr>
                <w:noProof/>
              </w:rPr>
              <w:t>technologies vertes et à forte valeur ajoutée pour le développement industriel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3D99BD" w14:textId="42BCFC2A" w:rsidR="00FA40E8" w:rsidRDefault="00E74AE8">
            <w:pPr>
              <w:pStyle w:val="P68B1DB1-Normal12"/>
              <w:spacing w:before="60" w:after="60"/>
              <w:jc w:val="center"/>
              <w:rPr>
                <w:rFonts w:eastAsia="Times New Roman" w:cs="Times New Roman"/>
                <w:noProof/>
              </w:rPr>
            </w:pPr>
            <w:r>
              <w:rPr>
                <w:noProof/>
              </w:rPr>
              <w:t>Étape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3FBB22" w14:textId="4FF16814" w:rsidR="00FA40E8" w:rsidRDefault="00E74AE8">
            <w:pPr>
              <w:pStyle w:val="P68B1DB1-Normal12"/>
              <w:spacing w:before="60" w:after="60"/>
              <w:rPr>
                <w:rFonts w:eastAsia="Times New Roman" w:cs="Times New Roman"/>
                <w:noProof/>
              </w:rPr>
            </w:pPr>
            <w:r>
              <w:rPr>
                <w:noProof/>
              </w:rPr>
              <w:t>Accord de financement (ou modification d’un accord existant relatif à un Fonds de fonds)</w:t>
            </w:r>
          </w:p>
        </w:tc>
        <w:tc>
          <w:tcPr>
            <w:tcW w:w="15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FAC82A" w14:textId="0225CA6C" w:rsidR="00FA40E8" w:rsidRDefault="00E74AE8">
            <w:pPr>
              <w:pStyle w:val="P68B1DB1-Normal12"/>
              <w:spacing w:before="60" w:after="60"/>
              <w:rPr>
                <w:rFonts w:eastAsia="Times New Roman" w:cs="Times New Roman"/>
                <w:noProof/>
              </w:rPr>
            </w:pPr>
            <w:r>
              <w:rPr>
                <w:noProof/>
              </w:rPr>
              <w:t>Entrée en vigueur de l’accord de financement (ou d’une modification d’un accord ex</w:t>
            </w:r>
            <w:r>
              <w:rPr>
                <w:noProof/>
              </w:rPr>
              <w:t>istant relatif à un fonds de fonds)</w:t>
            </w:r>
          </w:p>
        </w:tc>
        <w:tc>
          <w:tcPr>
            <w:tcW w:w="7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DDD1AA" w14:textId="13A0477A" w:rsidR="00FA40E8" w:rsidRDefault="00FA40E8">
            <w:pPr>
              <w:spacing w:before="60" w:after="60"/>
              <w:jc w:val="center"/>
              <w:rPr>
                <w:rFonts w:ascii="Times New Roman" w:eastAsia="Times New Roman" w:hAnsi="Times New Roman" w:cs="Times New Roman"/>
                <w:noProof/>
                <w:sz w:val="20"/>
              </w:rPr>
            </w:pPr>
          </w:p>
        </w:tc>
        <w:tc>
          <w:tcPr>
            <w:tcW w:w="99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161DE" w14:textId="2D78F01D" w:rsidR="00FA40E8" w:rsidRDefault="00FA40E8">
            <w:pPr>
              <w:spacing w:before="60" w:after="60"/>
              <w:jc w:val="center"/>
              <w:rPr>
                <w:rFonts w:ascii="Times New Roman" w:eastAsia="Times New Roman" w:hAnsi="Times New Roman" w:cs="Times New Roman"/>
                <w:noProof/>
                <w:sz w:val="20"/>
              </w:rPr>
            </w:pPr>
          </w:p>
        </w:tc>
        <w:tc>
          <w:tcPr>
            <w:tcW w:w="84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D445D6" w14:textId="5F3C759D" w:rsidR="00FA40E8" w:rsidRDefault="00FA40E8">
            <w:pPr>
              <w:spacing w:before="60" w:after="60"/>
              <w:jc w:val="center"/>
              <w:rPr>
                <w:rFonts w:ascii="Times New Roman" w:eastAsia="Times New Roman" w:hAnsi="Times New Roman" w:cs="Times New Roman"/>
                <w:noProof/>
                <w:sz w:val="20"/>
              </w:rPr>
            </w:pPr>
          </w:p>
        </w:tc>
        <w:tc>
          <w:tcPr>
            <w:tcW w:w="10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87E176" w14:textId="7DF125F9" w:rsidR="00FA40E8" w:rsidRDefault="00E74AE8">
            <w:pPr>
              <w:pStyle w:val="P68B1DB1-Normal12"/>
              <w:spacing w:before="60" w:after="60"/>
              <w:jc w:val="center"/>
              <w:rPr>
                <w:rFonts w:eastAsia="Times New Roman" w:cs="Times New Roman"/>
                <w:noProof/>
              </w:rPr>
            </w:pPr>
            <w:r>
              <w:rPr>
                <w:noProof/>
              </w:rPr>
              <w:t>T4</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E1209E" w14:textId="7ED33B0A" w:rsidR="00FA40E8" w:rsidRDefault="00E74AE8">
            <w:pPr>
              <w:pStyle w:val="P68B1DB1-Normal12"/>
              <w:spacing w:before="60" w:after="60"/>
              <w:jc w:val="center"/>
              <w:rPr>
                <w:rFonts w:eastAsia="Times New Roman" w:cs="Times New Roman"/>
                <w:noProof/>
              </w:rPr>
            </w:pPr>
            <w:r>
              <w:rPr>
                <w:noProof/>
              </w:rPr>
              <w:t>2024</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AD2272" w14:textId="03C8EE3F" w:rsidR="00FA40E8" w:rsidRDefault="00E74AE8">
            <w:pPr>
              <w:pStyle w:val="P68B1DB1-Normal12"/>
              <w:spacing w:before="60" w:after="60"/>
              <w:jc w:val="both"/>
              <w:rPr>
                <w:rFonts w:eastAsia="Times New Roman" w:cs="Times New Roman"/>
                <w:noProof/>
              </w:rPr>
            </w:pPr>
            <w:r>
              <w:rPr>
                <w:noProof/>
              </w:rPr>
              <w:t>Entrée en vigueur de l’accord de financement (ou d’une modification d’un accord existant relatif à un fonds de fonds).</w:t>
            </w:r>
          </w:p>
        </w:tc>
      </w:tr>
      <w:tr w:rsidR="00FA40E8" w14:paraId="75A36960" w14:textId="77777777">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A8EBC5" w14:textId="4A23B2C8" w:rsidR="00FA40E8" w:rsidRDefault="00E74AE8">
            <w:pPr>
              <w:pStyle w:val="P68B1DB1-Normal12"/>
              <w:spacing w:before="60" w:after="60"/>
              <w:jc w:val="center"/>
              <w:rPr>
                <w:rFonts w:cs="Times New Roman"/>
                <w:noProof/>
              </w:rPr>
            </w:pPr>
            <w:r>
              <w:rPr>
                <w:noProof/>
              </w:rPr>
              <w:t>137c</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5699AD1" w14:textId="78B3E037" w:rsidR="00FA40E8" w:rsidRDefault="00E74AE8">
            <w:pPr>
              <w:pStyle w:val="P68B1DB1-Normal12"/>
              <w:spacing w:before="60" w:after="60"/>
              <w:rPr>
                <w:rFonts w:cs="Times New Roman"/>
                <w:noProof/>
              </w:rPr>
            </w:pPr>
            <w:r>
              <w:rPr>
                <w:noProof/>
              </w:rPr>
              <w:t>E.3.1. Prêts aux entreprises pour le développement de technologies vertes et à forte</w:t>
            </w:r>
            <w:r>
              <w:rPr>
                <w:noProof/>
              </w:rPr>
              <w:t xml:space="preserve"> valeur ajoutée pour le développement industriel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650AE2" w14:textId="3C1A2683" w:rsidR="00FA40E8" w:rsidRDefault="00E74AE8">
            <w:pPr>
              <w:pStyle w:val="P68B1DB1-Normal12"/>
              <w:spacing w:before="60" w:after="60"/>
              <w:jc w:val="center"/>
              <w:rPr>
                <w:rFonts w:eastAsia="Times New Roman" w:cs="Times New Roman"/>
                <w:noProof/>
              </w:rPr>
            </w:pPr>
            <w:r>
              <w:rPr>
                <w:noProof/>
              </w:rPr>
              <w:t>Étape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5F7178" w14:textId="406A9B14" w:rsidR="00FA40E8" w:rsidRDefault="00E74AE8">
            <w:pPr>
              <w:pStyle w:val="P68B1DB1-Normal12"/>
              <w:spacing w:before="60" w:after="60"/>
              <w:rPr>
                <w:rFonts w:eastAsia="Times New Roman" w:cs="Times New Roman"/>
                <w:noProof/>
              </w:rPr>
            </w:pPr>
            <w:r>
              <w:rPr>
                <w:noProof/>
              </w:rPr>
              <w:t>Publication de l’appel à candidatures par INVEGA</w:t>
            </w:r>
          </w:p>
        </w:tc>
        <w:tc>
          <w:tcPr>
            <w:tcW w:w="15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90DB9D" w14:textId="516D238C" w:rsidR="00FA40E8" w:rsidRDefault="00E74AE8">
            <w:pPr>
              <w:pStyle w:val="P68B1DB1-Normal12"/>
              <w:spacing w:before="60" w:after="60"/>
              <w:rPr>
                <w:rFonts w:eastAsia="Times New Roman" w:cs="Times New Roman"/>
                <w:noProof/>
              </w:rPr>
            </w:pPr>
            <w:r>
              <w:rPr>
                <w:noProof/>
              </w:rPr>
              <w:t>Publication de l’appel</w:t>
            </w:r>
          </w:p>
        </w:tc>
        <w:tc>
          <w:tcPr>
            <w:tcW w:w="7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45F9C3" w14:textId="568E8569" w:rsidR="00FA40E8" w:rsidRDefault="00FA40E8">
            <w:pPr>
              <w:spacing w:before="60" w:after="60"/>
              <w:jc w:val="center"/>
              <w:rPr>
                <w:rFonts w:ascii="Times New Roman" w:eastAsia="Times New Roman" w:hAnsi="Times New Roman" w:cs="Times New Roman"/>
                <w:noProof/>
                <w:sz w:val="20"/>
              </w:rPr>
            </w:pPr>
          </w:p>
        </w:tc>
        <w:tc>
          <w:tcPr>
            <w:tcW w:w="99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8BA4FA" w14:textId="34A0F66B" w:rsidR="00FA40E8" w:rsidRDefault="00FA40E8">
            <w:pPr>
              <w:spacing w:before="60" w:after="60"/>
              <w:jc w:val="center"/>
              <w:rPr>
                <w:rFonts w:ascii="Times New Roman" w:eastAsia="Times New Roman" w:hAnsi="Times New Roman" w:cs="Times New Roman"/>
                <w:noProof/>
                <w:sz w:val="20"/>
              </w:rPr>
            </w:pPr>
          </w:p>
        </w:tc>
        <w:tc>
          <w:tcPr>
            <w:tcW w:w="84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44DD52" w14:textId="1E1A4894" w:rsidR="00FA40E8" w:rsidRDefault="00FA40E8">
            <w:pPr>
              <w:spacing w:before="60" w:after="60"/>
              <w:jc w:val="center"/>
              <w:rPr>
                <w:rFonts w:ascii="Times New Roman" w:eastAsia="Times New Roman" w:hAnsi="Times New Roman" w:cs="Times New Roman"/>
                <w:noProof/>
                <w:sz w:val="20"/>
              </w:rPr>
            </w:pPr>
          </w:p>
        </w:tc>
        <w:tc>
          <w:tcPr>
            <w:tcW w:w="10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EB45BD" w14:textId="4BC6A3E7" w:rsidR="00FA40E8" w:rsidRDefault="00E74AE8">
            <w:pPr>
              <w:pStyle w:val="P68B1DB1-Normal12"/>
              <w:spacing w:before="60" w:after="60"/>
              <w:jc w:val="center"/>
              <w:rPr>
                <w:rFonts w:eastAsia="Times New Roman" w:cs="Times New Roman"/>
                <w:noProof/>
              </w:rPr>
            </w:pPr>
            <w:r>
              <w:rPr>
                <w:noProof/>
              </w:rPr>
              <w:t>T1</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DF5147" w14:textId="715F2A35" w:rsidR="00FA40E8" w:rsidRDefault="00E74AE8">
            <w:pPr>
              <w:pStyle w:val="P68B1DB1-Normal12"/>
              <w:spacing w:before="60" w:after="60"/>
              <w:jc w:val="center"/>
              <w:rPr>
                <w:rFonts w:eastAsia="Times New Roman" w:cs="Times New Roman"/>
                <w:noProof/>
              </w:rPr>
            </w:pPr>
            <w:r>
              <w:rPr>
                <w:noProof/>
              </w:rPr>
              <w:t>2025</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E071A" w14:textId="005E6E76" w:rsidR="00FA40E8" w:rsidRDefault="00E74AE8">
            <w:pPr>
              <w:pStyle w:val="P68B1DB1-Normal12"/>
              <w:spacing w:before="60" w:after="60"/>
              <w:jc w:val="both"/>
              <w:rPr>
                <w:rFonts w:eastAsia="Times New Roman" w:cs="Times New Roman"/>
                <w:noProof/>
              </w:rPr>
            </w:pPr>
            <w:r>
              <w:rPr>
                <w:noProof/>
              </w:rPr>
              <w:t xml:space="preserve">INVEGA lance un appel aux entreprises pour qu’elles soumettent des demandes de prêts conformément aux exigences </w:t>
            </w:r>
            <w:r>
              <w:rPr>
                <w:noProof/>
              </w:rPr>
              <w:t>spécifiées dans la description de la mesure.</w:t>
            </w:r>
          </w:p>
        </w:tc>
      </w:tr>
      <w:tr w:rsidR="00FA40E8" w14:paraId="39B6E489" w14:textId="77777777">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0E8E86" w14:textId="24232363" w:rsidR="00FA40E8" w:rsidRDefault="00E74AE8">
            <w:pPr>
              <w:pStyle w:val="P68B1DB1-Normal12"/>
              <w:spacing w:before="60" w:after="60"/>
              <w:jc w:val="center"/>
              <w:rPr>
                <w:rFonts w:cs="Times New Roman"/>
                <w:noProof/>
              </w:rPr>
            </w:pPr>
            <w:r>
              <w:rPr>
                <w:noProof/>
              </w:rPr>
              <w:t>137D</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7E6DE4" w14:textId="3267E32A" w:rsidR="00FA40E8" w:rsidRDefault="00E74AE8">
            <w:pPr>
              <w:pStyle w:val="P68B1DB1-Normal12"/>
              <w:spacing w:before="60" w:after="60"/>
              <w:rPr>
                <w:rFonts w:cs="Times New Roman"/>
                <w:noProof/>
              </w:rPr>
            </w:pPr>
            <w:r>
              <w:rPr>
                <w:noProof/>
              </w:rPr>
              <w:t>E.3.1. Prêts aux entreprises pour le développement de technologies vertes et à forte valeur ajoutée pour le développement industriel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4A9B0C" w14:textId="0CE42A82" w:rsidR="00FA40E8" w:rsidRDefault="00E74AE8">
            <w:pPr>
              <w:pStyle w:val="P68B1DB1-Normal12"/>
              <w:spacing w:before="60" w:after="60"/>
              <w:jc w:val="center"/>
              <w:rPr>
                <w:rFonts w:eastAsia="Times New Roman" w:cs="Times New Roman"/>
                <w:noProof/>
              </w:rPr>
            </w:pPr>
            <w:r>
              <w:rPr>
                <w:noProof/>
              </w:rPr>
              <w:t>Objectif</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2ADF52" w14:textId="7C4660AA" w:rsidR="00FA40E8" w:rsidRDefault="00E74AE8">
            <w:pPr>
              <w:pStyle w:val="P68B1DB1-Normal12"/>
              <w:spacing w:before="60" w:after="60"/>
              <w:rPr>
                <w:rFonts w:eastAsia="Times New Roman" w:cs="Times New Roman"/>
                <w:noProof/>
              </w:rPr>
            </w:pPr>
            <w:r>
              <w:rPr>
                <w:noProof/>
              </w:rPr>
              <w:t>Accords juridiques signés avec les bénéficiaires finaux</w:t>
            </w:r>
          </w:p>
        </w:tc>
        <w:tc>
          <w:tcPr>
            <w:tcW w:w="15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C61CF7" w14:textId="12BC2BA5" w:rsidR="00FA40E8" w:rsidRDefault="00FA40E8">
            <w:pPr>
              <w:spacing w:before="60" w:after="60"/>
              <w:rPr>
                <w:rFonts w:ascii="Times New Roman" w:eastAsia="Times New Roman" w:hAnsi="Times New Roman" w:cs="Times New Roman"/>
                <w:noProof/>
                <w:sz w:val="20"/>
              </w:rPr>
            </w:pPr>
          </w:p>
        </w:tc>
        <w:tc>
          <w:tcPr>
            <w:tcW w:w="7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51F0D8" w14:textId="14D9D5E2" w:rsidR="00FA40E8" w:rsidRDefault="00E74AE8">
            <w:pPr>
              <w:pStyle w:val="P68B1DB1-Normal12"/>
              <w:spacing w:before="60" w:after="60"/>
              <w:jc w:val="center"/>
              <w:rPr>
                <w:rFonts w:eastAsia="Times New Roman" w:cs="Times New Roman"/>
                <w:noProof/>
              </w:rPr>
            </w:pPr>
            <w:r>
              <w:rPr>
                <w:noProof/>
              </w:rPr>
              <w:t>%</w:t>
            </w:r>
          </w:p>
        </w:tc>
        <w:tc>
          <w:tcPr>
            <w:tcW w:w="99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916264" w14:textId="6F0988D1" w:rsidR="00FA40E8" w:rsidRDefault="00E74AE8">
            <w:pPr>
              <w:pStyle w:val="P68B1DB1-Normal12"/>
              <w:spacing w:before="60" w:after="60"/>
              <w:jc w:val="center"/>
              <w:rPr>
                <w:rFonts w:eastAsia="Times New Roman" w:cs="Times New Roman"/>
                <w:noProof/>
              </w:rPr>
            </w:pPr>
            <w:r>
              <w:rPr>
                <w:noProof/>
              </w:rPr>
              <w:t>0 %</w:t>
            </w:r>
          </w:p>
        </w:tc>
        <w:tc>
          <w:tcPr>
            <w:tcW w:w="84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785A96" w14:textId="4924C3D3" w:rsidR="00FA40E8" w:rsidRDefault="00E74AE8">
            <w:pPr>
              <w:pStyle w:val="P68B1DB1-Normal12"/>
              <w:spacing w:before="60" w:after="60"/>
              <w:jc w:val="center"/>
              <w:rPr>
                <w:rFonts w:eastAsia="Times New Roman" w:cs="Times New Roman"/>
                <w:noProof/>
              </w:rPr>
            </w:pPr>
            <w:r>
              <w:rPr>
                <w:noProof/>
              </w:rPr>
              <w:t>20 %</w:t>
            </w:r>
          </w:p>
        </w:tc>
        <w:tc>
          <w:tcPr>
            <w:tcW w:w="10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38188A" w14:textId="4E0F8ADF" w:rsidR="00FA40E8" w:rsidRDefault="00E74AE8">
            <w:pPr>
              <w:pStyle w:val="P68B1DB1-Normal12"/>
              <w:spacing w:before="60" w:after="60"/>
              <w:jc w:val="center"/>
              <w:rPr>
                <w:rFonts w:eastAsia="Times New Roman" w:cs="Times New Roman"/>
                <w:noProof/>
              </w:rPr>
            </w:pPr>
            <w:r>
              <w:rPr>
                <w:noProof/>
              </w:rPr>
              <w:t>T3</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123D21" w14:textId="6AE3284A" w:rsidR="00FA40E8" w:rsidRDefault="00E74AE8">
            <w:pPr>
              <w:pStyle w:val="P68B1DB1-Normal12"/>
              <w:spacing w:before="60" w:after="60"/>
              <w:jc w:val="center"/>
              <w:rPr>
                <w:rFonts w:eastAsia="Times New Roman" w:cs="Times New Roman"/>
                <w:noProof/>
              </w:rPr>
            </w:pPr>
            <w:r>
              <w:rPr>
                <w:noProof/>
              </w:rPr>
              <w:t>2025</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BFCA0B" w14:textId="005E6E76" w:rsidR="00FA40E8" w:rsidRDefault="00E74AE8">
            <w:pPr>
              <w:pStyle w:val="P68B1DB1-Normal12"/>
              <w:spacing w:before="60" w:after="60"/>
              <w:jc w:val="both"/>
              <w:rPr>
                <w:rFonts w:eastAsia="Times New Roman" w:cs="Times New Roman"/>
                <w:noProof/>
              </w:rPr>
            </w:pPr>
            <w:r>
              <w:rPr>
                <w:noProof/>
              </w:rPr>
              <w:t>INVEGA a conclu des conventions de financement légales avec les bénéficiaires finaux pour un montant nécessaire pour utiliser au moins 20 % des investissements au titre de la FRR dans la facilité (en tenant compte des frais de gestion).</w:t>
            </w:r>
          </w:p>
        </w:tc>
      </w:tr>
      <w:tr w:rsidR="00FA40E8" w14:paraId="7378FD84" w14:textId="77777777">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A1BC2" w14:textId="29B19FBA" w:rsidR="00FA40E8" w:rsidRDefault="00E74AE8">
            <w:pPr>
              <w:pStyle w:val="P68B1DB1-Normal12"/>
              <w:spacing w:before="60" w:after="60"/>
              <w:jc w:val="center"/>
              <w:rPr>
                <w:rFonts w:cs="Times New Roman"/>
                <w:noProof/>
              </w:rPr>
            </w:pPr>
            <w:r>
              <w:rPr>
                <w:noProof/>
              </w:rPr>
              <w:t>137e</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B7BFF6" w14:textId="700E2B2B" w:rsidR="00FA40E8" w:rsidRDefault="00E74AE8">
            <w:pPr>
              <w:pStyle w:val="P68B1DB1-Normal12"/>
              <w:spacing w:before="60" w:after="60"/>
              <w:rPr>
                <w:rFonts w:cs="Times New Roman"/>
                <w:noProof/>
              </w:rPr>
            </w:pPr>
            <w:r>
              <w:rPr>
                <w:noProof/>
              </w:rPr>
              <w:t>E.3.1. Prêts aux entreprises pour le développement de technologies vertes et à forte valeur ajoutée pour le développement industriel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4C1C14" w14:textId="596C7F71" w:rsidR="00FA40E8" w:rsidRDefault="00E74AE8">
            <w:pPr>
              <w:pStyle w:val="P68B1DB1-Normal12"/>
              <w:spacing w:before="60" w:after="60"/>
              <w:jc w:val="center"/>
              <w:rPr>
                <w:rFonts w:eastAsia="Times New Roman" w:cs="Times New Roman"/>
                <w:noProof/>
              </w:rPr>
            </w:pPr>
            <w:r>
              <w:rPr>
                <w:noProof/>
              </w:rPr>
              <w:t>Objectif</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DE11B1" w14:textId="35DCD17C" w:rsidR="00FA40E8" w:rsidRDefault="00E74AE8">
            <w:pPr>
              <w:pStyle w:val="P68B1DB1-Normal12"/>
              <w:spacing w:before="60" w:after="60"/>
              <w:rPr>
                <w:rFonts w:eastAsia="Times New Roman" w:cs="Times New Roman"/>
                <w:noProof/>
              </w:rPr>
            </w:pPr>
            <w:r>
              <w:rPr>
                <w:noProof/>
              </w:rPr>
              <w:t>Accords juridiques signés avec les bénéficiaires finaux</w:t>
            </w:r>
          </w:p>
        </w:tc>
        <w:tc>
          <w:tcPr>
            <w:tcW w:w="15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5998D5" w14:textId="0106D483" w:rsidR="00FA40E8" w:rsidRDefault="00FA40E8">
            <w:pPr>
              <w:spacing w:before="60" w:after="60"/>
              <w:rPr>
                <w:rFonts w:ascii="Times New Roman" w:hAnsi="Times New Roman"/>
                <w:noProof/>
                <w:sz w:val="20"/>
              </w:rPr>
            </w:pPr>
          </w:p>
        </w:tc>
        <w:tc>
          <w:tcPr>
            <w:tcW w:w="7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48DBA7" w14:textId="0816D5F2" w:rsidR="00FA40E8" w:rsidRDefault="00E74AE8">
            <w:pPr>
              <w:pStyle w:val="P68B1DB1-Normal12"/>
              <w:spacing w:before="60" w:after="60"/>
              <w:jc w:val="center"/>
              <w:rPr>
                <w:rFonts w:eastAsia="Times New Roman" w:cs="Times New Roman"/>
                <w:noProof/>
              </w:rPr>
            </w:pPr>
            <w:r>
              <w:rPr>
                <w:noProof/>
              </w:rPr>
              <w:t>%</w:t>
            </w:r>
          </w:p>
        </w:tc>
        <w:tc>
          <w:tcPr>
            <w:tcW w:w="99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1F58F4" w14:textId="514074F2" w:rsidR="00FA40E8" w:rsidRDefault="00E74AE8">
            <w:pPr>
              <w:pStyle w:val="P68B1DB1-Normal12"/>
              <w:spacing w:before="60" w:after="60"/>
              <w:jc w:val="center"/>
              <w:rPr>
                <w:rFonts w:eastAsia="Times New Roman" w:cs="Times New Roman"/>
                <w:noProof/>
              </w:rPr>
            </w:pPr>
            <w:r>
              <w:rPr>
                <w:noProof/>
              </w:rPr>
              <w:t>20 %</w:t>
            </w:r>
          </w:p>
        </w:tc>
        <w:tc>
          <w:tcPr>
            <w:tcW w:w="84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A466D3" w14:textId="1643425A" w:rsidR="00FA40E8" w:rsidRDefault="00E74AE8">
            <w:pPr>
              <w:pStyle w:val="P68B1DB1-Normal12"/>
              <w:spacing w:before="60" w:after="60"/>
              <w:jc w:val="center"/>
              <w:rPr>
                <w:rFonts w:eastAsia="Times New Roman" w:cs="Times New Roman"/>
                <w:noProof/>
              </w:rPr>
            </w:pPr>
            <w:r>
              <w:rPr>
                <w:noProof/>
              </w:rPr>
              <w:t>100 %</w:t>
            </w:r>
          </w:p>
        </w:tc>
        <w:tc>
          <w:tcPr>
            <w:tcW w:w="10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0992DB" w14:textId="0341ED1E" w:rsidR="00FA40E8" w:rsidRDefault="00E74AE8">
            <w:pPr>
              <w:pStyle w:val="P68B1DB1-Normal12"/>
              <w:spacing w:before="60" w:after="60"/>
              <w:jc w:val="center"/>
              <w:rPr>
                <w:rFonts w:eastAsia="Times New Roman" w:cs="Times New Roman"/>
                <w:noProof/>
              </w:rPr>
            </w:pPr>
            <w:r>
              <w:rPr>
                <w:noProof/>
              </w:rPr>
              <w:t>T2</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53AC1C" w14:textId="08001BCE" w:rsidR="00FA40E8" w:rsidRDefault="00E74AE8">
            <w:pPr>
              <w:pStyle w:val="P68B1DB1-Normal12"/>
              <w:spacing w:before="60" w:after="60"/>
              <w:jc w:val="center"/>
              <w:rPr>
                <w:rFonts w:eastAsia="Times New Roman" w:cs="Times New Roman"/>
                <w:noProof/>
              </w:rPr>
            </w:pPr>
            <w:r>
              <w:rPr>
                <w:noProof/>
              </w:rPr>
              <w:t>2026</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FE6BC4" w14:textId="2E4BC12E" w:rsidR="00FA40E8" w:rsidRDefault="00E74AE8">
            <w:pPr>
              <w:pStyle w:val="P68B1DB1-Normal12"/>
              <w:spacing w:before="60" w:after="60"/>
              <w:jc w:val="both"/>
              <w:rPr>
                <w:rFonts w:eastAsia="Times New Roman" w:cs="Times New Roman"/>
                <w:noProof/>
              </w:rPr>
            </w:pPr>
            <w:r>
              <w:rPr>
                <w:noProof/>
              </w:rPr>
              <w:t>INVEGA a conclu des conventions de financement légales avec les bénéficiaires finaux pour un montant nécessaire pour utiliser au moins 100 % des investissements au titre de la FRR dans la facilité (en tenant compte des frais de gestion).</w:t>
            </w:r>
          </w:p>
        </w:tc>
      </w:tr>
      <w:tr w:rsidR="00FA40E8" w14:paraId="41F384E4" w14:textId="77777777">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A29D74" w14:textId="7C7153D8" w:rsidR="00FA40E8" w:rsidRDefault="00E74AE8">
            <w:pPr>
              <w:pStyle w:val="P68B1DB1-Normal12"/>
              <w:spacing w:before="60" w:after="60"/>
              <w:jc w:val="center"/>
              <w:rPr>
                <w:rFonts w:eastAsia="Times New Roman" w:cs="Times New Roman"/>
                <w:noProof/>
              </w:rPr>
            </w:pPr>
            <w:r>
              <w:rPr>
                <w:noProof/>
              </w:rPr>
              <w:t>137f</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7F1F38" w14:textId="5CEC6903" w:rsidR="00FA40E8" w:rsidRDefault="00E74AE8">
            <w:pPr>
              <w:pStyle w:val="P68B1DB1-Normal12"/>
              <w:spacing w:before="60" w:after="60"/>
              <w:rPr>
                <w:rFonts w:eastAsia="Times New Roman" w:cs="Times New Roman"/>
                <w:noProof/>
              </w:rPr>
            </w:pPr>
            <w:r>
              <w:rPr>
                <w:noProof/>
              </w:rPr>
              <w:t>E.3.1. Prêts</w:t>
            </w:r>
            <w:r>
              <w:rPr>
                <w:noProof/>
              </w:rPr>
              <w:t xml:space="preserve"> aux entreprises pour le développement de technologies vertes et à forte valeur ajoutée pour le développement industriel</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DD6408" w14:textId="5299245B" w:rsidR="00FA40E8" w:rsidRDefault="00E74AE8">
            <w:pPr>
              <w:pStyle w:val="P68B1DB1-Normal12"/>
              <w:spacing w:before="60" w:after="60"/>
              <w:jc w:val="center"/>
              <w:rPr>
                <w:rFonts w:eastAsia="Times New Roman" w:cs="Times New Roman"/>
                <w:noProof/>
              </w:rPr>
            </w:pPr>
            <w:r>
              <w:rPr>
                <w:noProof/>
              </w:rPr>
              <w:t>Étape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538C0F" w14:textId="0F63F294" w:rsidR="00FA40E8" w:rsidRDefault="00E74AE8">
            <w:pPr>
              <w:pStyle w:val="P68B1DB1-Normal12"/>
              <w:spacing w:before="60" w:after="60"/>
              <w:rPr>
                <w:noProof/>
              </w:rPr>
            </w:pPr>
            <w:r>
              <w:rPr>
                <w:noProof/>
              </w:rPr>
              <w:t>Transfert de l’investissement au titre de la FRR vers la facilité</w:t>
            </w:r>
          </w:p>
        </w:tc>
        <w:tc>
          <w:tcPr>
            <w:tcW w:w="15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30C662" w14:textId="01AFCF56" w:rsidR="00FA40E8" w:rsidRDefault="00E74AE8">
            <w:pPr>
              <w:pStyle w:val="P68B1DB1-Normal12"/>
              <w:spacing w:before="60" w:after="60"/>
              <w:rPr>
                <w:rFonts w:eastAsia="Times New Roman" w:cs="Times New Roman"/>
                <w:noProof/>
              </w:rPr>
            </w:pPr>
            <w:r>
              <w:rPr>
                <w:noProof/>
              </w:rPr>
              <w:t>Certificat ou autre preuve de transfert équivalente</w:t>
            </w:r>
          </w:p>
        </w:tc>
        <w:tc>
          <w:tcPr>
            <w:tcW w:w="7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377A83" w14:textId="7D87C7BA" w:rsidR="00FA40E8" w:rsidRDefault="00FA40E8">
            <w:pPr>
              <w:spacing w:before="60" w:after="60"/>
              <w:jc w:val="center"/>
              <w:rPr>
                <w:rFonts w:ascii="Times New Roman" w:eastAsia="Times New Roman" w:hAnsi="Times New Roman" w:cs="Times New Roman"/>
                <w:noProof/>
                <w:sz w:val="20"/>
              </w:rPr>
            </w:pPr>
          </w:p>
        </w:tc>
        <w:tc>
          <w:tcPr>
            <w:tcW w:w="99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63ED6D" w14:textId="1021D8D3" w:rsidR="00FA40E8" w:rsidRDefault="00FA40E8">
            <w:pPr>
              <w:spacing w:before="60" w:after="60"/>
              <w:jc w:val="center"/>
              <w:rPr>
                <w:rFonts w:ascii="Times New Roman" w:eastAsia="Times New Roman" w:hAnsi="Times New Roman" w:cs="Times New Roman"/>
                <w:noProof/>
                <w:sz w:val="20"/>
              </w:rPr>
            </w:pPr>
          </w:p>
        </w:tc>
        <w:tc>
          <w:tcPr>
            <w:tcW w:w="84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982F69" w14:textId="761B4B3A" w:rsidR="00FA40E8" w:rsidRDefault="00FA40E8">
            <w:pPr>
              <w:spacing w:before="60" w:after="60"/>
              <w:jc w:val="center"/>
              <w:rPr>
                <w:rFonts w:ascii="Times New Roman" w:eastAsia="Times New Roman" w:hAnsi="Times New Roman" w:cs="Times New Roman"/>
                <w:noProof/>
                <w:sz w:val="20"/>
              </w:rPr>
            </w:pPr>
          </w:p>
        </w:tc>
        <w:tc>
          <w:tcPr>
            <w:tcW w:w="10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5FAD8E" w14:textId="44B14500" w:rsidR="00FA40E8" w:rsidRDefault="00E74AE8">
            <w:pPr>
              <w:pStyle w:val="P68B1DB1-Normal12"/>
              <w:spacing w:before="60" w:after="60"/>
              <w:jc w:val="center"/>
              <w:rPr>
                <w:rFonts w:eastAsia="Times New Roman" w:cs="Times New Roman"/>
                <w:noProof/>
              </w:rPr>
            </w:pPr>
            <w:r>
              <w:rPr>
                <w:noProof/>
              </w:rPr>
              <w:t>T2</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91F554" w14:textId="00613A05" w:rsidR="00FA40E8" w:rsidRDefault="00E74AE8">
            <w:pPr>
              <w:pStyle w:val="P68B1DB1-Normal12"/>
              <w:spacing w:before="60" w:after="60"/>
              <w:jc w:val="center"/>
              <w:rPr>
                <w:rFonts w:eastAsia="Times New Roman" w:cs="Times New Roman"/>
                <w:noProof/>
              </w:rPr>
            </w:pPr>
            <w:r>
              <w:rPr>
                <w:noProof/>
              </w:rPr>
              <w:t>2026</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7D8210" w14:textId="6C8A33BE" w:rsidR="00FA40E8" w:rsidRDefault="00E74AE8">
            <w:pPr>
              <w:pStyle w:val="P68B1DB1-Normal12"/>
              <w:spacing w:before="60" w:after="60"/>
              <w:jc w:val="both"/>
              <w:rPr>
                <w:rFonts w:eastAsia="Times New Roman" w:cs="Times New Roman"/>
                <w:noProof/>
              </w:rPr>
            </w:pPr>
            <w:r>
              <w:rPr>
                <w:noProof/>
              </w:rPr>
              <w:t>La Lituanie transfère 850 000 000 EUR à INVEGA pour la facilité.</w:t>
            </w:r>
          </w:p>
        </w:tc>
      </w:tr>
    </w:tbl>
    <w:p w14:paraId="2B66543D" w14:textId="77777777" w:rsidR="00FA40E8" w:rsidRDefault="00FA40E8">
      <w:pPr>
        <w:pStyle w:val="ManualHeading1"/>
        <w:tabs>
          <w:tab w:val="clear" w:pos="850"/>
        </w:tabs>
        <w:ind w:left="0" w:firstLine="0"/>
        <w:rPr>
          <w:noProof/>
        </w:rPr>
        <w:sectPr w:rsidR="00FA40E8" w:rsidSect="0074650A">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245EAECE" w14:textId="2620FD7A" w:rsidR="00FA40E8" w:rsidRDefault="00E74AE8">
      <w:pPr>
        <w:pStyle w:val="ManualHeading1"/>
        <w:tabs>
          <w:tab w:val="clear" w:pos="850"/>
        </w:tabs>
        <w:spacing w:before="0" w:after="200"/>
        <w:ind w:left="0" w:firstLine="0"/>
        <w:rPr>
          <w:noProof/>
        </w:rPr>
      </w:pPr>
      <w:r>
        <w:rPr>
          <w:noProof/>
        </w:rPr>
        <w:t>F. COMPOSANTE 6: Un secteur public efficace et des conditions préalables à la reprise après la pandémie</w:t>
      </w:r>
    </w:p>
    <w:p w14:paraId="5F64E5FB" w14:textId="161EFF6A" w:rsidR="00FA40E8" w:rsidRDefault="00E74AE8">
      <w:pPr>
        <w:pStyle w:val="paragraph"/>
        <w:spacing w:before="0" w:beforeAutospacing="0" w:after="200" w:afterAutospacing="0" w:line="276" w:lineRule="auto"/>
        <w:jc w:val="both"/>
        <w:textAlignment w:val="baseline"/>
        <w:rPr>
          <w:rStyle w:val="normaltextrun"/>
          <w:rFonts w:eastAsiaTheme="minorEastAsia"/>
          <w:smallCaps/>
          <w:noProof/>
        </w:rPr>
      </w:pPr>
      <w:r>
        <w:rPr>
          <w:noProof/>
        </w:rPr>
        <w:t xml:space="preserve">Ce volet du plan </w:t>
      </w:r>
      <w:r>
        <w:rPr>
          <w:noProof/>
        </w:rPr>
        <w:t>lituanien pour la reprise et la résilience contribue à relever les défis liés au système fiscal, au respect des obligations fiscales, au cadre budgétaire, à la gestion des ressources humaines dans le secteur public et à la gestion de l’insolvabilité des en</w:t>
      </w:r>
      <w:r>
        <w:rPr>
          <w:noProof/>
        </w:rPr>
        <w:t>treprises.</w:t>
      </w:r>
      <w:r>
        <w:rPr>
          <w:rStyle w:val="normaltextrun"/>
          <w:b/>
          <w:noProof/>
        </w:rPr>
        <w:t xml:space="preserve"> </w:t>
      </w:r>
      <w:r>
        <w:rPr>
          <w:rStyle w:val="normaltextrun"/>
          <w:noProof/>
        </w:rPr>
        <w:t>Les objectifs de ce volet sont d’améliorer le respect des obligations fiscales et d’équilibrer le système fiscal; améliorer la gestion des ressources humaines dans le secteur public; améliorer la planification budgétaire à moyen terme et la gest</w:t>
      </w:r>
      <w:r>
        <w:rPr>
          <w:rStyle w:val="normaltextrun"/>
          <w:noProof/>
        </w:rPr>
        <w:t xml:space="preserve">ion des dépenses; accroître l’indépendance financière des municipalités; et d’accroître la diversité des instruments financiers afin de stimuler l’investissement public. </w:t>
      </w:r>
    </w:p>
    <w:p w14:paraId="3CD7C386" w14:textId="66A70FB3" w:rsidR="00FA40E8" w:rsidRDefault="00E74AE8">
      <w:pPr>
        <w:pStyle w:val="paragraph"/>
        <w:spacing w:before="0" w:beforeAutospacing="0" w:after="200" w:afterAutospacing="0" w:line="276" w:lineRule="auto"/>
        <w:jc w:val="both"/>
        <w:textAlignment w:val="baseline"/>
        <w:rPr>
          <w:rStyle w:val="normaltextrun"/>
          <w:noProof/>
        </w:rPr>
      </w:pPr>
      <w:r>
        <w:rPr>
          <w:rStyle w:val="normaltextrun"/>
          <w:noProof/>
        </w:rPr>
        <w:t>Ce volet comprend des mesures visant à élargir l’assiette fiscale à des sources moins</w:t>
      </w:r>
      <w:r>
        <w:rPr>
          <w:rStyle w:val="normaltextrun"/>
          <w:noProof/>
        </w:rPr>
        <w:t xml:space="preserve"> préjudiciables à la croissance, ainsi que des mesures juridiques et techniques visant à améliorer le respect des obligations fiscales et à améliorer la conception du système d’imposition et de prestations sociales afin de contribuer à réduire les inégalit</w:t>
      </w:r>
      <w:r>
        <w:rPr>
          <w:rStyle w:val="normaltextrun"/>
          <w:noProof/>
        </w:rPr>
        <w:t>és de revenus et la pauvreté. Il comprend également plusieurs mesures de réforme liées au cadre budgétaire: la mise en place d’une planification budgétaire à moyen terme et de réexamens des dépenses, l’ajustement des procédures de modification du budget, l</w:t>
      </w:r>
      <w:r>
        <w:rPr>
          <w:rStyle w:val="normaltextrun"/>
          <w:noProof/>
        </w:rPr>
        <w:t>a promotion du recours aux partenariats public-privé dans le processus d’investissement public, la révision de la structure des recettes municipales, la consolidation de quatre institutions nationales de développement en un seul organisme public et le déve</w:t>
      </w:r>
      <w:r>
        <w:rPr>
          <w:rStyle w:val="normaltextrun"/>
          <w:noProof/>
        </w:rPr>
        <w:t xml:space="preserve">loppement de quatre outils numériques qui devraient aider les entreprises à gérer les risques d’insolvabilité. En outre, ce volet comprend une réforme de la gestion des ressources humaines et du développement du personnel dans le secteur public. </w:t>
      </w:r>
    </w:p>
    <w:p w14:paraId="3C74B064" w14:textId="6BAEA8EB" w:rsidR="00FA40E8" w:rsidRDefault="00E74AE8">
      <w:pPr>
        <w:pStyle w:val="paragraph"/>
        <w:spacing w:before="0" w:beforeAutospacing="0" w:after="200" w:afterAutospacing="0" w:line="276" w:lineRule="auto"/>
        <w:jc w:val="both"/>
        <w:textAlignment w:val="baseline"/>
        <w:rPr>
          <w:rStyle w:val="normaltextrun"/>
          <w:noProof/>
        </w:rPr>
      </w:pPr>
      <w:r>
        <w:rPr>
          <w:rStyle w:val="normaltextrun"/>
          <w:noProof/>
        </w:rPr>
        <w:t xml:space="preserve">Ce volet </w:t>
      </w:r>
      <w:r>
        <w:rPr>
          <w:rStyle w:val="normaltextrun"/>
          <w:noProof/>
        </w:rPr>
        <w:t>contribue à donner suite à la recommandation par pays visant à améliorer le respect des obligations fiscales et à élargir l’assiette fiscale à des sources moins préjudiciables à la croissance (recommandation par pays no 1 201 de 9). En outre, grâce à des r</w:t>
      </w:r>
      <w:r>
        <w:rPr>
          <w:rStyle w:val="normaltextrun"/>
          <w:noProof/>
        </w:rPr>
        <w:t>ecettes fiscales supplémentaires et à des économies potentielles grâce aux réexamens des dépenses, le volet contribue également à donner suite aux recommandations sur le renforcement du système d’imposition et de prestations sociales (recommandation par pa</w:t>
      </w:r>
      <w:r>
        <w:rPr>
          <w:rStyle w:val="normaltextrun"/>
          <w:noProof/>
        </w:rPr>
        <w:t>ys no 1 201 de 9 et recommandation par pays no 2 202 de 0). Un certain nombre de mesures liées au cadre budgétaire contribuent à rendre les investissements publics plus efficaces (recommandation par pays no 3 201 de 9).</w:t>
      </w:r>
    </w:p>
    <w:p w14:paraId="639FB575" w14:textId="77777777" w:rsidR="00FA40E8" w:rsidRDefault="00E74AE8">
      <w:pPr>
        <w:pStyle w:val="paragraph"/>
        <w:spacing w:before="0" w:beforeAutospacing="0" w:after="200" w:afterAutospacing="0" w:line="276" w:lineRule="auto"/>
        <w:jc w:val="both"/>
        <w:textAlignment w:val="baseline"/>
        <w:rPr>
          <w:rStyle w:val="normaltextrun"/>
          <w:rFonts w:eastAsiaTheme="minorEastAsia"/>
          <w:noProof/>
        </w:rPr>
      </w:pPr>
      <w:r>
        <w:rPr>
          <w:rStyle w:val="normaltextrun"/>
          <w:noProof/>
        </w:rPr>
        <w:t>Aucune mesure relevant de ce volet n</w:t>
      </w:r>
      <w:r>
        <w:rPr>
          <w:rStyle w:val="normaltextrun"/>
          <w:noProof/>
        </w:rPr>
        <w:t>e devrait causer de préjudice important aux objectifs environnementaux au sens de l’article 17 du règlement (UE) 2020/852, compte tenu de la description des mesures et des mesures d’atténuation prévues dans le plan pour la reprise et la résilience conformé</w:t>
      </w:r>
      <w:r>
        <w:rPr>
          <w:rStyle w:val="normaltextrun"/>
          <w:noProof/>
        </w:rPr>
        <w:t>ment aux orientations techniques DNSH (2021/C58/01).</w:t>
      </w:r>
    </w:p>
    <w:p w14:paraId="01012E23" w14:textId="77777777" w:rsidR="00FA40E8" w:rsidRDefault="00E74AE8">
      <w:pPr>
        <w:pStyle w:val="P68B1DB1-Text15"/>
        <w:keepNext/>
        <w:keepLines/>
        <w:spacing w:before="0" w:after="200" w:line="276" w:lineRule="auto"/>
        <w:ind w:left="0"/>
        <w:outlineLvl w:val="1"/>
        <w:rPr>
          <w:noProof/>
        </w:rPr>
      </w:pPr>
      <w:r>
        <w:rPr>
          <w:noProof/>
        </w:rPr>
        <w:t>F.1. Description des réformes et des investissements en vue d’un soutien financier non remboursable</w:t>
      </w:r>
    </w:p>
    <w:p w14:paraId="2553A605" w14:textId="77777777" w:rsidR="00FA40E8" w:rsidRDefault="00E74AE8">
      <w:pPr>
        <w:pStyle w:val="P68B1DB1-paragraph29"/>
        <w:keepNext/>
        <w:keepLines/>
        <w:spacing w:before="0" w:beforeAutospacing="0" w:after="200" w:afterAutospacing="0" w:line="276" w:lineRule="auto"/>
        <w:jc w:val="both"/>
        <w:textAlignment w:val="baseline"/>
        <w:rPr>
          <w:rStyle w:val="normaltextrun"/>
          <w:rFonts w:eastAsiaTheme="minorEastAsia"/>
          <w:noProof/>
        </w:rPr>
      </w:pPr>
      <w:r>
        <w:rPr>
          <w:noProof/>
        </w:rPr>
        <w:t>F.1.1. Réforme 1 «Un secteur public efficace»</w:t>
      </w:r>
    </w:p>
    <w:p w14:paraId="1514D53A" w14:textId="1A4F2AA7" w:rsidR="00FA40E8" w:rsidRDefault="00E74AE8">
      <w:pPr>
        <w:pStyle w:val="paragraph"/>
        <w:spacing w:before="0" w:beforeAutospacing="0" w:after="200" w:afterAutospacing="0" w:line="276" w:lineRule="auto"/>
        <w:jc w:val="both"/>
        <w:textAlignment w:val="baseline"/>
        <w:rPr>
          <w:rStyle w:val="normaltextrun"/>
          <w:noProof/>
        </w:rPr>
      </w:pPr>
      <w:r>
        <w:rPr>
          <w:rStyle w:val="normaltextrun"/>
          <w:noProof/>
        </w:rPr>
        <w:t xml:space="preserve">L’objectif de la réforme est de moderniser les processus </w:t>
      </w:r>
      <w:r>
        <w:rPr>
          <w:rStyle w:val="normaltextrun"/>
          <w:noProof/>
        </w:rPr>
        <w:t xml:space="preserve">administratifs de la fonction publique et la gestion des ressources humaines. </w:t>
      </w:r>
    </w:p>
    <w:p w14:paraId="5B44D504" w14:textId="6A4CA605" w:rsidR="00FA40E8" w:rsidRDefault="00E74AE8">
      <w:pPr>
        <w:pStyle w:val="paragraph"/>
        <w:spacing w:before="0" w:beforeAutospacing="0" w:after="200" w:afterAutospacing="0" w:line="276" w:lineRule="auto"/>
        <w:jc w:val="both"/>
        <w:textAlignment w:val="baseline"/>
        <w:rPr>
          <w:rStyle w:val="normaltextrun"/>
          <w:noProof/>
        </w:rPr>
      </w:pPr>
      <w:r>
        <w:rPr>
          <w:noProof/>
        </w:rPr>
        <w:t>Cette réforme se compose de deux sous-mesures: (1) modernisation de la gestion des ressources humaines dans le secteur public (sous-mesure 1); (2) mise en place d’une plateforme</w:t>
      </w:r>
      <w:r>
        <w:rPr>
          <w:noProof/>
        </w:rPr>
        <w:t xml:space="preserve"> d’apprentissage à distance pour les employés du secteur public (sous-mesure 2).</w:t>
      </w:r>
    </w:p>
    <w:p w14:paraId="57EC6E41" w14:textId="198A0841"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F.1.1.1 Sous-mesure 1: Modernisation de la gestion des ressources humaines dans le secteur public</w:t>
      </w:r>
    </w:p>
    <w:p w14:paraId="6137AE29" w14:textId="3B6F4685" w:rsidR="00FA40E8" w:rsidRDefault="00E74AE8">
      <w:pPr>
        <w:pStyle w:val="paragraph"/>
        <w:spacing w:before="0" w:beforeAutospacing="0" w:after="200" w:afterAutospacing="0" w:line="276" w:lineRule="auto"/>
        <w:jc w:val="both"/>
        <w:textAlignment w:val="baseline"/>
        <w:rPr>
          <w:rStyle w:val="normaltextrun"/>
          <w:noProof/>
        </w:rPr>
      </w:pPr>
      <w:r>
        <w:rPr>
          <w:noProof/>
        </w:rPr>
        <w:t>L’objectif de cette sous-mesure est de moderniser la gestion des ressources h</w:t>
      </w:r>
      <w:r>
        <w:rPr>
          <w:noProof/>
        </w:rPr>
        <w:t xml:space="preserve">umaines dans le secteur public. La sous-mesure consiste en un système modernisé de gestion des ressources humaines, comprenant un nouveau registre des employés du secteur public. </w:t>
      </w:r>
    </w:p>
    <w:p w14:paraId="5370DB7D" w14:textId="62424B2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 xml:space="preserve">F.1.1.2 Sous-mesure 2: Mise en place d’une plateforme d’apprentissage à </w:t>
      </w:r>
      <w:r>
        <w:rPr>
          <w:rStyle w:val="normaltextrun"/>
          <w:noProof/>
          <w:u w:val="single"/>
        </w:rPr>
        <w:t>distance pour les employés du secteur public</w:t>
      </w:r>
    </w:p>
    <w:p w14:paraId="31E593D6" w14:textId="6363C214" w:rsidR="00FA40E8" w:rsidRDefault="00E74AE8">
      <w:pPr>
        <w:pStyle w:val="paragraph"/>
        <w:spacing w:before="0" w:beforeAutospacing="0" w:after="200" w:afterAutospacing="0" w:line="276" w:lineRule="auto"/>
        <w:jc w:val="both"/>
        <w:textAlignment w:val="baseline"/>
        <w:rPr>
          <w:rStyle w:val="normaltextrun"/>
          <w:noProof/>
        </w:rPr>
      </w:pPr>
      <w:r>
        <w:rPr>
          <w:noProof/>
        </w:rPr>
        <w:t>L’objectif de cette sous-mesure est de mettre en place une plateforme de formation aux compétences pour les employés du secteur public. La sous-mesure consiste en la création d’une plateforme d’apprentissage à d</w:t>
      </w:r>
      <w:r>
        <w:rPr>
          <w:noProof/>
        </w:rPr>
        <w:t xml:space="preserve">istance et de modules de formation axés sur les compétences numériques, financières, analytiques et de direction. </w:t>
      </w:r>
    </w:p>
    <w:p w14:paraId="2436CB4C" w14:textId="7777777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F.1.2. Réforme 2 «Un système fiscal plus juste et plus propice à la croissance»</w:t>
      </w:r>
    </w:p>
    <w:p w14:paraId="6521E5D1" w14:textId="0E5B429A" w:rsidR="00FA40E8" w:rsidRDefault="00E74AE8">
      <w:pPr>
        <w:pStyle w:val="paragraph"/>
        <w:spacing w:before="0" w:beforeAutospacing="0" w:after="200" w:afterAutospacing="0" w:line="276" w:lineRule="auto"/>
        <w:jc w:val="both"/>
        <w:textAlignment w:val="baseline"/>
        <w:rPr>
          <w:rStyle w:val="normaltextrun"/>
          <w:noProof/>
        </w:rPr>
      </w:pPr>
      <w:r>
        <w:rPr>
          <w:noProof/>
        </w:rPr>
        <w:t>L’objectif de la réforme est de créer les conditions propices</w:t>
      </w:r>
      <w:r>
        <w:rPr>
          <w:noProof/>
        </w:rPr>
        <w:t xml:space="preserve"> au rééquilibrage du système fiscal en garantissant une structure fiscale plus équitable sur le plan social et propice à la croissance, en encourageant les consommateurs à changer de comportement au moyen de la fiscalité afin de s’adapter à l’évolution des</w:t>
      </w:r>
      <w:r>
        <w:rPr>
          <w:noProof/>
        </w:rPr>
        <w:t xml:space="preserve"> besoins de la société. Cette réforme se compose de trois sous-mesures: (1) la suppression ou la réduction des exonérations fiscales et des régimes fiscaux spéciaux qui sont inefficaces, ne reflètent plus les priorités de l’État ou ne sont pas conformes au</w:t>
      </w:r>
      <w:r>
        <w:rPr>
          <w:noProof/>
        </w:rPr>
        <w:t xml:space="preserve"> pacte vert (sous-mesure 1); (2) poursuite de l’élargissement de l’assiette fiscale à des sources qui n’entravent pas la croissance économique (sous-mesure 2); (3) une évaluation de l’efficacité des impôts et des cotisations d’assurance sociale dans la pré</w:t>
      </w:r>
      <w:r>
        <w:rPr>
          <w:noProof/>
        </w:rPr>
        <w:t>vention de la pauvreté et la réduction des inégalités de revenus (sous-mesure 3).</w:t>
      </w:r>
    </w:p>
    <w:p w14:paraId="607A8081" w14:textId="4EEF19C1"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F.1.2.1. Sous-mesure 1: La suppression ou la réduction des exonérations fiscales et des régimes fiscaux spéciaux qui sont inefficaces, ne reflètent plus les priorités de l’Ét</w:t>
      </w:r>
      <w:r>
        <w:rPr>
          <w:rStyle w:val="normaltextrun"/>
          <w:noProof/>
          <w:u w:val="single"/>
        </w:rPr>
        <w:t>at ou ne sont pas conformes au pacte vert.</w:t>
      </w:r>
    </w:p>
    <w:p w14:paraId="56A0BF2F" w14:textId="0035CCC3" w:rsidR="00FA40E8" w:rsidRDefault="00E74AE8">
      <w:pPr>
        <w:pStyle w:val="paragraph"/>
        <w:spacing w:before="0" w:beforeAutospacing="0" w:after="200" w:afterAutospacing="0" w:line="276" w:lineRule="auto"/>
        <w:jc w:val="both"/>
        <w:textAlignment w:val="baseline"/>
        <w:rPr>
          <w:rStyle w:val="normaltextrun"/>
          <w:noProof/>
        </w:rPr>
      </w:pPr>
      <w:r>
        <w:rPr>
          <w:rStyle w:val="normaltextrun"/>
          <w:noProof/>
        </w:rPr>
        <w:t xml:space="preserve">L’objectif de cette mesure est de recenser les exonérations fiscales et les régimes fiscaux spéciaux qui sont inefficaces, qui ne reflètent plus les priorités de l’État ou qui ne sont pas conformes au pacte vert </w:t>
      </w:r>
      <w:r>
        <w:rPr>
          <w:rStyle w:val="normaltextrun"/>
          <w:noProof/>
        </w:rPr>
        <w:t xml:space="preserve">et de modifier les législations fiscales respectives. Le ministère des finances procède à une analyse coûts-avantages et rédige les amendements nécessaires à la législation qui doit être adoptée par le Parlement. </w:t>
      </w:r>
    </w:p>
    <w:p w14:paraId="6FD3649C" w14:textId="1172343F" w:rsidR="00FA40E8" w:rsidRDefault="00E74AE8">
      <w:pPr>
        <w:pStyle w:val="paragraph"/>
        <w:spacing w:before="0" w:beforeAutospacing="0" w:after="200" w:afterAutospacing="0" w:line="276" w:lineRule="auto"/>
        <w:jc w:val="both"/>
        <w:textAlignment w:val="baseline"/>
        <w:rPr>
          <w:rStyle w:val="normaltextrun"/>
          <w:noProof/>
        </w:rPr>
      </w:pPr>
      <w:r>
        <w:rPr>
          <w:noProof/>
        </w:rPr>
        <w:t>La sous-mesure est achevée au plus tard le</w:t>
      </w:r>
      <w:r>
        <w:rPr>
          <w:noProof/>
        </w:rPr>
        <w:t xml:space="preserve"> 31 mars 2023.</w:t>
      </w:r>
    </w:p>
    <w:p w14:paraId="1BC79C26" w14:textId="7777777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F.1.2.2. Sous-mesure 2: Élargissement de l’assiette fiscale à des sources qui n’entravent pas la croissance économique</w:t>
      </w:r>
    </w:p>
    <w:p w14:paraId="53BE31CC" w14:textId="48D0161E" w:rsidR="00FA40E8" w:rsidRDefault="00E74AE8">
      <w:pPr>
        <w:pStyle w:val="paragraph"/>
        <w:spacing w:before="0" w:beforeAutospacing="0" w:after="200" w:afterAutospacing="0" w:line="276" w:lineRule="auto"/>
        <w:jc w:val="both"/>
        <w:textAlignment w:val="baseline"/>
        <w:rPr>
          <w:rStyle w:val="normaltextrun"/>
          <w:noProof/>
        </w:rPr>
      </w:pPr>
      <w:r>
        <w:rPr>
          <w:rStyle w:val="normaltextrun"/>
          <w:noProof/>
        </w:rPr>
        <w:t>L’objectif de cette mesure est d’élargir l’assiette fiscale à des sources qui n’entravent pas la croissance économique. Le</w:t>
      </w:r>
      <w:r>
        <w:rPr>
          <w:rStyle w:val="normaltextrun"/>
          <w:noProof/>
        </w:rPr>
        <w:t xml:space="preserve"> ministère des finances prépare une étude sur les possibilités d’élargir l’assiette fiscale et rédige les amendements nécessaires à la législation qui doit être adoptée par le Parlement. L’analyse se concentrera sur la taxe immobilière, les droits d’accise</w:t>
      </w:r>
      <w:r>
        <w:rPr>
          <w:rStyle w:val="normaltextrun"/>
          <w:noProof/>
        </w:rPr>
        <w:t xml:space="preserve"> sur les produits énergétiques et d’autres taxes vertes. </w:t>
      </w:r>
    </w:p>
    <w:p w14:paraId="428950B3" w14:textId="597ABCA6" w:rsidR="00FA40E8" w:rsidRDefault="00E74AE8">
      <w:pPr>
        <w:pStyle w:val="paragraph"/>
        <w:spacing w:before="0" w:beforeAutospacing="0" w:after="200" w:afterAutospacing="0" w:line="276" w:lineRule="auto"/>
        <w:jc w:val="both"/>
        <w:textAlignment w:val="baseline"/>
        <w:rPr>
          <w:rStyle w:val="normaltextrun"/>
          <w:noProof/>
        </w:rPr>
      </w:pPr>
      <w:r>
        <w:rPr>
          <w:noProof/>
        </w:rPr>
        <w:t>La sous-mesure est achevée au plus tard le 31 mars 2023.</w:t>
      </w:r>
    </w:p>
    <w:p w14:paraId="28E9CAF4" w14:textId="7777777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F.1.2.3. Sous-mesure 3: Une évaluation de l’efficacité de la fiscalité et des cotisations d’assurance sociale dans la prévention de la pauvre</w:t>
      </w:r>
      <w:r>
        <w:rPr>
          <w:rStyle w:val="normaltextrun"/>
          <w:noProof/>
          <w:u w:val="single"/>
        </w:rPr>
        <w:t>té et la réduction des inégalités de revenus;</w:t>
      </w:r>
    </w:p>
    <w:p w14:paraId="2C1BCA02" w14:textId="354FDB36" w:rsidR="00FA40E8" w:rsidRDefault="00E74AE8">
      <w:pPr>
        <w:jc w:val="both"/>
        <w:rPr>
          <w:rFonts w:ascii="Times New Roman" w:eastAsia="Times New Roman" w:hAnsi="Times New Roman" w:cs="Times New Roman"/>
          <w:noProof/>
          <w:sz w:val="24"/>
          <w:szCs w:val="24"/>
        </w:rPr>
      </w:pPr>
      <w:r>
        <w:rPr>
          <w:rStyle w:val="normaltextrun"/>
          <w:rFonts w:ascii="Times New Roman" w:hAnsi="Times New Roman"/>
          <w:noProof/>
          <w:sz w:val="24"/>
        </w:rPr>
        <w:t>L’objectif de cette mesure est d’ajuster l’impôt sur le revenu des personnes physiques et les cotisations d’assurance sociale afin de mieux prévenir la pauvreté et de réduire les inégalités de revenus. Le minis</w:t>
      </w:r>
      <w:r>
        <w:rPr>
          <w:rStyle w:val="normaltextrun"/>
          <w:rFonts w:ascii="Times New Roman" w:hAnsi="Times New Roman"/>
          <w:noProof/>
          <w:sz w:val="24"/>
        </w:rPr>
        <w:t xml:space="preserve">tère des finances prépare une étude sur d’éventuels ajustements de l’impôt sur le revenu des personnes physiques et des cotisations d’assurance sociale et rédige les modifications nécessaires de la législation à adopter par le Parlement. </w:t>
      </w:r>
    </w:p>
    <w:p w14:paraId="412180A0" w14:textId="40583767" w:rsidR="00FA40E8" w:rsidRDefault="00E74AE8">
      <w:pPr>
        <w:pStyle w:val="paragraph"/>
        <w:spacing w:before="0" w:beforeAutospacing="0" w:after="200" w:afterAutospacing="0" w:line="276" w:lineRule="auto"/>
        <w:jc w:val="both"/>
        <w:textAlignment w:val="baseline"/>
        <w:rPr>
          <w:rStyle w:val="normaltextrun"/>
          <w:rFonts w:eastAsiaTheme="minorEastAsia"/>
          <w:noProof/>
        </w:rPr>
      </w:pPr>
      <w:r>
        <w:rPr>
          <w:noProof/>
        </w:rPr>
        <w:t>La sous-mesure es</w:t>
      </w:r>
      <w:r>
        <w:rPr>
          <w:noProof/>
        </w:rPr>
        <w:t>t achevée au plus tard le 31 mars 2023.</w:t>
      </w:r>
    </w:p>
    <w:p w14:paraId="3D50420F" w14:textId="7777777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 Réforme 3 «Durabilité à long terme et transparence du budget national»</w:t>
      </w:r>
    </w:p>
    <w:p w14:paraId="4B02FB50" w14:textId="26933011" w:rsidR="00FA40E8" w:rsidRDefault="00E74AE8">
      <w:pPr>
        <w:pStyle w:val="paragraph"/>
        <w:spacing w:before="0" w:beforeAutospacing="0" w:after="200" w:afterAutospacing="0" w:line="276" w:lineRule="auto"/>
        <w:jc w:val="both"/>
        <w:textAlignment w:val="baseline"/>
        <w:rPr>
          <w:rStyle w:val="normaltextrun"/>
          <w:noProof/>
        </w:rPr>
      </w:pPr>
      <w:r>
        <w:rPr>
          <w:rStyle w:val="normaltextrun"/>
          <w:noProof/>
        </w:rPr>
        <w:t>L’objectif de la réforme est d’accroître la viabilité à long terme des budgets de l’État et des municipalités, la transparence de la budgé</w:t>
      </w:r>
      <w:r>
        <w:rPr>
          <w:rStyle w:val="normaltextrun"/>
          <w:noProof/>
        </w:rPr>
        <w:t>tisation à moyen terme et le financement des services publics. Cette réforme se compose de cinq sous-mesures: (1) le cadre budgétaire à moyen terme (sous-mesure 1); (2) réexamens des dépenses (sous-mesure 2); (3) améliorer la structure des recettes municip</w:t>
      </w:r>
      <w:r>
        <w:rPr>
          <w:rStyle w:val="normaltextrun"/>
          <w:noProof/>
        </w:rPr>
        <w:t>ales (sous-mesure 3); (4) promouvoir les partenariats public-privé (sous-mesure 4); (5) consolidation des institutions nationales de développement (sous-mesure 5).</w:t>
      </w:r>
    </w:p>
    <w:p w14:paraId="4C6FF8F0" w14:textId="0679E345"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F.1.3.1. Sous-mesure 1: Le cadre budgétaire à moyen terme</w:t>
      </w:r>
    </w:p>
    <w:p w14:paraId="72E82B28" w14:textId="77A7B6D7" w:rsidR="00FA40E8" w:rsidRDefault="00E74AE8">
      <w:pPr>
        <w:pStyle w:val="paragraph"/>
        <w:spacing w:before="0" w:beforeAutospacing="0" w:after="200" w:afterAutospacing="0" w:line="276" w:lineRule="auto"/>
        <w:jc w:val="both"/>
        <w:textAlignment w:val="baseline"/>
        <w:rPr>
          <w:noProof/>
        </w:rPr>
      </w:pPr>
      <w:r>
        <w:rPr>
          <w:noProof/>
        </w:rPr>
        <w:t>L’objectif de cette sous-mesure es</w:t>
      </w:r>
      <w:r>
        <w:rPr>
          <w:noProof/>
        </w:rPr>
        <w:t>t de créer le cadre budgétaire à moyen terme. La sous-mesure consiste en l’adoption de méthodologies relatives à la budgétisation à moyen terme et au calcul des coûts de base, en l’adoption des modifications de la loi sur la structure budgétaire afin de cl</w:t>
      </w:r>
      <w:r>
        <w:rPr>
          <w:noProof/>
        </w:rPr>
        <w:t>arifier les règles relatives aux modifications budgétaires, en la mise à disposition d’un outil budgétaire et en l’approbation d’un budget à moyen terme pour la période comprise entre le 1 janvier 2025 et le 31 décembre 2027 par le gouvernement.</w:t>
      </w:r>
    </w:p>
    <w:p w14:paraId="4FCC9E08" w14:textId="7B4503AE"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F.1.3.2. S</w:t>
      </w:r>
      <w:r>
        <w:rPr>
          <w:rStyle w:val="normaltextrun"/>
          <w:noProof/>
          <w:u w:val="single"/>
        </w:rPr>
        <w:t>ous-mesure 2: Réexamens des dépenses</w:t>
      </w:r>
    </w:p>
    <w:p w14:paraId="77D78686" w14:textId="77777777" w:rsidR="00FA40E8" w:rsidRDefault="00E74AE8">
      <w:pPr>
        <w:pStyle w:val="paragraph"/>
        <w:spacing w:before="0" w:beforeAutospacing="0" w:after="200" w:afterAutospacing="0" w:line="276" w:lineRule="auto"/>
        <w:jc w:val="both"/>
        <w:textAlignment w:val="baseline"/>
        <w:rPr>
          <w:noProof/>
        </w:rPr>
      </w:pPr>
      <w:r>
        <w:rPr>
          <w:noProof/>
        </w:rPr>
        <w:t>L’objectif de cette sous-mesure est d’élaborer un concept de revue des dépenses et de procéder au premier réexamen complet des dépenses. Les résultats du réexamen complet des dépenses sont rendus publics et alimentent l</w:t>
      </w:r>
      <w:r>
        <w:rPr>
          <w:noProof/>
        </w:rPr>
        <w:t>’élaboration des premiers budgets à moyen terme pour la période allant du 1 janvier 2025 au 31 décembre 2027.</w:t>
      </w:r>
    </w:p>
    <w:p w14:paraId="2250B8EB" w14:textId="45C6EE11" w:rsidR="00FA40E8" w:rsidRDefault="00E74AE8">
      <w:pPr>
        <w:pStyle w:val="paragraph"/>
        <w:spacing w:before="0" w:beforeAutospacing="0" w:after="200" w:afterAutospacing="0" w:line="276" w:lineRule="auto"/>
        <w:jc w:val="both"/>
        <w:textAlignment w:val="baseline"/>
        <w:rPr>
          <w:rStyle w:val="normaltextrun"/>
          <w:noProof/>
        </w:rPr>
      </w:pPr>
      <w:r>
        <w:rPr>
          <w:noProof/>
        </w:rPr>
        <w:t>La sous-mesure est achevée au plus tard le 31 mars 2024.</w:t>
      </w:r>
    </w:p>
    <w:p w14:paraId="6D2D269A" w14:textId="7777777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F.1.3.3. Sous-mesure 3: Améliorer la structure des recettes municipales</w:t>
      </w:r>
    </w:p>
    <w:p w14:paraId="782EC2D3" w14:textId="77777777" w:rsidR="00FA40E8" w:rsidRDefault="00E74AE8">
      <w:pPr>
        <w:pStyle w:val="paragraph"/>
        <w:spacing w:before="0" w:beforeAutospacing="0" w:after="200" w:afterAutospacing="0" w:line="276" w:lineRule="auto"/>
        <w:jc w:val="both"/>
        <w:textAlignment w:val="baseline"/>
        <w:rPr>
          <w:rStyle w:val="normaltextrun"/>
          <w:noProof/>
        </w:rPr>
      </w:pPr>
      <w:r>
        <w:rPr>
          <w:noProof/>
        </w:rPr>
        <w:t>L’objectif de cet</w:t>
      </w:r>
      <w:r>
        <w:rPr>
          <w:noProof/>
        </w:rPr>
        <w:t>te sous-mesure est de déterminer les moyens d’améliorer la structure des recettes municipales, notamment en augmentant la part des recettes qui est directement déterminée par les municipalités. La mise en œuvre de cette réforme nécessite de modifier la loi</w:t>
      </w:r>
      <w:r>
        <w:rPr>
          <w:noProof/>
        </w:rPr>
        <w:t xml:space="preserve"> sur la méthodologie de détermination des recettes du budget municipal et de créer des outils analytiques permettant de comparer les indicateurs budgétaires municipaux et d’évaluer la capacité des municipalités à lever des recettes. </w:t>
      </w:r>
    </w:p>
    <w:p w14:paraId="34F5139C" w14:textId="77777777" w:rsidR="00FA40E8" w:rsidRDefault="00E74AE8">
      <w:pPr>
        <w:pStyle w:val="paragraph"/>
        <w:spacing w:before="0" w:beforeAutospacing="0" w:after="200" w:afterAutospacing="0" w:line="276" w:lineRule="auto"/>
        <w:jc w:val="both"/>
        <w:textAlignment w:val="baseline"/>
        <w:rPr>
          <w:rStyle w:val="normaltextrun"/>
          <w:noProof/>
        </w:rPr>
      </w:pPr>
      <w:r>
        <w:rPr>
          <w:noProof/>
        </w:rPr>
        <w:t>La sous-mesure est ach</w:t>
      </w:r>
      <w:r>
        <w:rPr>
          <w:noProof/>
        </w:rPr>
        <w:t>evée au plus tard le 30 juin 2023.</w:t>
      </w:r>
    </w:p>
    <w:p w14:paraId="38FE245C" w14:textId="3FB1E8CE"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F.1.3.4. Sous-mesure 4: Promouvoir les partenariats public-privé</w:t>
      </w:r>
    </w:p>
    <w:p w14:paraId="08C5AB5A" w14:textId="77777777" w:rsidR="00FA40E8" w:rsidRDefault="00E74AE8">
      <w:pPr>
        <w:rPr>
          <w:rFonts w:ascii="Times New Roman" w:eastAsia="Times New Roman" w:hAnsi="Times New Roman" w:cs="Times New Roman"/>
          <w:noProof/>
          <w:sz w:val="24"/>
          <w:szCs w:val="24"/>
        </w:rPr>
      </w:pPr>
      <w:r>
        <w:rPr>
          <w:rStyle w:val="normaltextrun"/>
          <w:rFonts w:ascii="Times New Roman" w:hAnsi="Times New Roman"/>
          <w:noProof/>
          <w:sz w:val="24"/>
        </w:rPr>
        <w:t>L’objectif de cette sous-mesure est d’élaborer et d’adopter un paquet législatif qui:</w:t>
      </w:r>
    </w:p>
    <w:p w14:paraId="224B4B94" w14:textId="77777777" w:rsidR="00FA40E8" w:rsidRDefault="00E74AE8">
      <w:pPr>
        <w:pStyle w:val="P68B1DB1-ListParagraph16"/>
        <w:numPr>
          <w:ilvl w:val="0"/>
          <w:numId w:val="32"/>
        </w:numPr>
        <w:spacing w:after="200" w:line="276" w:lineRule="auto"/>
        <w:jc w:val="both"/>
        <w:rPr>
          <w:rFonts w:eastAsia="Times New Roman" w:cs="Times New Roman"/>
          <w:noProof/>
          <w:szCs w:val="24"/>
        </w:rPr>
      </w:pPr>
      <w:r>
        <w:rPr>
          <w:noProof/>
        </w:rPr>
        <w:t>permettre la mise en œuvre de partenariats public-privé dans les domai</w:t>
      </w:r>
      <w:r>
        <w:rPr>
          <w:noProof/>
        </w:rPr>
        <w:t>nes les plus importants d’un point de vue stratégique, tels que l’efficacité énergétique, les sources d’énergie renouvelables, les transports durables et les domaines où les besoins d’investissement sont les plus importants, tels que la justice, l’ordre pu</w:t>
      </w:r>
      <w:r>
        <w:rPr>
          <w:noProof/>
        </w:rPr>
        <w:t>blic et la sécurité publique;</w:t>
      </w:r>
    </w:p>
    <w:p w14:paraId="3D9F22DD" w14:textId="77777777" w:rsidR="00FA40E8" w:rsidRDefault="00E74AE8">
      <w:pPr>
        <w:pStyle w:val="P68B1DB1-ListParagraph16"/>
        <w:numPr>
          <w:ilvl w:val="0"/>
          <w:numId w:val="32"/>
        </w:numPr>
        <w:spacing w:after="200" w:line="276" w:lineRule="auto"/>
        <w:jc w:val="both"/>
        <w:rPr>
          <w:rFonts w:eastAsia="Times New Roman" w:cs="Times New Roman"/>
          <w:noProof/>
          <w:szCs w:val="24"/>
        </w:rPr>
      </w:pPr>
      <w:r>
        <w:rPr>
          <w:noProof/>
        </w:rPr>
        <w:t>contribuer à attirer des investisseurs privés vers des projets publics en fournissant des plans d’investissement durables à long terme et en élaborant des mécanismes équilibrés et mutuellement bénéfiques de répartition des ris</w:t>
      </w:r>
      <w:r>
        <w:rPr>
          <w:noProof/>
        </w:rPr>
        <w:t>ques;</w:t>
      </w:r>
    </w:p>
    <w:p w14:paraId="1D0957AC" w14:textId="77777777" w:rsidR="00FA40E8" w:rsidRDefault="00E74AE8">
      <w:pPr>
        <w:pStyle w:val="P68B1DB1-ListParagraph16"/>
        <w:numPr>
          <w:ilvl w:val="0"/>
          <w:numId w:val="32"/>
        </w:numPr>
        <w:spacing w:after="200" w:line="276" w:lineRule="auto"/>
        <w:jc w:val="both"/>
        <w:rPr>
          <w:rFonts w:eastAsia="Times New Roman" w:cs="Times New Roman"/>
          <w:noProof/>
          <w:szCs w:val="24"/>
        </w:rPr>
      </w:pPr>
      <w:r>
        <w:rPr>
          <w:noProof/>
        </w:rPr>
        <w:t>permettre le regroupement de projets d’investissement municipaux, ce qui les rendrait plus attrayants pour les investisseurs;</w:t>
      </w:r>
    </w:p>
    <w:p w14:paraId="0A751DBB" w14:textId="77777777" w:rsidR="00FA40E8" w:rsidRDefault="00E74AE8">
      <w:pPr>
        <w:pStyle w:val="P68B1DB1-ListParagraph16"/>
        <w:numPr>
          <w:ilvl w:val="0"/>
          <w:numId w:val="32"/>
        </w:numPr>
        <w:spacing w:after="200" w:line="276" w:lineRule="auto"/>
        <w:jc w:val="both"/>
        <w:rPr>
          <w:rStyle w:val="normaltextrun"/>
          <w:rFonts w:eastAsia="Times New Roman" w:cs="Times New Roman"/>
          <w:noProof/>
          <w:szCs w:val="24"/>
        </w:rPr>
      </w:pPr>
      <w:r>
        <w:rPr>
          <w:noProof/>
        </w:rPr>
        <w:t xml:space="preserve">permettre aux municipalités de participer à des programmes de partenariat public-privé organisés par l’État, ce qui devrait </w:t>
      </w:r>
      <w:r>
        <w:rPr>
          <w:noProof/>
        </w:rPr>
        <w:t>réduire les coûts administratifs.</w:t>
      </w:r>
    </w:p>
    <w:p w14:paraId="4A0243E8" w14:textId="7BA7D68B" w:rsidR="00FA40E8" w:rsidRDefault="00E74AE8">
      <w:pPr>
        <w:pStyle w:val="paragraph"/>
        <w:spacing w:before="0" w:beforeAutospacing="0" w:after="200" w:afterAutospacing="0" w:line="276" w:lineRule="auto"/>
        <w:jc w:val="both"/>
        <w:textAlignment w:val="baseline"/>
        <w:rPr>
          <w:rStyle w:val="normaltextrun"/>
          <w:rFonts w:eastAsiaTheme="minorEastAsia"/>
          <w:noProof/>
        </w:rPr>
      </w:pPr>
      <w:r>
        <w:rPr>
          <w:noProof/>
        </w:rPr>
        <w:t>La sous-mesure est achevée au plus tard le 31 décembre 2023.</w:t>
      </w:r>
    </w:p>
    <w:p w14:paraId="53F4053B" w14:textId="7777777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F.1.3.5. Sous-mesure 5: Consolidation des institutions nationales de développement</w:t>
      </w:r>
    </w:p>
    <w:p w14:paraId="53797C21" w14:textId="22F70E13" w:rsidR="00FA40E8" w:rsidRDefault="00E74AE8">
      <w:pPr>
        <w:pStyle w:val="paragraph"/>
        <w:spacing w:before="0" w:beforeAutospacing="0" w:after="200" w:afterAutospacing="0" w:line="276" w:lineRule="auto"/>
        <w:jc w:val="both"/>
        <w:textAlignment w:val="baseline"/>
        <w:rPr>
          <w:noProof/>
        </w:rPr>
      </w:pPr>
      <w:r>
        <w:rPr>
          <w:noProof/>
        </w:rPr>
        <w:t>L’objectif de cette sous-mesure est de consolider quatre institutions national</w:t>
      </w:r>
      <w:r>
        <w:rPr>
          <w:noProof/>
        </w:rPr>
        <w:t>es de développement en un seul organisme public. L’objectif de l’institution est de concentrer les connaissances et les compétences au sein d’une institution nationale de développement forte, INVEGA, afin d’unifier et d’optimiser les pratiques opérationnel</w:t>
      </w:r>
      <w:r>
        <w:rPr>
          <w:noProof/>
        </w:rPr>
        <w:t>les des institutions nationales de développement et la gestion des fonds, en créant les conditions préalables pour attirer les investisseurs institutionnels, renforcer le partenariat public-privé et accroître durablement l’offre d’instruments financiers po</w:t>
      </w:r>
      <w:r>
        <w:rPr>
          <w:noProof/>
        </w:rPr>
        <w:t>ur financer des projets financièrement viables.</w:t>
      </w:r>
    </w:p>
    <w:p w14:paraId="4F995BE3" w14:textId="556238D8" w:rsidR="00FA40E8" w:rsidRDefault="00E74AE8">
      <w:pPr>
        <w:pStyle w:val="FooterText"/>
        <w:jc w:val="both"/>
        <w:textAlignment w:val="baseline"/>
        <w:rPr>
          <w:noProof/>
          <w:szCs w:val="24"/>
        </w:rPr>
      </w:pPr>
      <w:r>
        <w:rPr>
          <w:noProof/>
        </w:rPr>
        <w:t>Cette mesure vise également à soutenir le potentiel de croissance de l’économie lituanienne en ajustant structurellement le niveau de soutien public disponible pour remédier aux défaillances et aux inefficaci</w:t>
      </w:r>
      <w:r>
        <w:rPr>
          <w:noProof/>
        </w:rPr>
        <w:t>tés du marché au sein de l’économie, dans le domaine de la transition écologique.</w:t>
      </w:r>
    </w:p>
    <w:p w14:paraId="4966E4D6" w14:textId="7603C017" w:rsidR="00FA40E8" w:rsidRDefault="00FA40E8">
      <w:pPr>
        <w:spacing w:after="0" w:line="240" w:lineRule="auto"/>
        <w:textAlignment w:val="baseline"/>
        <w:rPr>
          <w:rFonts w:ascii="Times New Roman" w:eastAsia="Times New Roman" w:hAnsi="Times New Roman" w:cs="Times New Roman"/>
          <w:noProof/>
          <w:sz w:val="24"/>
          <w:szCs w:val="24"/>
        </w:rPr>
      </w:pPr>
    </w:p>
    <w:p w14:paraId="0B65C9A0" w14:textId="0A6FF0D2" w:rsidR="00FA40E8" w:rsidRDefault="00E74AE8">
      <w:pPr>
        <w:spacing w:after="0" w:line="240" w:lineRule="auto"/>
        <w:jc w:val="both"/>
        <w:textAlignment w:val="baseline"/>
        <w:rPr>
          <w:rFonts w:ascii="Times New Roman" w:eastAsia="Times New Roman" w:hAnsi="Times New Roman" w:cs="Times New Roman"/>
          <w:noProof/>
          <w:sz w:val="24"/>
          <w:szCs w:val="24"/>
        </w:rPr>
      </w:pPr>
      <w:r>
        <w:rPr>
          <w:rFonts w:ascii="Times New Roman" w:eastAsia="Times New Roman" w:hAnsi="Times New Roman" w:cs="Times New Roman"/>
          <w:noProof/>
          <w:sz w:val="24"/>
        </w:rPr>
        <w:t>La mesure consiste en une injection de fonds propres de</w:t>
      </w:r>
      <w:r>
        <w:rPr>
          <w:rFonts w:ascii="Times New Roman" w:hAnsi="Times New Roman"/>
          <w:noProof/>
          <w:sz w:val="20"/>
        </w:rPr>
        <w:t xml:space="preserve"> </w:t>
      </w:r>
      <w:r>
        <w:rPr>
          <w:rFonts w:ascii="Times New Roman" w:eastAsia="Times New Roman" w:hAnsi="Times New Roman" w:cs="Times New Roman"/>
          <w:noProof/>
          <w:sz w:val="24"/>
        </w:rPr>
        <w:t>78</w:t>
      </w:r>
      <w:r>
        <w:rPr>
          <w:rFonts w:ascii="Times New Roman" w:hAnsi="Times New Roman"/>
          <w:noProof/>
          <w:sz w:val="20"/>
        </w:rPr>
        <w:t xml:space="preserve"> </w:t>
      </w:r>
      <w:r>
        <w:rPr>
          <w:rFonts w:ascii="Times New Roman" w:eastAsia="Times New Roman" w:hAnsi="Times New Roman" w:cs="Times New Roman"/>
          <w:noProof/>
          <w:sz w:val="24"/>
        </w:rPr>
        <w:t>901</w:t>
      </w:r>
      <w:r>
        <w:rPr>
          <w:rFonts w:ascii="Times New Roman" w:hAnsi="Times New Roman"/>
          <w:noProof/>
          <w:sz w:val="20"/>
        </w:rPr>
        <w:t xml:space="preserve"> </w:t>
      </w:r>
      <w:r>
        <w:rPr>
          <w:rFonts w:ascii="Times New Roman" w:eastAsia="Times New Roman" w:hAnsi="Times New Roman" w:cs="Times New Roman"/>
          <w:noProof/>
          <w:sz w:val="24"/>
        </w:rPr>
        <w:t>216 EUR dans ILTE.</w:t>
      </w:r>
    </w:p>
    <w:p w14:paraId="5AF4B778" w14:textId="77777777" w:rsidR="00FA40E8" w:rsidRDefault="00FA40E8">
      <w:pPr>
        <w:spacing w:after="0" w:line="240" w:lineRule="auto"/>
        <w:jc w:val="both"/>
        <w:textAlignment w:val="baseline"/>
        <w:rPr>
          <w:rFonts w:ascii="Times New Roman" w:eastAsia="Times New Roman" w:hAnsi="Times New Roman" w:cs="Times New Roman"/>
          <w:b/>
          <w:noProof/>
          <w:sz w:val="24"/>
          <w:szCs w:val="24"/>
          <w:u w:val="single"/>
        </w:rPr>
      </w:pPr>
    </w:p>
    <w:p w14:paraId="792F6735" w14:textId="61277F93" w:rsidR="00FA40E8" w:rsidRDefault="00E74AE8">
      <w:pPr>
        <w:pStyle w:val="FooterText"/>
        <w:jc w:val="both"/>
        <w:rPr>
          <w:noProof/>
          <w:szCs w:val="24"/>
        </w:rPr>
      </w:pPr>
      <w:r>
        <w:rPr>
          <w:noProof/>
        </w:rPr>
        <w:t>ILTE modifie la politique d’investissement pour l’utilisation des fonds propres supplément</w:t>
      </w:r>
      <w:r>
        <w:rPr>
          <w:noProof/>
        </w:rPr>
        <w:t>aires. La politique d’investissement comprend la description du ou des produits financiers avec le type attendu de bénéficiaires finaux éligibles que les fonds propres supplémentaires devraient initialement soutenir, y compris le calendrier prévu pour la m</w:t>
      </w:r>
      <w:r>
        <w:rPr>
          <w:noProof/>
        </w:rPr>
        <w:t>ise en œuvre et le montant attendu de chaque produit financier. ILTE utilise pour les fonds propres supplémentaires le même système d’audit et de contrôle que celui qui a fait l’objet d’une évaluation positive par la Commission conformément à l’article 157</w:t>
      </w:r>
      <w:r>
        <w:rPr>
          <w:noProof/>
        </w:rPr>
        <w:t xml:space="preserve"> du règlement (UE, Euratom) 2024/2509. </w:t>
      </w:r>
    </w:p>
    <w:p w14:paraId="2A975CAF" w14:textId="77777777" w:rsidR="00FA40E8" w:rsidRDefault="00FA40E8">
      <w:pPr>
        <w:spacing w:after="0" w:line="240" w:lineRule="auto"/>
        <w:jc w:val="both"/>
        <w:textAlignment w:val="baseline"/>
        <w:rPr>
          <w:rFonts w:ascii="Times New Roman" w:eastAsia="Times New Roman" w:hAnsi="Times New Roman" w:cs="Times New Roman"/>
          <w:noProof/>
          <w:sz w:val="24"/>
          <w:szCs w:val="24"/>
        </w:rPr>
      </w:pPr>
    </w:p>
    <w:p w14:paraId="0BCB65F1" w14:textId="68030CFE" w:rsidR="00FA40E8" w:rsidRDefault="00E74AE8">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rPr>
        <w:t>La politique d’investissement exige que les produits financiers soutenus par les fonds propres supplémentaires soient conformes au principe consistant à «ne pas causer de préjudice important» énoncé dans les orienta</w:t>
      </w:r>
      <w:r>
        <w:rPr>
          <w:rFonts w:ascii="Times New Roman" w:eastAsia="Times New Roman" w:hAnsi="Times New Roman" w:cs="Times New Roman"/>
          <w:noProof/>
          <w:sz w:val="24"/>
        </w:rPr>
        <w:t>tions techniques relatives au principe consistant à «ne pas causer de préjudice important» (2021/C58/01). En particulier, la politique d’investissement exclut de l’éligibilité la liste suivante d’activités et d’actifs: les activités et actifs liés aux comb</w:t>
      </w:r>
      <w:r>
        <w:rPr>
          <w:rFonts w:ascii="Times New Roman" w:eastAsia="Times New Roman" w:hAnsi="Times New Roman" w:cs="Times New Roman"/>
          <w:noProof/>
          <w:sz w:val="24"/>
        </w:rPr>
        <w:t>ustibles fossiles, y compris leur utilisation en aval</w:t>
      </w:r>
      <w:r>
        <w:rPr>
          <w:rStyle w:val="FootnoteReference"/>
          <w:rFonts w:ascii="Times New Roman" w:eastAsia="Calibri" w:hAnsi="Times New Roman" w:cs="Times New Roman"/>
          <w:noProof/>
          <w:sz w:val="24"/>
        </w:rPr>
        <w:footnoteReference w:id="7"/>
      </w:r>
      <w:r>
        <w:rPr>
          <w:rFonts w:ascii="Times New Roman" w:eastAsia="Times New Roman" w:hAnsi="Times New Roman" w:cs="Times New Roman"/>
          <w:noProof/>
          <w:sz w:val="24"/>
        </w:rPr>
        <w:t>, ii) les activités et actifs relevant du système d’échange de quotas d’émission de l’UE (SEQE) permettant d’atteindre les émissions de gaz à effet de serre prévues qui ne sont pas inférieures aux valeu</w:t>
      </w:r>
      <w:r>
        <w:rPr>
          <w:rFonts w:ascii="Times New Roman" w:eastAsia="Times New Roman" w:hAnsi="Times New Roman" w:cs="Times New Roman"/>
          <w:noProof/>
          <w:sz w:val="24"/>
        </w:rPr>
        <w:t>rs de référence pertinentes,</w:t>
      </w:r>
      <w:r>
        <w:rPr>
          <w:rStyle w:val="FootnoteReference"/>
          <w:rFonts w:ascii="Times New Roman" w:eastAsia="Calibri" w:hAnsi="Times New Roman" w:cs="Times New Roman"/>
          <w:noProof/>
          <w:sz w:val="24"/>
        </w:rPr>
        <w:footnoteReference w:id="8"/>
      </w:r>
      <w:r>
        <w:rPr>
          <w:rFonts w:ascii="Times New Roman" w:eastAsia="Times New Roman" w:hAnsi="Times New Roman" w:cs="Times New Roman"/>
          <w:noProof/>
          <w:sz w:val="24"/>
        </w:rPr>
        <w:t xml:space="preserve"> iii) les activités et actifs liés aux décharges de déchets, aux incinérateurs et aux installations de traitement biomécanique</w:t>
      </w:r>
      <w:r>
        <w:rPr>
          <w:rStyle w:val="FootnoteReference"/>
          <w:rFonts w:ascii="Times New Roman" w:eastAsia="Calibri" w:hAnsi="Times New Roman" w:cs="Times New Roman"/>
          <w:noProof/>
          <w:sz w:val="24"/>
        </w:rPr>
        <w:footnoteReference w:id="9"/>
      </w:r>
      <w:r>
        <w:rPr>
          <w:rFonts w:ascii="Times New Roman" w:eastAsia="Times New Roman" w:hAnsi="Times New Roman" w:cs="Times New Roman"/>
          <w:noProof/>
          <w:sz w:val="24"/>
        </w:rPr>
        <w:t xml:space="preserve">. En outre, dans le cas d’un soutien général aux entreprises, la politique d’investissement exclut </w:t>
      </w:r>
      <w:r>
        <w:rPr>
          <w:rFonts w:ascii="Times New Roman" w:eastAsia="Times New Roman" w:hAnsi="Times New Roman" w:cs="Times New Roman"/>
          <w:noProof/>
          <w:sz w:val="24"/>
        </w:rPr>
        <w:t>les entreprises fortement axées sur</w:t>
      </w:r>
      <w:r>
        <w:rPr>
          <w:rStyle w:val="FootnoteReference"/>
          <w:rFonts w:ascii="Times New Roman" w:eastAsia="Calibri" w:hAnsi="Times New Roman" w:cs="Times New Roman"/>
          <w:noProof/>
          <w:sz w:val="24"/>
        </w:rPr>
        <w:footnoteReference w:id="10"/>
      </w:r>
      <w:r>
        <w:rPr>
          <w:rFonts w:ascii="Times New Roman" w:eastAsia="Times New Roman" w:hAnsi="Times New Roman" w:cs="Times New Roman"/>
          <w:noProof/>
          <w:sz w:val="24"/>
        </w:rPr>
        <w:t xml:space="preserve"> les secteurs suivants: I) la production d’énergie à partir de combustibles fossiles et les activités connexes;</w:t>
      </w:r>
      <w:r>
        <w:rPr>
          <w:rStyle w:val="FootnoteReference"/>
          <w:rFonts w:ascii="Times New Roman" w:eastAsia="Calibri" w:hAnsi="Times New Roman" w:cs="Times New Roman"/>
          <w:noProof/>
          <w:sz w:val="24"/>
        </w:rPr>
        <w:footnoteReference w:id="11"/>
      </w:r>
      <w:r>
        <w:rPr>
          <w:rFonts w:ascii="Times New Roman" w:eastAsia="Times New Roman" w:hAnsi="Times New Roman" w:cs="Times New Roman"/>
          <w:noProof/>
          <w:sz w:val="24"/>
        </w:rPr>
        <w:t xml:space="preserve"> ii) les industries à forte intensité énergétique et/ou à fortes émissions de CO2</w:t>
      </w:r>
      <w:r>
        <w:rPr>
          <w:rStyle w:val="FootnoteReference"/>
          <w:rFonts w:ascii="Times New Roman" w:eastAsia="Calibri" w:hAnsi="Times New Roman" w:cs="Times New Roman"/>
          <w:noProof/>
          <w:sz w:val="24"/>
        </w:rPr>
        <w:footnoteReference w:id="12"/>
      </w:r>
      <w:r>
        <w:rPr>
          <w:rFonts w:ascii="Times New Roman" w:eastAsia="Times New Roman" w:hAnsi="Times New Roman" w:cs="Times New Roman"/>
          <w:noProof/>
          <w:sz w:val="24"/>
        </w:rPr>
        <w:t>; III) la production, la l</w:t>
      </w:r>
      <w:r>
        <w:rPr>
          <w:rFonts w:ascii="Times New Roman" w:eastAsia="Times New Roman" w:hAnsi="Times New Roman" w:cs="Times New Roman"/>
          <w:noProof/>
          <w:sz w:val="24"/>
        </w:rPr>
        <w:t>ocation ou la vente de véhicules polluants</w:t>
      </w:r>
      <w:r>
        <w:rPr>
          <w:rStyle w:val="FootnoteReference"/>
          <w:rFonts w:ascii="Times New Roman" w:eastAsia="Calibri" w:hAnsi="Times New Roman" w:cs="Times New Roman"/>
          <w:noProof/>
          <w:sz w:val="24"/>
        </w:rPr>
        <w:footnoteReference w:id="13"/>
      </w:r>
      <w:r>
        <w:rPr>
          <w:rFonts w:ascii="Times New Roman" w:eastAsia="Times New Roman" w:hAnsi="Times New Roman" w:cs="Times New Roman"/>
          <w:noProof/>
          <w:sz w:val="24"/>
        </w:rPr>
        <w:t>; IV) collecte, traitement et élimination des déchets</w:t>
      </w:r>
      <w:r>
        <w:rPr>
          <w:rStyle w:val="FootnoteReference"/>
          <w:rFonts w:ascii="Times New Roman" w:eastAsia="Calibri" w:hAnsi="Times New Roman" w:cs="Times New Roman"/>
          <w:noProof/>
          <w:sz w:val="24"/>
        </w:rPr>
        <w:footnoteReference w:id="14"/>
      </w:r>
      <w:r>
        <w:rPr>
          <w:rFonts w:ascii="Times New Roman" w:eastAsia="Times New Roman" w:hAnsi="Times New Roman" w:cs="Times New Roman"/>
          <w:noProof/>
          <w:sz w:val="24"/>
        </w:rPr>
        <w:t>, v) traitement du combustible nucléaire, production d’énergie nucléaire. En outre, la politique d’investissement exige le respect de la législation environnem</w:t>
      </w:r>
      <w:r>
        <w:rPr>
          <w:rFonts w:ascii="Times New Roman" w:eastAsia="Times New Roman" w:hAnsi="Times New Roman" w:cs="Times New Roman"/>
          <w:noProof/>
          <w:sz w:val="24"/>
        </w:rPr>
        <w:t>entale nationale et de l’Union applicable des bénéficiaires finaux.</w:t>
      </w:r>
    </w:p>
    <w:p w14:paraId="238B857A" w14:textId="77777777" w:rsidR="00FA40E8" w:rsidRDefault="00FA40E8">
      <w:pPr>
        <w:pStyle w:val="paragraph"/>
        <w:spacing w:before="0" w:beforeAutospacing="0" w:after="200" w:afterAutospacing="0" w:line="276" w:lineRule="auto"/>
        <w:jc w:val="both"/>
        <w:textAlignment w:val="baseline"/>
        <w:rPr>
          <w:rStyle w:val="normaltextrun"/>
          <w:noProof/>
          <w:highlight w:val="yellow"/>
        </w:rPr>
      </w:pPr>
    </w:p>
    <w:p w14:paraId="531598CD" w14:textId="7777777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 Réforme 4 «Améliorer le respect des obligations fiscales»</w:t>
      </w:r>
    </w:p>
    <w:p w14:paraId="7E93C669" w14:textId="77777777" w:rsidR="00FA40E8" w:rsidRDefault="00E74AE8">
      <w:pPr>
        <w:pStyle w:val="paragraph"/>
        <w:spacing w:before="0" w:beforeAutospacing="0" w:after="200" w:afterAutospacing="0" w:line="276" w:lineRule="auto"/>
        <w:jc w:val="both"/>
        <w:textAlignment w:val="baseline"/>
        <w:rPr>
          <w:rStyle w:val="normaltextrun"/>
          <w:noProof/>
        </w:rPr>
      </w:pPr>
      <w:r>
        <w:rPr>
          <w:rStyle w:val="normaltextrun"/>
          <w:noProof/>
        </w:rPr>
        <w:t>L’objectif de cette réforme est d’améliorer le respect des obligations fiscales dans les secteurs à haut risque et d’accro</w:t>
      </w:r>
      <w:r>
        <w:rPr>
          <w:rStyle w:val="normaltextrun"/>
          <w:noProof/>
        </w:rPr>
        <w:t>ître la transparence des transactions. Cette réforme se compose de cinq sous-mesures: (1) une plus grande transparence dans le commerce des véhicules d’occasion (sous-mesure 1); (2) imposition équitable des activités économiques en ligne (sous-mesure 2); (</w:t>
      </w:r>
      <w:r>
        <w:rPr>
          <w:rStyle w:val="normaltextrun"/>
          <w:noProof/>
        </w:rPr>
        <w:t>3) limiter l’utilisation des espèces (sous-mesure 3); (4) éducation financière des futurs contribuables (sous-mesure 4); (5) plus de transparence dans le secteur de la construction (sous-mesure 5).</w:t>
      </w:r>
    </w:p>
    <w:p w14:paraId="062FB777" w14:textId="7777777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F.1.4.1. Sous-mesure 1: Plus de transparence dans le comme</w:t>
      </w:r>
      <w:r>
        <w:rPr>
          <w:rStyle w:val="normaltextrun"/>
          <w:noProof/>
          <w:u w:val="single"/>
        </w:rPr>
        <w:t>rce des véhicules d’occasion</w:t>
      </w:r>
    </w:p>
    <w:p w14:paraId="6F9DF385" w14:textId="77777777" w:rsidR="00FA40E8" w:rsidRDefault="00E74AE8">
      <w:pPr>
        <w:pStyle w:val="paragraph"/>
        <w:spacing w:before="0" w:beforeAutospacing="0" w:after="200" w:afterAutospacing="0" w:line="276" w:lineRule="auto"/>
        <w:jc w:val="both"/>
        <w:textAlignment w:val="baseline"/>
        <w:rPr>
          <w:rStyle w:val="normaltextrun"/>
          <w:noProof/>
        </w:rPr>
      </w:pPr>
      <w:r>
        <w:rPr>
          <w:noProof/>
        </w:rPr>
        <w:t>L’objectif de cette sous-mesure est d’améliorer le contrôle des ventes de véhicules d’occasion en collectant des données sur leurs propriétaires et vendeurs réels. Avec l’entrée en vigueur des modifications apportées à la loi s</w:t>
      </w:r>
      <w:r>
        <w:rPr>
          <w:noProof/>
        </w:rPr>
        <w:t>ur la sécurité routière, un système de comptabilité des propriétaires de véhicules a été mis en place afin d’identifier les vendeurs et les propriétaires effectifs de véhicules et de garantir le respect de leurs obligations fiscales. L’accès aux données du</w:t>
      </w:r>
      <w:r>
        <w:rPr>
          <w:noProof/>
        </w:rPr>
        <w:t xml:space="preserve"> système comptable des propriétaires de véhicules a été garanti à l’inspection nationale des impôts.</w:t>
      </w:r>
    </w:p>
    <w:p w14:paraId="1994245D" w14:textId="77777777" w:rsidR="00FA40E8" w:rsidRDefault="00E74AE8">
      <w:pPr>
        <w:pStyle w:val="paragraph"/>
        <w:spacing w:before="0" w:beforeAutospacing="0" w:after="200" w:afterAutospacing="0" w:line="276" w:lineRule="auto"/>
        <w:jc w:val="both"/>
        <w:textAlignment w:val="baseline"/>
        <w:rPr>
          <w:noProof/>
        </w:rPr>
      </w:pPr>
      <w:r>
        <w:rPr>
          <w:noProof/>
        </w:rPr>
        <w:t>La sous-mesure est achevée au plus tard le 30 juin 2021.</w:t>
      </w:r>
    </w:p>
    <w:p w14:paraId="6343BEC0" w14:textId="7777777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F.1.4.2. Sous-mesure 2: Fiscalité équitable des activités économiques en ligne</w:t>
      </w:r>
    </w:p>
    <w:p w14:paraId="38F9CA14" w14:textId="77777777" w:rsidR="00FA40E8" w:rsidRDefault="00E74AE8">
      <w:pPr>
        <w:pStyle w:val="paragraph"/>
        <w:spacing w:before="0" w:beforeAutospacing="0" w:after="200" w:afterAutospacing="0" w:line="276" w:lineRule="auto"/>
        <w:jc w:val="both"/>
        <w:textAlignment w:val="baseline"/>
        <w:rPr>
          <w:noProof/>
        </w:rPr>
      </w:pPr>
      <w:r>
        <w:rPr>
          <w:noProof/>
        </w:rPr>
        <w:t>L’objectif de cette sous-mesure est de modifier la législation nationale afin d’obliger les activités des plateformes en ligne à collecter et à communiquer aux autorités fiscales les données relatives aux transactions effectuées sur les plateformes en lign</w:t>
      </w:r>
      <w:r>
        <w:rPr>
          <w:noProof/>
        </w:rPr>
        <w:t>e au plus tard le 31 janvier de l’année suivant l’année civile à laquelle les informations se rapportent. L’inspection nationale des impôts reçoit le premier ensemble de données au plus tard le 31 mars 2024.</w:t>
      </w:r>
    </w:p>
    <w:p w14:paraId="61CA448B" w14:textId="77777777" w:rsidR="00FA40E8" w:rsidRDefault="00E74AE8">
      <w:pPr>
        <w:pStyle w:val="paragraph"/>
        <w:spacing w:before="0" w:beforeAutospacing="0" w:after="200" w:afterAutospacing="0" w:line="276" w:lineRule="auto"/>
        <w:jc w:val="both"/>
        <w:textAlignment w:val="baseline"/>
        <w:rPr>
          <w:noProof/>
        </w:rPr>
      </w:pPr>
      <w:r>
        <w:rPr>
          <w:noProof/>
        </w:rPr>
        <w:t>La sous-mesure est achevée au plus tard le 31 ma</w:t>
      </w:r>
      <w:r>
        <w:rPr>
          <w:noProof/>
        </w:rPr>
        <w:t>rs 2024.</w:t>
      </w:r>
    </w:p>
    <w:p w14:paraId="27B47C30" w14:textId="7777777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F.1.4.3. Sous-mesure 3: Limiter l’utilisation de l’argent liquide</w:t>
      </w:r>
    </w:p>
    <w:p w14:paraId="520D024C" w14:textId="77777777" w:rsidR="00FA40E8" w:rsidRDefault="00E74AE8">
      <w:pPr>
        <w:pStyle w:val="paragraph"/>
        <w:spacing w:before="0" w:beforeAutospacing="0" w:after="200" w:afterAutospacing="0" w:line="276" w:lineRule="auto"/>
        <w:jc w:val="both"/>
        <w:textAlignment w:val="baseline"/>
        <w:rPr>
          <w:noProof/>
        </w:rPr>
      </w:pPr>
      <w:r>
        <w:rPr>
          <w:noProof/>
        </w:rPr>
        <w:t>L’objectif de cette sous-mesure est de modifier la législation nationale afin de limiter l’utilisation des espèces dans certains secteurs économiques et/ou pour certains types de tr</w:t>
      </w:r>
      <w:r>
        <w:rPr>
          <w:noProof/>
        </w:rPr>
        <w:t>ansactions, en vue de réduire la taille de l’économie souterraine. Des modifications de la législation sont proposées sur la base de l’analyse effectuée par le ministère des finances.</w:t>
      </w:r>
    </w:p>
    <w:p w14:paraId="581DF4AD" w14:textId="77777777" w:rsidR="00FA40E8" w:rsidRDefault="00E74AE8">
      <w:pPr>
        <w:pStyle w:val="paragraph"/>
        <w:spacing w:before="0" w:beforeAutospacing="0" w:after="200" w:afterAutospacing="0" w:line="276" w:lineRule="auto"/>
        <w:jc w:val="both"/>
        <w:textAlignment w:val="baseline"/>
        <w:rPr>
          <w:noProof/>
        </w:rPr>
      </w:pPr>
      <w:r>
        <w:rPr>
          <w:noProof/>
        </w:rPr>
        <w:t>La sous-mesure est achevée au plus tard le 31 décembre 2022.</w:t>
      </w:r>
    </w:p>
    <w:p w14:paraId="10406D3D" w14:textId="6E71E9FD"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F.1.4.4. So</w:t>
      </w:r>
      <w:r>
        <w:rPr>
          <w:rStyle w:val="normaltextrun"/>
          <w:noProof/>
          <w:u w:val="single"/>
        </w:rPr>
        <w:t>us-mesure 4: La culture fiscale des futurs contribuables</w:t>
      </w:r>
    </w:p>
    <w:p w14:paraId="0C9B8F71" w14:textId="421DB05A" w:rsidR="00FA40E8" w:rsidRDefault="00E74AE8">
      <w:pPr>
        <w:pStyle w:val="paragraph"/>
        <w:spacing w:before="0" w:beforeAutospacing="0" w:after="200" w:afterAutospacing="0" w:line="276" w:lineRule="auto"/>
        <w:jc w:val="both"/>
        <w:textAlignment w:val="baseline"/>
        <w:rPr>
          <w:noProof/>
        </w:rPr>
      </w:pPr>
      <w:r>
        <w:rPr>
          <w:noProof/>
        </w:rPr>
        <w:t>L’objectif de cette sous-mesure est d’accroître la culture fiscale des futurs contribuables. La sous-mesure consiste en une campagne de sensibilisation à la culture fiscale pour les enfants et les je</w:t>
      </w:r>
      <w:r>
        <w:rPr>
          <w:noProof/>
        </w:rPr>
        <w:t xml:space="preserve">unes, en l’installation d’infrastructures pour les paiements sans espèces dans les écoles et en l’émission de cartes d’élèves électroniques avec une fonction de paiement. </w:t>
      </w:r>
    </w:p>
    <w:p w14:paraId="19FB77EF" w14:textId="7777777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F.1.4.5. Sous-mesure 5: Plus de transparence dans le secteur de la construction</w:t>
      </w:r>
    </w:p>
    <w:p w14:paraId="62F8C2E8" w14:textId="484DC186" w:rsidR="00FA40E8" w:rsidRDefault="00E74AE8">
      <w:pPr>
        <w:pStyle w:val="paragraph"/>
        <w:spacing w:before="0" w:beforeAutospacing="0" w:after="200" w:afterAutospacing="0" w:line="276" w:lineRule="auto"/>
        <w:jc w:val="both"/>
        <w:textAlignment w:val="baseline"/>
        <w:rPr>
          <w:noProof/>
        </w:rPr>
      </w:pPr>
      <w:r>
        <w:rPr>
          <w:noProof/>
        </w:rPr>
        <w:t>L’ob</w:t>
      </w:r>
      <w:r>
        <w:rPr>
          <w:noProof/>
        </w:rPr>
        <w:t xml:space="preserve">jectif de la sous-mesure est d’accroître la transparence dans le secteur de la construction. La sous-mesure consiste à </w:t>
      </w:r>
      <w:r>
        <w:rPr>
          <w:rFonts w:eastAsiaTheme="minorEastAsia"/>
          <w:noProof/>
        </w:rPr>
        <w:t>fournir un outil numérique permettant l’enregistrement obligatoire des personnes travaillant dans le secteur de la construction</w:t>
      </w:r>
      <w:r>
        <w:rPr>
          <w:noProof/>
        </w:rPr>
        <w:t>, ainsi qu</w:t>
      </w:r>
      <w:r>
        <w:rPr>
          <w:noProof/>
        </w:rPr>
        <w:t>e pour les inspections planifiées et non routinières.</w:t>
      </w:r>
    </w:p>
    <w:p w14:paraId="1EFDF8B0" w14:textId="13DB2AC7" w:rsidR="00FA40E8" w:rsidRDefault="00E74AE8">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F.1.5. Réforme 5 «Outils mis à la disposition des entreprises pour gérer le risque d’insolvabilité des entreprises»</w:t>
      </w:r>
    </w:p>
    <w:p w14:paraId="672575E1" w14:textId="4AB5F35B" w:rsidR="00FA40E8" w:rsidRDefault="00E74AE8">
      <w:pPr>
        <w:pStyle w:val="paragraph"/>
        <w:spacing w:before="0" w:beforeAutospacing="0" w:after="200" w:afterAutospacing="0" w:line="276" w:lineRule="auto"/>
        <w:jc w:val="both"/>
        <w:textAlignment w:val="baseline"/>
        <w:rPr>
          <w:rStyle w:val="normaltextrun"/>
          <w:noProof/>
        </w:rPr>
      </w:pPr>
      <w:r>
        <w:rPr>
          <w:rStyle w:val="normaltextrun"/>
          <w:noProof/>
        </w:rPr>
        <w:t xml:space="preserve">L’objectif de la mesure est d’aider les entreprises à gérer le risque d’insolvabilité </w:t>
      </w:r>
      <w:r>
        <w:rPr>
          <w:rStyle w:val="normaltextrun"/>
          <w:noProof/>
        </w:rPr>
        <w:t xml:space="preserve">des entreprises. La mesure consiste en la fourniture de quatre outils numériques pour gérer le risque d’insolvabilité des entreprises. </w:t>
      </w:r>
    </w:p>
    <w:p w14:paraId="55E520B7" w14:textId="148C2706" w:rsidR="00FA40E8" w:rsidRDefault="00E74AE8">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F.1.6. Réforme 6 «Une administration fiscale intelligente pour réduire l’écart de TVA»</w:t>
      </w:r>
    </w:p>
    <w:p w14:paraId="00AA7584" w14:textId="1DF0CA12" w:rsidR="00FA40E8" w:rsidRDefault="00E74AE8">
      <w:pPr>
        <w:pStyle w:val="paragraph"/>
        <w:spacing w:before="0" w:beforeAutospacing="0" w:after="200" w:afterAutospacing="0" w:line="276" w:lineRule="auto"/>
        <w:jc w:val="both"/>
        <w:rPr>
          <w:noProof/>
          <w:color w:val="000000" w:themeColor="text1"/>
        </w:rPr>
      </w:pPr>
      <w:r>
        <w:rPr>
          <w:noProof/>
          <w:color w:val="000000" w:themeColor="text1"/>
        </w:rPr>
        <w:t xml:space="preserve">L’objectif de la réforme est de moderniser l’ </w:t>
      </w:r>
      <w:r>
        <w:rPr>
          <w:noProof/>
        </w:rPr>
        <w:t xml:space="preserve">administration fiscale et de réduire l’écart de TVA. </w:t>
      </w:r>
      <w:r>
        <w:rPr>
          <w:noProof/>
          <w:color w:val="000000" w:themeColor="text1"/>
        </w:rPr>
        <w:t xml:space="preserve">Cette réforme se compose de six sous-mesures: (1) fourniture de nouveaux outils d’analyse de données pour l’inspection nationale des impôts (sous-mesure 1); </w:t>
      </w:r>
      <w:r>
        <w:rPr>
          <w:noProof/>
          <w:color w:val="000000" w:themeColor="text1"/>
        </w:rPr>
        <w:t>(2) contrôle de la qualité des données de l’inspection nationale des impôts et des autres institutions (sous-mesure 2); (3) robotisation des processus d’entreprise à l’inspection nationale des impôts (sous-mesure 3); (4) numérisation des timbres fiscaux (s</w:t>
      </w:r>
      <w:r>
        <w:rPr>
          <w:noProof/>
          <w:color w:val="000000" w:themeColor="text1"/>
        </w:rPr>
        <w:t>ous-mesure 4); (5) nouveaux outils d’analyse des données et mise à niveau des systèmes informatiques des douanes lituaniennes (sous-mesure 5); (6) formation du personnel de l’inspection nationale des impôts et des douanes lituaniennes (sous-mesure 6).</w:t>
      </w:r>
    </w:p>
    <w:p w14:paraId="0B109F46" w14:textId="15453321" w:rsidR="00FA40E8" w:rsidRDefault="00E74AE8">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w:t>
      </w:r>
      <w:r>
        <w:rPr>
          <w:rStyle w:val="normaltextrun"/>
          <w:rFonts w:ascii="Times New Roman" w:eastAsia="Times New Roman" w:hAnsi="Times New Roman" w:cs="Times New Roman"/>
          <w:noProof/>
          <w:color w:val="000000" w:themeColor="text1"/>
          <w:sz w:val="24"/>
          <w:u w:val="single"/>
        </w:rPr>
        <w:t>6.1. Sous-mesure 1: Mise à disposition de nouveaux outils d’analyse de données pour l’inspection nationale des impôts</w:t>
      </w:r>
    </w:p>
    <w:p w14:paraId="06EAF03C" w14:textId="31E32FC5" w:rsidR="00FA40E8" w:rsidRDefault="00E74AE8">
      <w:pPr>
        <w:pStyle w:val="paragraph"/>
        <w:spacing w:before="0" w:beforeAutospacing="0" w:after="200" w:afterAutospacing="0" w:line="276" w:lineRule="auto"/>
        <w:jc w:val="both"/>
        <w:rPr>
          <w:noProof/>
        </w:rPr>
      </w:pPr>
      <w:r>
        <w:rPr>
          <w:rStyle w:val="normaltextrun"/>
          <w:noProof/>
        </w:rPr>
        <w:t>L’objectif de cette sous-mesure est de fournir de nouveaux outils pour l’analyse des données de l’inspection nationale des impôts. La sous</w:t>
      </w:r>
      <w:r>
        <w:rPr>
          <w:rStyle w:val="normaltextrun"/>
          <w:noProof/>
        </w:rPr>
        <w:t>-mesure consiste à fournir des modèles analytiques et à ajouter six nouvelles fonctionnalités aux systèmes d’information existants de l’inspection nationale des impôts.</w:t>
      </w:r>
    </w:p>
    <w:p w14:paraId="762A5C79" w14:textId="1F707593" w:rsidR="00FA40E8" w:rsidRDefault="00E74AE8">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F.1.6.2. Sous-mesure 2: Contrôle de la qualité des données de l’inspection nationale de</w:t>
      </w:r>
      <w:r>
        <w:rPr>
          <w:rStyle w:val="normaltextrun"/>
          <w:rFonts w:ascii="Times New Roman" w:eastAsia="Times New Roman" w:hAnsi="Times New Roman" w:cs="Times New Roman"/>
          <w:noProof/>
          <w:color w:val="000000" w:themeColor="text1"/>
          <w:sz w:val="24"/>
          <w:u w:val="single"/>
        </w:rPr>
        <w:t>s impôts et d’autres institutions</w:t>
      </w:r>
    </w:p>
    <w:p w14:paraId="4B30471A" w14:textId="781E5EEC" w:rsidR="00FA40E8" w:rsidRDefault="00E74AE8">
      <w:pPr>
        <w:pStyle w:val="paragraph"/>
        <w:spacing w:before="0" w:beforeAutospacing="0" w:after="200" w:afterAutospacing="0" w:line="276" w:lineRule="auto"/>
        <w:jc w:val="both"/>
        <w:rPr>
          <w:noProof/>
          <w:szCs w:val="24"/>
        </w:rPr>
      </w:pPr>
      <w:r>
        <w:rPr>
          <w:noProof/>
        </w:rPr>
        <w:t xml:space="preserve">L’objectif de cette sous-mesure est de contrôler la qualité des données de l’inspection nationale des impôts et d’autres institutions. La sous-mesure consiste en l’approbation d’une méthodologie et de recommandations pour </w:t>
      </w:r>
      <w:r>
        <w:rPr>
          <w:noProof/>
        </w:rPr>
        <w:t xml:space="preserve">l’élaboration et l’intégration logique de la base de métadonnées de l’inspection nationale des impôts. </w:t>
      </w:r>
    </w:p>
    <w:p w14:paraId="7ECB00C6" w14:textId="50D36443" w:rsidR="00FA40E8" w:rsidRDefault="00E74AE8">
      <w:pPr>
        <w:keepNext/>
        <w:keepLines/>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u w:val="single"/>
        </w:rPr>
        <w:t>F.1.6.3. Sous-mesure 3: Robotisation des processus d’entreprise à l’inspection nationale des impôts</w:t>
      </w:r>
    </w:p>
    <w:p w14:paraId="04F4A84F" w14:textId="70D22BBC" w:rsidR="00FA40E8" w:rsidRDefault="00E74AE8">
      <w:pPr>
        <w:jc w:val="both"/>
        <w:rPr>
          <w:rFonts w:ascii="Times New Roman" w:eastAsia="Times New Roman" w:hAnsi="Times New Roman" w:cs="Times New Roman"/>
          <w:noProof/>
          <w:sz w:val="24"/>
          <w:szCs w:val="24"/>
        </w:rPr>
      </w:pPr>
      <w:r>
        <w:rPr>
          <w:rStyle w:val="normaltextrun"/>
          <w:rFonts w:ascii="Times New Roman" w:eastAsia="Times New Roman" w:hAnsi="Times New Roman" w:cs="Times New Roman"/>
          <w:noProof/>
          <w:color w:val="000000" w:themeColor="text1"/>
          <w:sz w:val="24"/>
        </w:rPr>
        <w:t>L’objectif de cette sous-mesure est d’acquérir des l</w:t>
      </w:r>
      <w:r>
        <w:rPr>
          <w:rStyle w:val="normaltextrun"/>
          <w:rFonts w:ascii="Times New Roman" w:eastAsia="Times New Roman" w:hAnsi="Times New Roman" w:cs="Times New Roman"/>
          <w:noProof/>
          <w:color w:val="000000" w:themeColor="text1"/>
          <w:sz w:val="24"/>
        </w:rPr>
        <w:t xml:space="preserve">icences pour le logiciel d’automatisation des processus robotisés et </w:t>
      </w:r>
      <w:r>
        <w:rPr>
          <w:rStyle w:val="normaltextrun"/>
          <w:rFonts w:ascii="Times New Roman" w:eastAsia="Times New Roman" w:hAnsi="Times New Roman" w:cs="Times New Roman"/>
          <w:noProof/>
          <w:sz w:val="24"/>
        </w:rPr>
        <w:t>de les utiliser pour automatiser deux processus opérationnels de l’inspection nationale des impôts:</w:t>
      </w:r>
    </w:p>
    <w:p w14:paraId="18AD8098" w14:textId="3046CEEF" w:rsidR="00FA40E8" w:rsidRDefault="00E74AE8">
      <w:pPr>
        <w:pStyle w:val="P68B1DB1-ListParagraph30"/>
        <w:numPr>
          <w:ilvl w:val="0"/>
          <w:numId w:val="121"/>
        </w:numPr>
        <w:spacing w:after="200" w:line="276" w:lineRule="auto"/>
        <w:rPr>
          <w:noProof/>
          <w:szCs w:val="24"/>
        </w:rPr>
      </w:pPr>
      <w:r>
        <w:rPr>
          <w:noProof/>
        </w:rPr>
        <w:t>l’adoption de décisions et de protocoles en cas de violation du droit administratif;</w:t>
      </w:r>
    </w:p>
    <w:p w14:paraId="03EAA8DC" w14:textId="26E8CA8A" w:rsidR="00FA40E8" w:rsidRDefault="00E74AE8">
      <w:pPr>
        <w:pStyle w:val="paragraph"/>
        <w:numPr>
          <w:ilvl w:val="0"/>
          <w:numId w:val="121"/>
        </w:numPr>
        <w:spacing w:before="0" w:beforeAutospacing="0" w:after="200" w:afterAutospacing="0" w:line="276" w:lineRule="auto"/>
        <w:jc w:val="both"/>
        <w:rPr>
          <w:noProof/>
          <w:szCs w:val="24"/>
        </w:rPr>
      </w:pPr>
      <w:r>
        <w:rPr>
          <w:noProof/>
        </w:rPr>
        <w:t>révision des arriérés d’impôts et des amendes.</w:t>
      </w:r>
    </w:p>
    <w:p w14:paraId="2771FA6B" w14:textId="2AF496A3" w:rsidR="00FA40E8" w:rsidRDefault="00E74AE8">
      <w:pPr>
        <w:jc w:val="both"/>
        <w:rPr>
          <w:rFonts w:ascii="Times New Roman" w:eastAsia="Times New Roman" w:hAnsi="Times New Roman" w:cs="Times New Roman"/>
          <w:noProof/>
          <w:sz w:val="24"/>
          <w:szCs w:val="24"/>
        </w:rPr>
      </w:pPr>
      <w:r>
        <w:rPr>
          <w:rStyle w:val="normaltextrun"/>
          <w:rFonts w:ascii="Times New Roman" w:eastAsia="Times New Roman" w:hAnsi="Times New Roman" w:cs="Times New Roman"/>
          <w:noProof/>
          <w:sz w:val="24"/>
        </w:rPr>
        <w:t>Cette sous-mesure est achevée au plus tard le</w:t>
      </w:r>
      <w:r>
        <w:rPr>
          <w:rStyle w:val="normaltextrun"/>
          <w:rFonts w:ascii="Times New Roman" w:eastAsia="Times New Roman" w:hAnsi="Times New Roman" w:cs="Times New Roman"/>
          <w:noProof/>
          <w:sz w:val="24"/>
          <w:u w:val="single"/>
        </w:rPr>
        <w:t xml:space="preserve"> 31</w:t>
      </w:r>
      <w:r>
        <w:rPr>
          <w:rStyle w:val="normaltextrun"/>
          <w:rFonts w:ascii="Times New Roman" w:eastAsia="Times New Roman" w:hAnsi="Times New Roman" w:cs="Times New Roman"/>
          <w:noProof/>
          <w:sz w:val="24"/>
        </w:rPr>
        <w:t xml:space="preserve"> mai 2022.</w:t>
      </w:r>
    </w:p>
    <w:p w14:paraId="64A2B870" w14:textId="66B384D0" w:rsidR="00FA40E8" w:rsidRDefault="00E74AE8">
      <w:pPr>
        <w:keepNext/>
        <w:keepLines/>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sz w:val="24"/>
          <w:u w:val="single"/>
        </w:rPr>
        <w:t xml:space="preserve">F.1.6.4. Sous-mesure </w:t>
      </w:r>
      <w:r>
        <w:rPr>
          <w:rStyle w:val="normaltextrun"/>
          <w:rFonts w:ascii="Times New Roman" w:eastAsia="Times New Roman" w:hAnsi="Times New Roman" w:cs="Times New Roman"/>
          <w:noProof/>
          <w:color w:val="000000" w:themeColor="text1"/>
          <w:sz w:val="24"/>
          <w:u w:val="single"/>
        </w:rPr>
        <w:t>4: Numérisation des timbres fiscaux</w:t>
      </w:r>
    </w:p>
    <w:p w14:paraId="5B5BE058" w14:textId="2FCD98A5" w:rsidR="00FA40E8" w:rsidRDefault="00E74AE8">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 xml:space="preserve">L’objectif de cette sous-mesure est d’étudier les possibilités de remplacer les timbres </w:t>
      </w:r>
      <w:r>
        <w:rPr>
          <w:rStyle w:val="normaltextrun"/>
          <w:rFonts w:ascii="Times New Roman" w:eastAsia="Times New Roman" w:hAnsi="Times New Roman" w:cs="Times New Roman"/>
          <w:noProof/>
          <w:color w:val="000000" w:themeColor="text1"/>
          <w:sz w:val="24"/>
        </w:rPr>
        <w:t>fiscaux sur papier actuellement utilisés pour protéger le marché contre les boissons alcoolisées illégales par des solutions numériques pour l’étiquetage de ces produits en menant un projet pilote. Sur la base des résultats du projet pilote, l’inspection n</w:t>
      </w:r>
      <w:r>
        <w:rPr>
          <w:rStyle w:val="normaltextrun"/>
          <w:rFonts w:ascii="Times New Roman" w:eastAsia="Times New Roman" w:hAnsi="Times New Roman" w:cs="Times New Roman"/>
          <w:noProof/>
          <w:color w:val="000000" w:themeColor="text1"/>
          <w:sz w:val="24"/>
        </w:rPr>
        <w:t>ationale des impôts décide s’il y a lieu de mettre au point un module spécifique permettant l’étiquetage électronique des boissons alcoolisées.</w:t>
      </w:r>
    </w:p>
    <w:p w14:paraId="3EE33446" w14:textId="3A712466" w:rsidR="00FA40E8" w:rsidRDefault="00E74AE8">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Cette sous-mesure est achevée au plus tard le</w:t>
      </w:r>
      <w:r>
        <w:rPr>
          <w:rStyle w:val="normaltextrun"/>
          <w:rFonts w:ascii="Times New Roman" w:eastAsia="Times New Roman" w:hAnsi="Times New Roman" w:cs="Times New Roman"/>
          <w:noProof/>
          <w:color w:val="8E562E"/>
          <w:sz w:val="24"/>
          <w:u w:val="single"/>
        </w:rPr>
        <w:t xml:space="preserve"> 31</w:t>
      </w:r>
      <w:r>
        <w:rPr>
          <w:rStyle w:val="normaltextrun"/>
          <w:rFonts w:ascii="Times New Roman" w:eastAsia="Times New Roman" w:hAnsi="Times New Roman" w:cs="Times New Roman"/>
          <w:noProof/>
          <w:color w:val="000000" w:themeColor="text1"/>
          <w:sz w:val="24"/>
        </w:rPr>
        <w:t xml:space="preserve"> mai 2024.</w:t>
      </w:r>
    </w:p>
    <w:p w14:paraId="168B3598" w14:textId="7BBFD35F" w:rsidR="00FA40E8" w:rsidRDefault="00E74AE8">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F.1.6.5. Sous-mesure 5: Nouveaux outils d’analyse des</w:t>
      </w:r>
      <w:r>
        <w:rPr>
          <w:rStyle w:val="normaltextrun"/>
          <w:rFonts w:ascii="Times New Roman" w:eastAsia="Times New Roman" w:hAnsi="Times New Roman" w:cs="Times New Roman"/>
          <w:noProof/>
          <w:color w:val="000000" w:themeColor="text1"/>
          <w:sz w:val="24"/>
          <w:u w:val="single"/>
        </w:rPr>
        <w:t xml:space="preserve"> données et mise à niveau des systèmes informatiques des douanes lituaniennes</w:t>
      </w:r>
    </w:p>
    <w:p w14:paraId="387E42F9" w14:textId="390C89F5" w:rsidR="00FA40E8" w:rsidRDefault="00E74AE8">
      <w:pPr>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rPr>
        <w:t>L’objectif de cette sous-mesure est</w:t>
      </w:r>
      <w:r>
        <w:rPr>
          <w:rStyle w:val="normaltextrun"/>
          <w:rFonts w:ascii="Times New Roman" w:eastAsia="Times New Roman" w:hAnsi="Times New Roman" w:cs="Times New Roman"/>
          <w:noProof/>
          <w:sz w:val="24"/>
        </w:rPr>
        <w:t xml:space="preserve"> de fournir de nouveaux outils d’analyse des données par les douanes lituaniennes. Cette sous-mesure consiste en la fourniture d’outils d’analy</w:t>
      </w:r>
      <w:r>
        <w:rPr>
          <w:rStyle w:val="normaltextrun"/>
          <w:rFonts w:ascii="Times New Roman" w:eastAsia="Times New Roman" w:hAnsi="Times New Roman" w:cs="Times New Roman"/>
          <w:noProof/>
          <w:sz w:val="24"/>
        </w:rPr>
        <w:t>se de données et d’interfaces entre les applications informatiques.</w:t>
      </w:r>
      <w:r>
        <w:rPr>
          <w:rFonts w:ascii="Times New Roman" w:eastAsia="Times New Roman" w:hAnsi="Times New Roman" w:cs="Times New Roman"/>
          <w:noProof/>
          <w:sz w:val="24"/>
          <w:u w:val="single"/>
        </w:rPr>
        <w:t xml:space="preserve"> </w:t>
      </w:r>
    </w:p>
    <w:p w14:paraId="338728B2" w14:textId="3984DA99" w:rsidR="00FA40E8" w:rsidRDefault="00E74AE8">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F.1.6.6. Sous-mesure 6: Formation du personnel de l’inspection nationale des impôts et des douanes lituaniennes</w:t>
      </w:r>
    </w:p>
    <w:p w14:paraId="6DFF7345" w14:textId="1AB5AAA9" w:rsidR="00FA40E8" w:rsidRDefault="00E74AE8">
      <w:pPr>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rPr>
        <w:t xml:space="preserve">L’ </w:t>
      </w:r>
      <w:r>
        <w:rPr>
          <w:rStyle w:val="normaltextrun"/>
          <w:rFonts w:ascii="Times New Roman" w:eastAsia="Times New Roman" w:hAnsi="Times New Roman" w:cs="Times New Roman"/>
          <w:noProof/>
          <w:sz w:val="24"/>
        </w:rPr>
        <w:t>objectif de cette sous-mesure est de former le personnel de l’inspection</w:t>
      </w:r>
      <w:r>
        <w:rPr>
          <w:rStyle w:val="normaltextrun"/>
          <w:rFonts w:ascii="Times New Roman" w:eastAsia="Times New Roman" w:hAnsi="Times New Roman" w:cs="Times New Roman"/>
          <w:noProof/>
          <w:sz w:val="24"/>
        </w:rPr>
        <w:t xml:space="preserve"> nationale des impôts et des douanes lituaniennes. La sous-mesure consiste en la fourniture d’outils de formation numériques et de formations à l’intention de l’inspection nationale des impôts et des douanes lituaniennes.</w:t>
      </w:r>
    </w:p>
    <w:p w14:paraId="0DFF2BDE" w14:textId="5FC1D357" w:rsidR="00FA40E8" w:rsidRDefault="00E74AE8">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 xml:space="preserve">F.1.7. Réforme 7 «Mise à </w:t>
      </w:r>
      <w:r>
        <w:rPr>
          <w:rStyle w:val="normaltextrun"/>
          <w:rFonts w:ascii="Times New Roman" w:eastAsia="Times New Roman" w:hAnsi="Times New Roman" w:cs="Times New Roman"/>
          <w:noProof/>
          <w:color w:val="000000" w:themeColor="text1"/>
          <w:sz w:val="24"/>
          <w:u w:val="single"/>
        </w:rPr>
        <w:t>disposition d’un écosystème de documents électroniques»</w:t>
      </w:r>
    </w:p>
    <w:p w14:paraId="10A2C1A6" w14:textId="22A72652" w:rsidR="00FA40E8" w:rsidRDefault="00E74AE8">
      <w:pPr>
        <w:pStyle w:val="paragraph"/>
        <w:spacing w:before="0" w:beforeAutospacing="0" w:after="200" w:afterAutospacing="0" w:line="276" w:lineRule="auto"/>
        <w:jc w:val="both"/>
        <w:rPr>
          <w:noProof/>
          <w:szCs w:val="24"/>
        </w:rPr>
      </w:pPr>
      <w:r>
        <w:rPr>
          <w:noProof/>
        </w:rPr>
        <w:t xml:space="preserve">L’objectif de la réforme est de permettre aux entreprises d’échanger des informations et des données électroniques avec les autorités publiques de manière automatisée. La réforme consiste en l’entrée </w:t>
      </w:r>
      <w:r>
        <w:rPr>
          <w:noProof/>
        </w:rPr>
        <w:t xml:space="preserve">en vigueur de la législation sur le traitement des documents de règlement électronique et de leurs données fiscales. Cette réforme comporte également deux sous-mesures: (1) création d’une solution pour permettre les recettes électroniques (sous-mesure 1); </w:t>
      </w:r>
      <w:r>
        <w:rPr>
          <w:noProof/>
        </w:rPr>
        <w:t>(2) livraison d’un prototype de porte eFTI.</w:t>
      </w:r>
    </w:p>
    <w:p w14:paraId="5BAFBD21" w14:textId="7F38D370" w:rsidR="00FA40E8" w:rsidRDefault="00E74AE8">
      <w:pPr>
        <w:keepNext/>
        <w:keepLines/>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u w:val="single"/>
        </w:rPr>
        <w:t>F.1.7.1. Sous-mesure 1: Création d’une solution pour permettre les reçus électroniques</w:t>
      </w:r>
    </w:p>
    <w:p w14:paraId="214554E7" w14:textId="77D158D4" w:rsidR="00FA40E8" w:rsidRDefault="00E74AE8">
      <w:pPr>
        <w:pStyle w:val="P68B1DB1-paragraph31"/>
        <w:spacing w:before="0" w:beforeAutospacing="0" w:after="200" w:afterAutospacing="0" w:line="276" w:lineRule="auto"/>
        <w:jc w:val="both"/>
        <w:rPr>
          <w:noProof/>
          <w:color w:val="0B6A0B"/>
          <w:szCs w:val="24"/>
        </w:rPr>
      </w:pPr>
      <w:r>
        <w:rPr>
          <w:noProof/>
        </w:rPr>
        <w:t>L’objectif de cette sous-mesure est de créer un prototype de réception électronique et de le déployer dans les systèmes infor</w:t>
      </w:r>
      <w:r>
        <w:rPr>
          <w:noProof/>
        </w:rPr>
        <w:t>matiques de l’inspection nationale des impôts. L’inspection nationale des impôts les met également à la disposition des entreprises.</w:t>
      </w:r>
    </w:p>
    <w:p w14:paraId="097888D7" w14:textId="05102725" w:rsidR="00FA40E8" w:rsidRDefault="00E74AE8">
      <w:pPr>
        <w:keepNext/>
        <w:keepLines/>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u w:val="single"/>
        </w:rPr>
        <w:t xml:space="preserve">F.1.7.2. Sous-mesure 2: </w:t>
      </w:r>
      <w:r>
        <w:rPr>
          <w:rStyle w:val="normaltextrun"/>
          <w:rFonts w:ascii="Times New Roman" w:eastAsia="Times New Roman" w:hAnsi="Times New Roman" w:cs="Times New Roman"/>
          <w:noProof/>
          <w:sz w:val="24"/>
          <w:u w:val="single"/>
        </w:rPr>
        <w:t>Livraison d’un prototype de portail eFTI</w:t>
      </w:r>
    </w:p>
    <w:p w14:paraId="35E4AAFF" w14:textId="59F9E361" w:rsidR="00FA40E8" w:rsidRDefault="00E74AE8">
      <w:pPr>
        <w:pStyle w:val="paragraph"/>
        <w:spacing w:before="0" w:beforeAutospacing="0" w:after="200" w:afterAutospacing="0" w:line="276" w:lineRule="auto"/>
        <w:jc w:val="both"/>
        <w:rPr>
          <w:noProof/>
          <w:szCs w:val="24"/>
        </w:rPr>
      </w:pPr>
      <w:r>
        <w:rPr>
          <w:noProof/>
        </w:rPr>
        <w:t>L’objectif de cette sous-mesure est de fournir aux autorit</w:t>
      </w:r>
      <w:r>
        <w:rPr>
          <w:noProof/>
        </w:rPr>
        <w:t>és de contrôle un accès</w:t>
      </w:r>
      <w:r>
        <w:rPr>
          <w:i/>
          <w:noProof/>
        </w:rPr>
        <w:t xml:space="preserve"> </w:t>
      </w:r>
      <w:r>
        <w:rPr>
          <w:noProof/>
        </w:rPr>
        <w:t>aux informations relatives au transport de marchandises gérées par les entreprises sous la forme de données eFTI. La sous-mesure consiste en la fourniture d’un prototype pour les adaptations du système d’administration fiscale.</w:t>
      </w:r>
    </w:p>
    <w:p w14:paraId="352EA37B" w14:textId="29D5995B" w:rsidR="00FA40E8" w:rsidRDefault="00E74AE8">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w:t>
      </w:r>
      <w:r>
        <w:rPr>
          <w:rStyle w:val="normaltextrun"/>
          <w:rFonts w:ascii="Times New Roman" w:eastAsia="Times New Roman" w:hAnsi="Times New Roman" w:cs="Times New Roman"/>
          <w:noProof/>
          <w:color w:val="000000" w:themeColor="text1"/>
          <w:sz w:val="24"/>
          <w:u w:val="single"/>
        </w:rPr>
        <w:t>8. Réforme 8 «Un guichet unique pour le paiement des amendes»</w:t>
      </w:r>
    </w:p>
    <w:p w14:paraId="5DE7B5A4" w14:textId="46764682" w:rsidR="00FA40E8" w:rsidRDefault="00E74AE8">
      <w:pPr>
        <w:jc w:val="both"/>
        <w:rPr>
          <w:rFonts w:ascii="Times New Roman" w:eastAsia="Times New Roman" w:hAnsi="Times New Roman" w:cs="Times New Roman"/>
          <w:noProof/>
          <w:sz w:val="24"/>
          <w:szCs w:val="24"/>
        </w:rPr>
      </w:pPr>
      <w:r>
        <w:rPr>
          <w:rStyle w:val="normaltextrun"/>
          <w:rFonts w:ascii="Times New Roman" w:eastAsia="Times New Roman" w:hAnsi="Times New Roman" w:cs="Times New Roman"/>
          <w:noProof/>
          <w:sz w:val="24"/>
        </w:rPr>
        <w:t>L’objectif est de réformer la gestion des amendes. La mesure consiste à adopter une législation permettant à l’inspection nationale des impôts d’administrer la majorité des amendes et des sancti</w:t>
      </w:r>
      <w:r>
        <w:rPr>
          <w:rStyle w:val="normaltextrun"/>
          <w:rFonts w:ascii="Times New Roman" w:eastAsia="Times New Roman" w:hAnsi="Times New Roman" w:cs="Times New Roman"/>
          <w:noProof/>
          <w:sz w:val="24"/>
        </w:rPr>
        <w:t xml:space="preserve">ons économiques émises par l’État et à fournir des interfaces informatiques. </w:t>
      </w:r>
    </w:p>
    <w:p w14:paraId="647D6D5F" w14:textId="02690F5B" w:rsidR="00FA40E8" w:rsidRDefault="00E74AE8">
      <w:pPr>
        <w:keepNext/>
        <w:keepLines/>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u w:val="single"/>
        </w:rPr>
        <w:t>F.1.9. Réforme 9 «Système de répertoire pour l’audit et les contrôles»</w:t>
      </w:r>
    </w:p>
    <w:p w14:paraId="7FDCD3CD" w14:textId="402C77A6" w:rsidR="00FA40E8" w:rsidRDefault="00E74AE8">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L’objectif de l’investissement dans un système de répertoires pour les audits et les contrôles est de veill</w:t>
      </w:r>
      <w:r>
        <w:rPr>
          <w:rStyle w:val="normaltextrun"/>
          <w:rFonts w:ascii="Times New Roman" w:eastAsia="Times New Roman" w:hAnsi="Times New Roman" w:cs="Times New Roman"/>
          <w:noProof/>
          <w:color w:val="000000" w:themeColor="text1"/>
          <w:sz w:val="24"/>
        </w:rPr>
        <w:t xml:space="preserve">er à ce que les exigences du PRR en matière de collecte et de suivi des données soient remplies au moment de la première demande de paiement. Cela concerne en particulier la collecte de données et le suivi de la réalisation des jalons et cibles, ainsi que </w:t>
      </w:r>
      <w:r>
        <w:rPr>
          <w:rStyle w:val="normaltextrun"/>
          <w:rFonts w:ascii="Times New Roman" w:eastAsia="Times New Roman" w:hAnsi="Times New Roman" w:cs="Times New Roman"/>
          <w:noProof/>
          <w:color w:val="000000" w:themeColor="text1"/>
          <w:sz w:val="24"/>
        </w:rPr>
        <w:t>la collecte, le stockage et la garantie de l’accès aux données conformément à l’article 22, paragraphe 2, point d) i) à iii), du règlement FRR. Les fonctionnalités respectives du système de répertoire sont confirmées par un rapport d’audit. Le champ d’appl</w:t>
      </w:r>
      <w:r>
        <w:rPr>
          <w:rStyle w:val="normaltextrun"/>
          <w:rFonts w:ascii="Times New Roman" w:eastAsia="Times New Roman" w:hAnsi="Times New Roman" w:cs="Times New Roman"/>
          <w:noProof/>
          <w:color w:val="000000" w:themeColor="text1"/>
          <w:sz w:val="24"/>
        </w:rPr>
        <w:t>ication du rapport d’audit couvre les dispositions temporaires et, dans la mesure où elles sont déjà en place, le nouveau système d’information unique pour la gestion des fonds de l’UE et le PRR pour la période de financement 2021-2027 (IS2021).</w:t>
      </w:r>
    </w:p>
    <w:p w14:paraId="1AAF0A67" w14:textId="614B960D" w:rsidR="00FA40E8" w:rsidRDefault="00E74AE8">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La réforme</w:t>
      </w:r>
      <w:r>
        <w:rPr>
          <w:rStyle w:val="normaltextrun"/>
          <w:rFonts w:ascii="Times New Roman" w:eastAsia="Times New Roman" w:hAnsi="Times New Roman" w:cs="Times New Roman"/>
          <w:noProof/>
          <w:color w:val="000000" w:themeColor="text1"/>
          <w:sz w:val="24"/>
        </w:rPr>
        <w:t xml:space="preserve"> est achevée au plus tard le 30 juin 2022.</w:t>
      </w:r>
    </w:p>
    <w:p w14:paraId="55262555" w14:textId="15158768" w:rsidR="00FA40E8" w:rsidRDefault="00FA40E8">
      <w:pPr>
        <w:pStyle w:val="paragraph"/>
        <w:rPr>
          <w:rFonts w:ascii="Calibri" w:eastAsia="Calibri" w:hAnsi="Calibri" w:cs="Calibri"/>
          <w:noProof/>
          <w:color w:val="000000" w:themeColor="text1"/>
          <w:sz w:val="22"/>
          <w:szCs w:val="22"/>
        </w:rPr>
        <w:sectPr w:rsidR="00FA40E8" w:rsidSect="0074650A">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45719F4A" w14:textId="1D811C50" w:rsidR="00FA40E8" w:rsidRDefault="00E74AE8">
      <w:pPr>
        <w:pStyle w:val="P68B1DB1-Text15"/>
        <w:keepNext/>
        <w:keepLines/>
        <w:spacing w:before="0" w:after="200" w:line="276" w:lineRule="auto"/>
        <w:ind w:left="0"/>
        <w:outlineLvl w:val="1"/>
        <w:rPr>
          <w:noProof/>
        </w:rPr>
      </w:pPr>
      <w:r>
        <w:rPr>
          <w:noProof/>
        </w:rPr>
        <w:t>F.2. Jalons, cibles, indicateurs et calendrier de suivi et de mise en œuvre du soutien financier non remboursable</w:t>
      </w:r>
    </w:p>
    <w:tbl>
      <w:tblPr>
        <w:tblW w:w="1545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68"/>
        <w:gridCol w:w="1842"/>
        <w:gridCol w:w="1051"/>
        <w:gridCol w:w="1740"/>
        <w:gridCol w:w="1486"/>
        <w:gridCol w:w="1110"/>
        <w:gridCol w:w="992"/>
        <w:gridCol w:w="850"/>
        <w:gridCol w:w="851"/>
        <w:gridCol w:w="850"/>
        <w:gridCol w:w="4112"/>
      </w:tblGrid>
      <w:tr w:rsidR="00FA40E8" w14:paraId="6FB14491" w14:textId="77777777">
        <w:trPr>
          <w:trHeight w:val="300"/>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F8C33C" w14:textId="501FF9AD" w:rsidR="00FA40E8" w:rsidRDefault="00E74AE8">
            <w:pPr>
              <w:pStyle w:val="P68B1DB1-Normal9"/>
              <w:spacing w:before="60" w:after="60"/>
              <w:jc w:val="center"/>
              <w:rPr>
                <w:rFonts w:cs="Times New Roman"/>
                <w:noProof/>
              </w:rPr>
            </w:pPr>
            <w:r>
              <w:rPr>
                <w:noProof/>
              </w:rPr>
              <w:t>Non.</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C66971D" w14:textId="77777777" w:rsidR="00FA40E8" w:rsidRDefault="00E74AE8">
            <w:pPr>
              <w:pStyle w:val="P68B1DB1-Normal9"/>
              <w:spacing w:before="60" w:after="60"/>
              <w:jc w:val="center"/>
              <w:rPr>
                <w:rFonts w:cs="Times New Roman"/>
                <w:noProof/>
              </w:rPr>
            </w:pPr>
            <w:r>
              <w:rPr>
                <w:noProof/>
              </w:rPr>
              <w:t xml:space="preserve">Mesure connexe (réforme ou </w:t>
            </w:r>
            <w:r>
              <w:rPr>
                <w:noProof/>
              </w:rPr>
              <w:t>investissement)</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A12030" w14:textId="5B39930A" w:rsidR="00FA40E8" w:rsidRDefault="00E74AE8">
            <w:pPr>
              <w:pStyle w:val="P68B1DB1-Normal9"/>
              <w:spacing w:before="60" w:after="60"/>
              <w:jc w:val="center"/>
              <w:rPr>
                <w:rFonts w:cs="Times New Roman"/>
                <w:noProof/>
              </w:rPr>
            </w:pPr>
            <w:r>
              <w:rPr>
                <w:noProof/>
              </w:rPr>
              <w:t>Étape/cible</w:t>
            </w:r>
          </w:p>
        </w:tc>
        <w:tc>
          <w:tcPr>
            <w:tcW w:w="174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55C9D1D" w14:textId="77777777" w:rsidR="00FA40E8" w:rsidRDefault="00E74AE8">
            <w:pPr>
              <w:pStyle w:val="P68B1DB1-Normal9"/>
              <w:spacing w:before="60" w:after="60"/>
              <w:jc w:val="center"/>
              <w:rPr>
                <w:rFonts w:cs="Times New Roman"/>
                <w:noProof/>
              </w:rPr>
            </w:pPr>
            <w:r>
              <w:rPr>
                <w:noProof/>
              </w:rPr>
              <w:t>Titre</w:t>
            </w:r>
          </w:p>
        </w:tc>
        <w:tc>
          <w:tcPr>
            <w:tcW w:w="148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044CE8" w14:textId="452C98F5"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étapes)</w:t>
            </w:r>
          </w:p>
        </w:tc>
        <w:tc>
          <w:tcPr>
            <w:tcW w:w="295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907454A" w14:textId="5AF4D667" w:rsidR="00FA40E8" w:rsidRDefault="00E74AE8">
            <w:pPr>
              <w:spacing w:before="60" w:after="60"/>
              <w:jc w:val="center"/>
              <w:rPr>
                <w:rFonts w:ascii="Times New Roman" w:hAnsi="Times New Roman" w:cs="Times New Roman"/>
                <w:b/>
                <w:noProof/>
                <w:sz w:val="20"/>
              </w:rPr>
            </w:pPr>
            <w:r>
              <w:rPr>
                <w:rFonts w:ascii="Times New Roman" w:hAnsi="Times New Roman"/>
                <w:b/>
                <w:noProof/>
                <w:sz w:val="20"/>
              </w:rPr>
              <w:t>Indicateurs quantitatifs</w:t>
            </w:r>
            <w:r>
              <w:rPr>
                <w:noProof/>
              </w:rPr>
              <w:t xml:space="preserve"> </w:t>
            </w:r>
            <w:r>
              <w:rPr>
                <w:noProof/>
                <w:sz w:val="20"/>
              </w:rPr>
              <w:t xml:space="preserve"> </w:t>
            </w:r>
            <w:r>
              <w:rPr>
                <w:noProof/>
              </w:rPr>
              <w:br/>
            </w:r>
            <w:r>
              <w:rPr>
                <w:rFonts w:ascii="Times New Roman" w:hAnsi="Times New Roman"/>
                <w:b/>
                <w:noProof/>
                <w:sz w:val="20"/>
              </w:rPr>
              <w:t>(pour les 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6F9D5A9" w14:textId="73CF9E28" w:rsidR="00FA40E8" w:rsidRDefault="00E74AE8">
            <w:pPr>
              <w:pStyle w:val="P68B1DB1-Normal9"/>
              <w:spacing w:before="60" w:after="60"/>
              <w:jc w:val="center"/>
              <w:rPr>
                <w:rFonts w:cs="Times New Roman"/>
                <w:noProof/>
              </w:rPr>
            </w:pPr>
            <w:r>
              <w:rPr>
                <w:noProof/>
              </w:rPr>
              <w:t>Calendrier indicatif d’achèvement</w:t>
            </w:r>
          </w:p>
        </w:tc>
        <w:tc>
          <w:tcPr>
            <w:tcW w:w="411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986B3EC" w14:textId="77777777" w:rsidR="00FA40E8" w:rsidRDefault="00E74AE8">
            <w:pPr>
              <w:pStyle w:val="P68B1DB1-Normal9"/>
              <w:spacing w:before="60" w:after="60"/>
              <w:jc w:val="center"/>
              <w:rPr>
                <w:rFonts w:cs="Times New Roman"/>
                <w:noProof/>
              </w:rPr>
            </w:pPr>
            <w:r>
              <w:rPr>
                <w:noProof/>
              </w:rPr>
              <w:t>Description et définition claire de chaque jalon et cible</w:t>
            </w:r>
          </w:p>
        </w:tc>
      </w:tr>
      <w:tr w:rsidR="00FA40E8" w14:paraId="591D49E9" w14:textId="77777777">
        <w:trPr>
          <w:trHeight w:val="300"/>
          <w:tblHeader/>
        </w:trPr>
        <w:tc>
          <w:tcPr>
            <w:tcW w:w="568" w:type="dxa"/>
            <w:vMerge/>
            <w:tcBorders>
              <w:top w:val="single" w:sz="4" w:space="0" w:color="auto"/>
              <w:left w:val="single" w:sz="4" w:space="0" w:color="auto"/>
              <w:bottom w:val="single" w:sz="4" w:space="0" w:color="auto"/>
              <w:right w:val="single" w:sz="4" w:space="0" w:color="auto"/>
            </w:tcBorders>
            <w:vAlign w:val="center"/>
          </w:tcPr>
          <w:p w14:paraId="7EA054BA" w14:textId="77777777" w:rsidR="00FA40E8" w:rsidRDefault="00FA40E8">
            <w:pPr>
              <w:spacing w:before="60" w:after="60"/>
              <w:jc w:val="center"/>
              <w:rPr>
                <w:rFonts w:ascii="Times New Roman" w:hAnsi="Times New Roman" w:cs="Times New Roman"/>
                <w:b/>
                <w:noProof/>
                <w:sz w:val="20"/>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67DF4CB1" w14:textId="77777777" w:rsidR="00FA40E8" w:rsidRDefault="00FA40E8">
            <w:pPr>
              <w:spacing w:before="60" w:after="60"/>
              <w:rPr>
                <w:rFonts w:ascii="Times New Roman" w:hAnsi="Times New Roman" w:cs="Times New Roman"/>
                <w:b/>
                <w:noProof/>
                <w:sz w:val="20"/>
              </w:rPr>
            </w:pPr>
          </w:p>
        </w:tc>
        <w:tc>
          <w:tcPr>
            <w:tcW w:w="1051" w:type="dxa"/>
            <w:vMerge/>
            <w:tcBorders>
              <w:top w:val="single" w:sz="4" w:space="0" w:color="auto"/>
              <w:left w:val="single" w:sz="4" w:space="0" w:color="auto"/>
              <w:bottom w:val="single" w:sz="4" w:space="0" w:color="auto"/>
              <w:right w:val="single" w:sz="4" w:space="0" w:color="auto"/>
            </w:tcBorders>
            <w:vAlign w:val="center"/>
          </w:tcPr>
          <w:p w14:paraId="7C8E1C81" w14:textId="77777777" w:rsidR="00FA40E8" w:rsidRDefault="00FA40E8">
            <w:pPr>
              <w:spacing w:before="60" w:after="60"/>
              <w:jc w:val="center"/>
              <w:rPr>
                <w:rFonts w:ascii="Times New Roman" w:hAnsi="Times New Roman" w:cs="Times New Roman"/>
                <w:b/>
                <w:noProof/>
                <w:sz w:val="20"/>
              </w:rPr>
            </w:pPr>
          </w:p>
        </w:tc>
        <w:tc>
          <w:tcPr>
            <w:tcW w:w="1740" w:type="dxa"/>
            <w:vMerge/>
            <w:tcBorders>
              <w:top w:val="single" w:sz="4" w:space="0" w:color="auto"/>
              <w:left w:val="single" w:sz="4" w:space="0" w:color="auto"/>
              <w:bottom w:val="single" w:sz="4" w:space="0" w:color="auto"/>
              <w:right w:val="single" w:sz="4" w:space="0" w:color="auto"/>
            </w:tcBorders>
            <w:vAlign w:val="center"/>
          </w:tcPr>
          <w:p w14:paraId="72E88AE1" w14:textId="77777777" w:rsidR="00FA40E8" w:rsidRDefault="00FA40E8">
            <w:pPr>
              <w:spacing w:before="60" w:after="60"/>
              <w:rPr>
                <w:rFonts w:ascii="Times New Roman" w:hAnsi="Times New Roman" w:cs="Times New Roman"/>
                <w:b/>
                <w:noProof/>
                <w:sz w:val="20"/>
              </w:rPr>
            </w:pPr>
          </w:p>
        </w:tc>
        <w:tc>
          <w:tcPr>
            <w:tcW w:w="1486" w:type="dxa"/>
            <w:vMerge/>
            <w:tcBorders>
              <w:top w:val="single" w:sz="4" w:space="0" w:color="auto"/>
              <w:left w:val="single" w:sz="4" w:space="0" w:color="auto"/>
              <w:bottom w:val="single" w:sz="4" w:space="0" w:color="auto"/>
              <w:right w:val="single" w:sz="4" w:space="0" w:color="auto"/>
            </w:tcBorders>
            <w:vAlign w:val="center"/>
          </w:tcPr>
          <w:p w14:paraId="5E24CA0E" w14:textId="77777777" w:rsidR="00FA40E8" w:rsidRDefault="00FA40E8">
            <w:pPr>
              <w:spacing w:before="60" w:after="60"/>
              <w:rPr>
                <w:rFonts w:ascii="Times New Roman" w:hAnsi="Times New Roman" w:cs="Times New Roman"/>
                <w:b/>
                <w:noProof/>
                <w:sz w:val="20"/>
              </w:rPr>
            </w:pPr>
          </w:p>
        </w:tc>
        <w:tc>
          <w:tcPr>
            <w:tcW w:w="11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4685FB7" w14:textId="77777777" w:rsidR="00FA40E8" w:rsidRDefault="00E74AE8">
            <w:pPr>
              <w:pStyle w:val="P68B1DB1-Normal9"/>
              <w:spacing w:before="60" w:after="60"/>
              <w:jc w:val="center"/>
              <w:rPr>
                <w:rFonts w:cs="Times New Roman"/>
                <w:noProof/>
              </w:rPr>
            </w:pPr>
            <w:r>
              <w:rPr>
                <w:noProof/>
              </w:rPr>
              <w:t>Unité</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32CC725" w14:textId="77777777" w:rsidR="00FA40E8" w:rsidRDefault="00E74AE8">
            <w:pPr>
              <w:pStyle w:val="P68B1DB1-Normal9"/>
              <w:spacing w:before="60" w:after="60"/>
              <w:jc w:val="center"/>
              <w:rPr>
                <w:rFonts w:cs="Times New Roman"/>
                <w:noProof/>
              </w:rPr>
            </w:pPr>
            <w:r>
              <w:rPr>
                <w:noProof/>
              </w:rPr>
              <w:t>Niveau de référence</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E0C437" w14:textId="77777777" w:rsidR="00FA40E8" w:rsidRDefault="00E74AE8">
            <w:pPr>
              <w:pStyle w:val="P68B1DB1-Normal9"/>
              <w:spacing w:before="60" w:after="60"/>
              <w:jc w:val="center"/>
              <w:rPr>
                <w:rFonts w:cs="Times New Roman"/>
                <w:noProof/>
              </w:rPr>
            </w:pPr>
            <w:r>
              <w:rPr>
                <w:noProof/>
              </w:rPr>
              <w:t>Objectif</w:t>
            </w: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4D42981" w14:textId="77777777" w:rsidR="00FA40E8" w:rsidRDefault="00E74AE8">
            <w:pPr>
              <w:pStyle w:val="P68B1DB1-Normal9"/>
              <w:spacing w:before="60" w:after="60"/>
              <w:jc w:val="center"/>
              <w:rPr>
                <w:rFonts w:cs="Times New Roman"/>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490430" w14:textId="77777777" w:rsidR="00FA40E8" w:rsidRDefault="00E74AE8">
            <w:pPr>
              <w:pStyle w:val="P68B1DB1-Normal9"/>
              <w:spacing w:before="60" w:after="60"/>
              <w:jc w:val="center"/>
              <w:rPr>
                <w:rFonts w:cs="Times New Roman"/>
                <w:noProof/>
              </w:rPr>
            </w:pPr>
            <w:r>
              <w:rPr>
                <w:noProof/>
              </w:rPr>
              <w:t>Année</w:t>
            </w:r>
          </w:p>
        </w:tc>
        <w:tc>
          <w:tcPr>
            <w:tcW w:w="4112" w:type="dxa"/>
            <w:vMerge/>
            <w:tcBorders>
              <w:top w:val="single" w:sz="4" w:space="0" w:color="auto"/>
              <w:left w:val="single" w:sz="4" w:space="0" w:color="auto"/>
              <w:bottom w:val="single" w:sz="4" w:space="0" w:color="auto"/>
              <w:right w:val="single" w:sz="4" w:space="0" w:color="auto"/>
            </w:tcBorders>
            <w:vAlign w:val="center"/>
          </w:tcPr>
          <w:p w14:paraId="5E32ACD5" w14:textId="77777777" w:rsidR="00FA40E8" w:rsidRDefault="00FA40E8">
            <w:pPr>
              <w:spacing w:before="60" w:after="60"/>
              <w:rPr>
                <w:rFonts w:ascii="Times New Roman" w:hAnsi="Times New Roman" w:cs="Times New Roman"/>
                <w:b/>
                <w:noProof/>
                <w:sz w:val="20"/>
              </w:rPr>
            </w:pPr>
          </w:p>
        </w:tc>
      </w:tr>
      <w:tr w:rsidR="00FA40E8" w14:paraId="17DB55FC"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A94403" w14:textId="6A3016C6" w:rsidR="00FA40E8" w:rsidRDefault="00E74AE8">
            <w:pPr>
              <w:pStyle w:val="P68B1DB1-Normal12"/>
              <w:spacing w:before="60" w:after="60"/>
              <w:jc w:val="center"/>
              <w:rPr>
                <w:rFonts w:cs="Times New Roman"/>
                <w:noProof/>
              </w:rPr>
            </w:pPr>
            <w:r>
              <w:rPr>
                <w:noProof/>
              </w:rPr>
              <w:t>138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85322E" w14:textId="3B112319" w:rsidR="00FA40E8" w:rsidRDefault="00E74AE8">
            <w:pPr>
              <w:pStyle w:val="P68B1DB1-Normal12"/>
              <w:spacing w:before="60" w:after="60"/>
              <w:rPr>
                <w:noProof/>
              </w:rPr>
            </w:pPr>
            <w:r>
              <w:rPr>
                <w:noProof/>
              </w:rPr>
              <w:t xml:space="preserve">F.1.1. Un secteur public efficace — </w:t>
            </w:r>
          </w:p>
          <w:p w14:paraId="1FA31529" w14:textId="7B9385E9" w:rsidR="00FA40E8" w:rsidRDefault="00E74AE8">
            <w:pPr>
              <w:pStyle w:val="P68B1DB1-Normal12"/>
              <w:spacing w:before="60" w:after="60"/>
              <w:rPr>
                <w:rFonts w:cs="Times New Roman"/>
                <w:noProof/>
              </w:rPr>
            </w:pPr>
            <w:r>
              <w:rPr>
                <w:noProof/>
              </w:rPr>
              <w:t>F.1.1.1 Modernisation de la gestion des ressources humaines dans le secteur public</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E6F9937"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55AC39" w14:textId="22119D01" w:rsidR="00FA40E8" w:rsidRDefault="00E74AE8">
            <w:pPr>
              <w:pStyle w:val="P68B1DB1-Normal12"/>
              <w:spacing w:before="60" w:after="60"/>
              <w:rPr>
                <w:rFonts w:eastAsia="Times New Roman" w:cs="Times New Roman"/>
                <w:noProof/>
              </w:rPr>
            </w:pPr>
            <w:r>
              <w:rPr>
                <w:noProof/>
              </w:rPr>
              <w:t>Modernisation de la gestion des ressources humaines dans le secteur public</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BCC6FF" w14:textId="3BCAF845" w:rsidR="00FA40E8" w:rsidRDefault="00E74AE8">
            <w:pPr>
              <w:pStyle w:val="P68B1DB1-Normal12"/>
              <w:spacing w:before="60" w:after="60"/>
              <w:rPr>
                <w:rFonts w:cs="Times New Roman"/>
                <w:noProof/>
              </w:rPr>
            </w:pPr>
            <w:r>
              <w:rPr>
                <w:noProof/>
              </w:rPr>
              <w:t xml:space="preserve">Certificat de remise et </w:t>
            </w:r>
            <w:r>
              <w:rPr>
                <w:noProof/>
              </w:rPr>
              <w:t>de réception des services du système modernisé de gestion des ressources humaines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2AF8A1" w14:textId="3C250401"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12A14" w14:textId="278533E8"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82931" w14:textId="43517869"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F21142A" w14:textId="52771306"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0F8785" w14:textId="3D21AA17" w:rsidR="00FA40E8" w:rsidRDefault="00E74AE8">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5CEC152" w14:textId="5E029066" w:rsidR="00FA40E8" w:rsidRDefault="00E74AE8">
            <w:pPr>
              <w:pStyle w:val="P68B1DB1-Normal12"/>
              <w:spacing w:before="60" w:after="60"/>
              <w:jc w:val="both"/>
              <w:rPr>
                <w:rFonts w:cs="Times New Roman"/>
                <w:noProof/>
              </w:rPr>
            </w:pPr>
            <w:r>
              <w:rPr>
                <w:noProof/>
              </w:rPr>
              <w:t xml:space="preserve">Certificat de remise et d’acceptation des services délivré par un système modernisé de gestion des ressources humaines, y compris un nouveau registre des employés </w:t>
            </w:r>
            <w:r>
              <w:rPr>
                <w:noProof/>
              </w:rPr>
              <w:t xml:space="preserve">du secteur public. </w:t>
            </w:r>
          </w:p>
        </w:tc>
      </w:tr>
      <w:tr w:rsidR="00FA40E8" w14:paraId="4EBED452"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47E6D4D" w14:textId="51E69F91" w:rsidR="00FA40E8" w:rsidRDefault="00E74AE8">
            <w:pPr>
              <w:pStyle w:val="P68B1DB1-Normal12"/>
              <w:spacing w:before="60" w:after="60"/>
              <w:jc w:val="center"/>
              <w:rPr>
                <w:rFonts w:cs="Times New Roman"/>
                <w:noProof/>
              </w:rPr>
            </w:pPr>
            <w:r>
              <w:rPr>
                <w:noProof/>
              </w:rPr>
              <w:t>139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C5A93AB" w14:textId="658AE253" w:rsidR="00FA40E8" w:rsidRDefault="00E74AE8">
            <w:pPr>
              <w:pStyle w:val="P68B1DB1-Normal12"/>
              <w:spacing w:before="60" w:after="60"/>
              <w:rPr>
                <w:noProof/>
              </w:rPr>
            </w:pPr>
            <w:r>
              <w:rPr>
                <w:noProof/>
              </w:rPr>
              <w:t xml:space="preserve">F.1.1. Un secteur public efficace — </w:t>
            </w:r>
          </w:p>
          <w:p w14:paraId="11340B20" w14:textId="1B7C5877" w:rsidR="00FA40E8" w:rsidRDefault="00E74AE8">
            <w:pPr>
              <w:pStyle w:val="P68B1DB1-Normal12"/>
              <w:spacing w:before="60" w:after="60"/>
              <w:rPr>
                <w:rFonts w:cs="Times New Roman"/>
                <w:noProof/>
              </w:rPr>
            </w:pPr>
            <w:r>
              <w:rPr>
                <w:noProof/>
              </w:rPr>
              <w:t>F.1.1.2 Mise en place d’une plateforme d’apprentissage à distance pour les employés du secteur public</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49B9089"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F049D4E" w14:textId="50732A42" w:rsidR="00FA40E8" w:rsidRDefault="00E74AE8">
            <w:pPr>
              <w:pStyle w:val="P68B1DB1-Normal12"/>
              <w:spacing w:before="60" w:after="60"/>
              <w:rPr>
                <w:rFonts w:eastAsia="Times New Roman" w:cs="Times New Roman"/>
                <w:noProof/>
              </w:rPr>
            </w:pPr>
            <w:r>
              <w:rPr>
                <w:noProof/>
              </w:rPr>
              <w:t>Orientations stratégiques et modules de formation</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138264" w14:textId="40856B38" w:rsidR="00FA40E8" w:rsidRDefault="00E74AE8">
            <w:pPr>
              <w:pStyle w:val="P68B1DB1-Normal12"/>
              <w:spacing w:before="60" w:after="60"/>
              <w:rPr>
                <w:rFonts w:eastAsia="Times New Roman" w:cs="Times New Roman"/>
                <w:noProof/>
              </w:rPr>
            </w:pPr>
            <w:r>
              <w:rPr>
                <w:noProof/>
              </w:rPr>
              <w:t xml:space="preserve">Adoption de lignes directrices et </w:t>
            </w:r>
            <w:r>
              <w:rPr>
                <w:noProof/>
              </w:rPr>
              <w:t>élaboration de modules de formation</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7E13FE" w14:textId="62B1B3A8"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D1ACB3" w14:textId="62F4C18A"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DB1610" w14:textId="73176118"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6EA1EC9" w14:textId="37AE3D58" w:rsidR="00FA40E8" w:rsidRDefault="00E74AE8">
            <w:pPr>
              <w:pStyle w:val="P68B1DB1-Normal12"/>
              <w:spacing w:before="60" w:after="60"/>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ABB69F" w14:textId="77777777" w:rsidR="00FA40E8" w:rsidRDefault="00E74AE8">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7EB4902" w14:textId="2E02E974" w:rsidR="00FA40E8" w:rsidRDefault="00E74AE8">
            <w:pPr>
              <w:pStyle w:val="P68B1DB1-Normal12"/>
              <w:spacing w:before="60" w:after="60"/>
              <w:jc w:val="both"/>
              <w:rPr>
                <w:rFonts w:eastAsia="Times New Roman" w:cs="Times New Roman"/>
                <w:noProof/>
              </w:rPr>
            </w:pPr>
            <w:r>
              <w:rPr>
                <w:noProof/>
              </w:rPr>
              <w:t>Les orientations stratégiques pour la formation à long terme et le développement des compétences des employés du secteur public et le plan de mise en œuvre des orientations stratégiques sont adoptés par le gou</w:t>
            </w:r>
            <w:r>
              <w:rPr>
                <w:noProof/>
              </w:rPr>
              <w:t>vernement lituanien.</w:t>
            </w:r>
          </w:p>
          <w:p w14:paraId="7C89D50A" w14:textId="6D7655CD" w:rsidR="00FA40E8" w:rsidRDefault="00E74AE8">
            <w:pPr>
              <w:pStyle w:val="P68B1DB1-Normal12"/>
              <w:spacing w:before="60" w:after="60"/>
              <w:jc w:val="both"/>
              <w:rPr>
                <w:rFonts w:cs="Times New Roman"/>
                <w:noProof/>
              </w:rPr>
            </w:pPr>
            <w:r>
              <w:rPr>
                <w:noProof/>
              </w:rPr>
              <w:t xml:space="preserve">Des modules de formation visant à renforcer les compétences des employés du secteur public sont élaborés par l’agence de gestion publique. Les modules de formation suivants seront développés: 1) les compétences numériques; 2) </w:t>
            </w:r>
            <w:r>
              <w:rPr>
                <w:noProof/>
              </w:rPr>
              <w:t>compétences financières et analytiques; 3) compétences de direction.</w:t>
            </w:r>
          </w:p>
        </w:tc>
      </w:tr>
      <w:tr w:rsidR="00FA40E8" w14:paraId="2305CB46"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5012A0E" w14:textId="4C20E8FC" w:rsidR="00FA40E8" w:rsidRDefault="00E74AE8">
            <w:pPr>
              <w:pStyle w:val="P68B1DB1-Normal12"/>
              <w:spacing w:before="60" w:after="60"/>
              <w:jc w:val="center"/>
              <w:rPr>
                <w:rFonts w:cs="Times New Roman"/>
                <w:noProof/>
              </w:rPr>
            </w:pPr>
            <w:r>
              <w:rPr>
                <w:noProof/>
              </w:rPr>
              <w:t>141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150DD3" w14:textId="26C79100" w:rsidR="00FA40E8" w:rsidRDefault="00E74AE8">
            <w:pPr>
              <w:pStyle w:val="P68B1DB1-Normal12"/>
              <w:spacing w:before="60" w:after="60"/>
              <w:rPr>
                <w:noProof/>
              </w:rPr>
            </w:pPr>
            <w:r>
              <w:rPr>
                <w:noProof/>
              </w:rPr>
              <w:t xml:space="preserve">F.1.1. Un secteur public efficace — </w:t>
            </w:r>
          </w:p>
          <w:p w14:paraId="63BBE4B4" w14:textId="1C196A70" w:rsidR="00FA40E8" w:rsidRDefault="00E74AE8">
            <w:pPr>
              <w:pStyle w:val="P68B1DB1-Normal12"/>
              <w:spacing w:before="60" w:after="60"/>
              <w:rPr>
                <w:rFonts w:cs="Times New Roman"/>
                <w:noProof/>
              </w:rPr>
            </w:pPr>
            <w:r>
              <w:rPr>
                <w:noProof/>
              </w:rPr>
              <w:t>F.1.1.2 Mise en place d’une plateforme d’apprentissage à distance pour les employés du secteur public</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41C042" w14:textId="17A91BB9"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77968EA" w14:textId="4D995396" w:rsidR="00FA40E8" w:rsidRDefault="00E74AE8">
            <w:pPr>
              <w:pStyle w:val="P68B1DB1-Normal12"/>
              <w:spacing w:before="60" w:after="60"/>
              <w:rPr>
                <w:rFonts w:cs="Times New Roman"/>
                <w:noProof/>
              </w:rPr>
            </w:pPr>
            <w:r>
              <w:rPr>
                <w:noProof/>
              </w:rPr>
              <w:t xml:space="preserve">Mise en place d’une plateforme </w:t>
            </w:r>
            <w:r>
              <w:rPr>
                <w:noProof/>
              </w:rPr>
              <w:t xml:space="preserve">d’apprentissage à distance pour les compétences numériques, financières, analytiques et de leadership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BA90AE" w14:textId="448E11B3" w:rsidR="00FA40E8" w:rsidRDefault="00E74AE8">
            <w:pPr>
              <w:pStyle w:val="P68B1DB1-Normal28"/>
              <w:rPr>
                <w:noProof/>
              </w:rPr>
            </w:pPr>
            <w:r>
              <w:rPr>
                <w:noProof/>
              </w:rPr>
              <w:t>Certificat de remise et d’acceptation du service pour la livraison d’une plateforme d’apprentissage à distance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B4D3B7A" w14:textId="0E2870FF"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CEF901C" w14:textId="40838F66"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D786561" w14:textId="736C192B"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ED60099" w14:textId="21D87116" w:rsidR="00FA40E8" w:rsidRDefault="00E74AE8">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2E1B68F" w14:textId="07772B91" w:rsidR="00FA40E8" w:rsidRDefault="00E74AE8">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8258902" w14:textId="5085D979" w:rsidR="00FA40E8" w:rsidRDefault="00E74AE8">
            <w:pPr>
              <w:pStyle w:val="P68B1DB1-Normal12"/>
              <w:spacing w:before="60" w:after="60"/>
              <w:jc w:val="both"/>
              <w:rPr>
                <w:rFonts w:cs="Times New Roman"/>
                <w:noProof/>
              </w:rPr>
            </w:pPr>
            <w:r>
              <w:rPr>
                <w:noProof/>
              </w:rPr>
              <w:t>Certificat de remise et d’accep</w:t>
            </w:r>
            <w:r>
              <w:rPr>
                <w:noProof/>
              </w:rPr>
              <w:t xml:space="preserve">tation de service délivré pour une plateforme d’apprentissage à distance, y compris des formations sur i) les compétences numériques; II) compétences financières et analytiques; et iii) les compétences de direction. </w:t>
            </w:r>
          </w:p>
        </w:tc>
      </w:tr>
      <w:tr w:rsidR="00FA40E8" w14:paraId="144DA01C"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0540317" w14:textId="77777777" w:rsidR="00FA40E8" w:rsidRDefault="00E74AE8">
            <w:pPr>
              <w:pStyle w:val="P68B1DB1-Normal12"/>
              <w:spacing w:before="60" w:after="60"/>
              <w:jc w:val="center"/>
              <w:rPr>
                <w:rFonts w:cs="Times New Roman"/>
                <w:noProof/>
              </w:rPr>
            </w:pPr>
            <w:r>
              <w:rPr>
                <w:noProof/>
              </w:rPr>
              <w:t>142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D4A891B" w14:textId="6224DAA0"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F.1.2. Un système fiscal plus juste et plus propice à la croissance. — </w:t>
            </w:r>
          </w:p>
          <w:p w14:paraId="220747D9" w14:textId="51127CCC"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F.1.2.1. La suppression ou la réduction des exonérations fiscales et des régimes fiscaux spéciaux qui sont inefficaces, ne reflètent plus les priorités de l’État ou ne sont pas conform</w:t>
            </w:r>
            <w:r>
              <w:rPr>
                <w:rStyle w:val="normaltextrun"/>
                <w:rFonts w:ascii="Times New Roman" w:hAnsi="Times New Roman"/>
                <w:noProof/>
                <w:sz w:val="20"/>
              </w:rPr>
              <w:t>es au pacte vert;</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C5C160B"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3C65F0A" w14:textId="5F3E1530" w:rsidR="00FA40E8" w:rsidRDefault="00E74AE8">
            <w:pPr>
              <w:pStyle w:val="P68B1DB1-Normal12"/>
              <w:spacing w:before="60" w:after="60"/>
              <w:rPr>
                <w:rFonts w:cs="Times New Roman"/>
                <w:noProof/>
              </w:rPr>
            </w:pPr>
            <w:r>
              <w:rPr>
                <w:noProof/>
              </w:rPr>
              <w:t>Présentation au Parlement des propositions formulées sur la base d’une analyse approfondie en vue de la suppression des exonérations fiscales et des régimes fiscaux spéciaux</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C38E192" w14:textId="77777777" w:rsidR="00FA40E8" w:rsidRDefault="00E74AE8">
            <w:pPr>
              <w:pStyle w:val="P68B1DB1-Normal12"/>
              <w:spacing w:before="60" w:after="60"/>
              <w:rPr>
                <w:rFonts w:cs="Times New Roman"/>
                <w:noProof/>
              </w:rPr>
            </w:pPr>
            <w:r>
              <w:rPr>
                <w:noProof/>
              </w:rPr>
              <w:t>Enregistrement des projets de modification de la législati</w:t>
            </w:r>
            <w:r>
              <w:rPr>
                <w:noProof/>
              </w:rPr>
              <w:t>on fiscale dans le système des actes juridiques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3256D6" w14:textId="1A612290"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3A1D72" w14:textId="2BBA0511"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885FC0" w14:textId="3927176A"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1CE3194"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50B2A9" w14:textId="77777777" w:rsidR="00FA40E8" w:rsidRDefault="00E74AE8">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E2EA91" w14:textId="502A43EF" w:rsidR="00FA40E8" w:rsidRDefault="00E74AE8">
            <w:pPr>
              <w:pStyle w:val="P68B1DB1-Normal12"/>
              <w:spacing w:before="60" w:after="60"/>
              <w:jc w:val="both"/>
              <w:rPr>
                <w:rFonts w:eastAsia="Times New Roman" w:cs="Times New Roman"/>
                <w:noProof/>
              </w:rPr>
            </w:pPr>
            <w:r>
              <w:rPr>
                <w:noProof/>
              </w:rPr>
              <w:t>Sur la base de la publication de l’analyse coûts-avantages des exonérations fiscales et des régimes fiscaux spéciaux existants qui ne sont pas efficaces et (ou) ne reflètent plus les priorités de l</w:t>
            </w:r>
            <w:r>
              <w:rPr>
                <w:noProof/>
              </w:rPr>
              <w:t xml:space="preserve">’État, des projets de modification des lois fiscales pertinentes sont élaborés et soumis au parlement. </w:t>
            </w:r>
          </w:p>
        </w:tc>
      </w:tr>
      <w:tr w:rsidR="00FA40E8" w14:paraId="2839FFCD"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040713" w14:textId="2AC2436E" w:rsidR="00FA40E8" w:rsidRDefault="00E74AE8">
            <w:pPr>
              <w:pStyle w:val="P68B1DB1-Normal12"/>
              <w:spacing w:before="60" w:after="60"/>
              <w:jc w:val="center"/>
              <w:rPr>
                <w:rFonts w:cs="Times New Roman"/>
                <w:noProof/>
              </w:rPr>
            </w:pPr>
            <w:r>
              <w:rPr>
                <w:noProof/>
              </w:rPr>
              <w:t>143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23A895" w14:textId="485D1259"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F.1.2. Un système fiscal plus juste et plus propice à la croissance — </w:t>
            </w:r>
          </w:p>
          <w:p w14:paraId="12902086" w14:textId="3AE429C8"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 xml:space="preserve">F.1.2.1. La suppression ou la réduction des exonérations fiscales et des </w:t>
            </w:r>
            <w:r>
              <w:rPr>
                <w:rStyle w:val="normaltextrun"/>
                <w:rFonts w:ascii="Times New Roman" w:hAnsi="Times New Roman"/>
                <w:noProof/>
                <w:sz w:val="20"/>
              </w:rPr>
              <w:t>régimes fiscaux spéciaux qui sont inefficaces, ne reflètent plus les priorités de l’État ou ne sont pas conformes au pacte vert;</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E3C6622"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E270733" w14:textId="67BF5AF5" w:rsidR="00FA40E8" w:rsidRDefault="00E74AE8">
            <w:pPr>
              <w:pStyle w:val="P68B1DB1-Normal12"/>
              <w:spacing w:before="60" w:after="60"/>
              <w:rPr>
                <w:rFonts w:cs="Times New Roman"/>
                <w:noProof/>
              </w:rPr>
            </w:pPr>
            <w:r>
              <w:rPr>
                <w:noProof/>
              </w:rPr>
              <w:t>Entrée en vigueur des modifications de la législation fiscale supprimant ou réduisant les exonérations fiscales et les ré</w:t>
            </w:r>
            <w:r>
              <w:rPr>
                <w:noProof/>
              </w:rPr>
              <w:t>gimes fiscaux spéciaux</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4BED6B" w14:textId="233D81A6" w:rsidR="00FA40E8" w:rsidRDefault="00E74AE8">
            <w:pPr>
              <w:pStyle w:val="P68B1DB1-Normal12"/>
              <w:spacing w:before="60" w:after="60"/>
              <w:rPr>
                <w:rFonts w:cs="Times New Roman"/>
                <w:noProof/>
              </w:rPr>
            </w:pPr>
            <w:r>
              <w:rPr>
                <w:noProof/>
              </w:rPr>
              <w:t xml:space="preserve">Dispositions indiquant l’entrée en vigueur des modifications apportées à la législation fiscale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DFFD0F" w14:textId="50F8E753"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FC0476" w14:textId="58ABC6DD"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43FECD" w14:textId="1B77A96F"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92F9CE" w14:textId="1708D751" w:rsidR="00FA40E8" w:rsidRDefault="00E74AE8">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B862CEE" w14:textId="2BB5CF1A" w:rsidR="00FA40E8" w:rsidRDefault="00E74AE8">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7658D1" w14:textId="2FC4230C" w:rsidR="00FA40E8" w:rsidRDefault="00E74AE8">
            <w:pPr>
              <w:pStyle w:val="P68B1DB1-Normal12"/>
              <w:spacing w:before="60" w:after="60"/>
              <w:jc w:val="both"/>
              <w:rPr>
                <w:rFonts w:eastAsia="Times New Roman" w:cs="Times New Roman"/>
                <w:noProof/>
              </w:rPr>
            </w:pPr>
            <w:r>
              <w:rPr>
                <w:noProof/>
              </w:rPr>
              <w:t>Entrée en vigueur des modifications apportées aux lois supprimant ou réduisant les exonérations fiscales et les régimes fisca</w:t>
            </w:r>
            <w:r>
              <w:rPr>
                <w:noProof/>
              </w:rPr>
              <w:t>ux spéciaux. Il s’agit notamment de réduire les différences entre les taux d’imposition sur le revenu des personnes physiques qui s’appliquent aux différentes sources de revenus.</w:t>
            </w:r>
          </w:p>
        </w:tc>
      </w:tr>
      <w:tr w:rsidR="00FA40E8" w14:paraId="00A819E1"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41725F3" w14:textId="77777777" w:rsidR="00FA40E8" w:rsidRDefault="00E74AE8">
            <w:pPr>
              <w:pStyle w:val="P68B1DB1-Normal12"/>
              <w:spacing w:before="60" w:after="60"/>
              <w:jc w:val="center"/>
              <w:rPr>
                <w:rFonts w:cs="Times New Roman"/>
                <w:noProof/>
              </w:rPr>
            </w:pPr>
            <w:r>
              <w:rPr>
                <w:noProof/>
              </w:rPr>
              <w:t>144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00563D" w14:textId="49DB4283" w:rsidR="00FA40E8" w:rsidRDefault="00E74AE8">
            <w:pPr>
              <w:pStyle w:val="P68B1DB1-Normal12"/>
              <w:spacing w:before="60" w:after="60"/>
              <w:rPr>
                <w:noProof/>
              </w:rPr>
            </w:pPr>
            <w:r>
              <w:rPr>
                <w:noProof/>
              </w:rPr>
              <w:t xml:space="preserve">F. 1.2. Un système fiscal plus juste et plus propice à la croissance — </w:t>
            </w:r>
          </w:p>
          <w:p w14:paraId="1717CA40" w14:textId="6D296479"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F.1.2.2. Sous-mesure 2: Élargissement de l’assiette fiscale à des sources qui n’entravent pas la croissance économique</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B6AD1B"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91B8C99" w14:textId="77777777" w:rsidR="00FA40E8" w:rsidRDefault="00E74AE8">
            <w:pPr>
              <w:pStyle w:val="P68B1DB1-Normal12"/>
              <w:spacing w:before="60" w:after="60"/>
              <w:rPr>
                <w:rFonts w:cs="Times New Roman"/>
                <w:noProof/>
              </w:rPr>
            </w:pPr>
            <w:r>
              <w:rPr>
                <w:noProof/>
              </w:rPr>
              <w:t xml:space="preserve">Présentation au Parlement, sur la base d’une analyse approfondie, des propositions visant à étendre les taxes environnementales et </w:t>
            </w:r>
            <w:r>
              <w:rPr>
                <w:noProof/>
              </w:rPr>
              <w:t>la taxation d’autres sources moins préjudiciables à la croissance économique</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ED8E5E" w14:textId="77777777" w:rsidR="00FA40E8" w:rsidRDefault="00E74AE8">
            <w:pPr>
              <w:pStyle w:val="P68B1DB1-Normal12"/>
              <w:spacing w:before="60" w:after="60"/>
              <w:rPr>
                <w:rFonts w:cs="Times New Roman"/>
                <w:noProof/>
              </w:rPr>
            </w:pPr>
            <w:r>
              <w:rPr>
                <w:noProof/>
              </w:rPr>
              <w:t xml:space="preserve">Enregistrement des projets de modification de la législation fiscale dans le système des actes juridiques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7B7C3F" w14:textId="292B3595"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5A5D66" w14:textId="60B8B601"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DC3BB" w14:textId="7D6D2F33"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C0AC72F"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4881F47" w14:textId="77777777" w:rsidR="00FA40E8" w:rsidRDefault="00E74AE8">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24D264" w14:textId="77777777" w:rsidR="00FA40E8" w:rsidRDefault="00E74AE8">
            <w:pPr>
              <w:pStyle w:val="P68B1DB1-Normal12"/>
              <w:spacing w:before="60" w:after="60"/>
              <w:jc w:val="both"/>
              <w:rPr>
                <w:rFonts w:eastAsia="Times New Roman" w:cs="Times New Roman"/>
                <w:noProof/>
              </w:rPr>
            </w:pPr>
            <w:r>
              <w:rPr>
                <w:noProof/>
              </w:rPr>
              <w:t xml:space="preserve">Sur la base d’une étude analysant les possibilités d’étendre </w:t>
            </w:r>
            <w:r>
              <w:rPr>
                <w:noProof/>
              </w:rPr>
              <w:t>les taxes environnementales et la taxation d’autres sources moins préjudiciables à la croissance économique, des projets de modifications des lois fiscales pertinentes sont préparés et soumis au parlement.</w:t>
            </w:r>
          </w:p>
        </w:tc>
      </w:tr>
      <w:tr w:rsidR="00FA40E8" w14:paraId="6C7C6793"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BF56E28" w14:textId="79A194AB" w:rsidR="00FA40E8" w:rsidRDefault="00E74AE8">
            <w:pPr>
              <w:pStyle w:val="P68B1DB1-Normal12"/>
              <w:spacing w:before="60" w:after="60"/>
              <w:jc w:val="center"/>
              <w:rPr>
                <w:rFonts w:cs="Times New Roman"/>
                <w:noProof/>
              </w:rPr>
            </w:pPr>
            <w:r>
              <w:rPr>
                <w:noProof/>
              </w:rPr>
              <w:t>145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AA9CBF3" w14:textId="3E40C4E9" w:rsidR="00FA40E8" w:rsidRDefault="00E74AE8">
            <w:pPr>
              <w:pStyle w:val="P68B1DB1-Normal12"/>
              <w:spacing w:before="60" w:after="60"/>
              <w:rPr>
                <w:noProof/>
              </w:rPr>
            </w:pPr>
            <w:r>
              <w:rPr>
                <w:noProof/>
              </w:rPr>
              <w:t xml:space="preserve">F. 1.2. Un système fiscal plus juste et plus propice à la croissance — </w:t>
            </w:r>
          </w:p>
          <w:p w14:paraId="218FCED3" w14:textId="3595B0BB"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F.1.2.2. Sous-mesure 2: Élargissement de l’assiette fiscale à des sources qui n’entravent pas la croissance économique</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FE2EE0"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590005" w14:textId="557A22C3" w:rsidR="00FA40E8" w:rsidRDefault="00E74AE8">
            <w:pPr>
              <w:pStyle w:val="P68B1DB1-Normal12"/>
              <w:spacing w:before="60" w:after="60"/>
              <w:rPr>
                <w:rFonts w:cs="Times New Roman"/>
                <w:noProof/>
              </w:rPr>
            </w:pPr>
            <w:r>
              <w:rPr>
                <w:noProof/>
              </w:rPr>
              <w:t>Entrée en vigueur des modifications apportées à la législat</w:t>
            </w:r>
            <w:r>
              <w:rPr>
                <w:noProof/>
              </w:rPr>
              <w:t xml:space="preserve">ion sur les droits d’accise, les taxes environnementales et les taxes foncières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62A5F1" w14:textId="13039AC7" w:rsidR="00FA40E8" w:rsidRDefault="00E74AE8">
            <w:pPr>
              <w:pStyle w:val="P68B1DB1-Normal12"/>
              <w:spacing w:before="60" w:after="60"/>
              <w:rPr>
                <w:rFonts w:cs="Times New Roman"/>
                <w:noProof/>
              </w:rPr>
            </w:pPr>
            <w:r>
              <w:rPr>
                <w:noProof/>
              </w:rPr>
              <w:t>Dispositions des lois modificatives indiquant l’entrée en vigueur des modifications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84FE7E" w14:textId="2D7B31F5"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240FDA" w14:textId="7098B596"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80DD22" w14:textId="79B35A36"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B0515F" w14:textId="3C208498" w:rsidR="00FA40E8" w:rsidRDefault="00E74AE8">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E2E7232" w14:textId="5EA5915E" w:rsidR="00FA40E8" w:rsidRDefault="00E74AE8">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DFA2FC" w14:textId="21C9E850" w:rsidR="00FA40E8" w:rsidRDefault="00E74AE8">
            <w:pPr>
              <w:pStyle w:val="P68B1DB1-Normal12"/>
              <w:spacing w:before="60" w:after="60"/>
              <w:jc w:val="both"/>
              <w:rPr>
                <w:rFonts w:eastAsia="Times New Roman" w:cs="Times New Roman"/>
                <w:noProof/>
              </w:rPr>
            </w:pPr>
            <w:r>
              <w:rPr>
                <w:noProof/>
              </w:rPr>
              <w:t xml:space="preserve">Entrée en vigueur des modifications apportées aux lois sur les droits d’accise, </w:t>
            </w:r>
            <w:r>
              <w:rPr>
                <w:noProof/>
              </w:rPr>
              <w:t>les taxes environnementales et la taxe foncière afin d’accroître le rôle des taxes qui n’entravent pas la croissance économique dans la structure fiscale.</w:t>
            </w:r>
          </w:p>
        </w:tc>
      </w:tr>
      <w:tr w:rsidR="00FA40E8" w14:paraId="48BE78FC"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9E5DEC" w14:textId="77777777" w:rsidR="00FA40E8" w:rsidRDefault="00E74AE8">
            <w:pPr>
              <w:pStyle w:val="P68B1DB1-Normal12"/>
              <w:spacing w:before="60" w:after="60"/>
              <w:jc w:val="center"/>
              <w:rPr>
                <w:rFonts w:cs="Times New Roman"/>
                <w:noProof/>
              </w:rPr>
            </w:pPr>
            <w:r>
              <w:rPr>
                <w:noProof/>
              </w:rPr>
              <w:t>146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4A7146" w14:textId="2A8D8B1D"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F.1.2. Un système fiscal plus juste et plus propice à la croissance — </w:t>
            </w:r>
          </w:p>
          <w:p w14:paraId="0496ADB3" w14:textId="55CF0046"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 xml:space="preserve">F.1.2.3. Une évaluation </w:t>
            </w:r>
            <w:r>
              <w:rPr>
                <w:rStyle w:val="normaltextrun"/>
                <w:rFonts w:ascii="Times New Roman" w:hAnsi="Times New Roman"/>
                <w:noProof/>
                <w:sz w:val="20"/>
              </w:rPr>
              <w:t>de l’efficacité de la fiscalité et des cotisations d’assurance sociale dans la prévention de la pauvreté et la réduction des inégalités de revenus;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92626D"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D6C47E" w14:textId="77777777" w:rsidR="00FA40E8" w:rsidRDefault="00E74AE8">
            <w:pPr>
              <w:pStyle w:val="P68B1DB1-Normal12"/>
              <w:spacing w:before="60" w:after="60"/>
              <w:rPr>
                <w:rFonts w:eastAsia="Times New Roman" w:cs="Times New Roman"/>
                <w:noProof/>
              </w:rPr>
            </w:pPr>
            <w:r>
              <w:rPr>
                <w:noProof/>
              </w:rPr>
              <w:t>Réalisation de l’étude sur l’efficacité de l’impôt sur le revenu des personnes physiques et des cotisa</w:t>
            </w:r>
            <w:r>
              <w:rPr>
                <w:noProof/>
              </w:rPr>
              <w:t>tions d’assurance sociale dans la réduction de la pauvreté et des inégalités de revenus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991908" w14:textId="4A2446D7" w:rsidR="00FA40E8" w:rsidRDefault="00E74AE8">
            <w:pPr>
              <w:pStyle w:val="P68B1DB1-Normal12"/>
              <w:spacing w:before="60" w:after="60"/>
              <w:rPr>
                <w:rFonts w:cs="Times New Roman"/>
                <w:noProof/>
              </w:rPr>
            </w:pPr>
            <w:r>
              <w:rPr>
                <w:noProof/>
              </w:rPr>
              <w:t>L’étude publiée sur le site web du ministère des finances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1FD67" w14:textId="4D74259B"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434CC7" w14:textId="0AB7EFB8"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E571DE" w14:textId="6A383E39"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4E29FD"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ADAEAB" w14:textId="77777777" w:rsidR="00FA40E8" w:rsidRDefault="00E74AE8">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12B534" w14:textId="77777777" w:rsidR="00FA40E8" w:rsidRDefault="00E74AE8">
            <w:pPr>
              <w:pStyle w:val="P68B1DB1-Normal12"/>
              <w:spacing w:before="60" w:after="60"/>
              <w:jc w:val="both"/>
              <w:rPr>
                <w:rFonts w:cs="Times New Roman"/>
                <w:noProof/>
              </w:rPr>
            </w:pPr>
            <w:r>
              <w:rPr>
                <w:noProof/>
              </w:rPr>
              <w:t xml:space="preserve">Publication d’une étude analysant l’efficacité de l’impôt sur le revenu des personnes physiques et </w:t>
            </w:r>
            <w:r>
              <w:rPr>
                <w:noProof/>
              </w:rPr>
              <w:t>des cotisations d’assurance sociale dans la réduction de la pauvreté et des inégalités de revenus.</w:t>
            </w:r>
          </w:p>
        </w:tc>
      </w:tr>
      <w:tr w:rsidR="00FA40E8" w14:paraId="26ECC337"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34475E" w14:textId="6BBA6209" w:rsidR="00FA40E8" w:rsidRDefault="00E74AE8">
            <w:pPr>
              <w:pStyle w:val="P68B1DB1-Normal12"/>
              <w:spacing w:before="60" w:after="60"/>
              <w:jc w:val="center"/>
              <w:rPr>
                <w:rFonts w:cs="Times New Roman"/>
                <w:noProof/>
              </w:rPr>
            </w:pPr>
            <w:r>
              <w:rPr>
                <w:noProof/>
              </w:rPr>
              <w:t>147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FF7A39" w14:textId="15392AB5"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F.1.2. Un système fiscal plus juste et plus propice à la croissance — </w:t>
            </w:r>
          </w:p>
          <w:p w14:paraId="6E1CD45C" w14:textId="131E99D0"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 xml:space="preserve">F.1.2.3. Une évaluation de l’efficacité de la fiscalité et des cotisations </w:t>
            </w:r>
            <w:r>
              <w:rPr>
                <w:rStyle w:val="normaltextrun"/>
                <w:rFonts w:ascii="Times New Roman" w:hAnsi="Times New Roman"/>
                <w:noProof/>
                <w:sz w:val="20"/>
              </w:rPr>
              <w:t>d’assurance sociale dans la prévention de la pauvreté et la réduction des inégalités de revenus;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0BCF32" w14:textId="0961D10D"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0ECF33" w14:textId="13524E73" w:rsidR="00FA40E8" w:rsidRDefault="00E74AE8">
            <w:pPr>
              <w:pStyle w:val="P68B1DB1-Normal12"/>
              <w:spacing w:before="60" w:after="60"/>
              <w:rPr>
                <w:rFonts w:eastAsia="Times New Roman" w:cs="Times New Roman"/>
                <w:noProof/>
              </w:rPr>
            </w:pPr>
            <w:r>
              <w:rPr>
                <w:noProof/>
              </w:rPr>
              <w:t>Entrée en vigueur des modifications de la législation relative à l’impôt sur le revenu des personnes physiques et aux cotisations d’assurance sociale</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43912" w14:textId="5798580F" w:rsidR="00FA40E8" w:rsidRDefault="00E74AE8">
            <w:pPr>
              <w:pStyle w:val="P68B1DB1-Normal12"/>
              <w:spacing w:before="60" w:after="60"/>
              <w:rPr>
                <w:rFonts w:cs="Times New Roman"/>
                <w:noProof/>
              </w:rPr>
            </w:pPr>
            <w:r>
              <w:rPr>
                <w:noProof/>
              </w:rPr>
              <w:t>Dispositions des lois indiquant l’entrée en vigueur de modifications de la législation relative à l’impôt sur le revenu des personnes physiques et aux cotisations d’assurance sociale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6E4F2B" w14:textId="60B32B87"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DFE01D" w14:textId="7FF7CE52"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59AEB" w14:textId="7BD39B40"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34EFCF" w14:textId="0A771FD4" w:rsidR="00FA40E8" w:rsidRDefault="00E74AE8">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E081C9" w14:textId="170CBC78" w:rsidR="00FA40E8" w:rsidRDefault="00E74AE8">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0D733E" w14:textId="5EA700C3" w:rsidR="00FA40E8" w:rsidRDefault="00E74AE8">
            <w:pPr>
              <w:pStyle w:val="P68B1DB1-Normal12"/>
              <w:spacing w:before="60" w:after="60"/>
              <w:jc w:val="both"/>
              <w:rPr>
                <w:rFonts w:eastAsia="Times New Roman" w:cs="Times New Roman"/>
                <w:noProof/>
              </w:rPr>
            </w:pPr>
            <w:r>
              <w:rPr>
                <w:noProof/>
              </w:rPr>
              <w:t>Entrée en vigueur des modifications apportées aux lois sur l’i</w:t>
            </w:r>
            <w:r>
              <w:rPr>
                <w:noProof/>
              </w:rPr>
              <w:t>mpôt sur le revenu des personnes physiques et les cotisations d’assurance sociale, sur la base des conclusions de l’étude analysant l’efficacité de l’impôt sur le revenu des personnes physiques et des cotisations d’assurance sociale dans la réduction de la</w:t>
            </w:r>
            <w:r>
              <w:rPr>
                <w:noProof/>
              </w:rPr>
              <w:t xml:space="preserve"> pauvreté et des inégalités de revenus.</w:t>
            </w:r>
          </w:p>
        </w:tc>
      </w:tr>
      <w:tr w:rsidR="00FA40E8" w14:paraId="4AF75BA0"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09E53A" w14:textId="5BA9F865" w:rsidR="00FA40E8" w:rsidRDefault="00E74AE8">
            <w:pPr>
              <w:pStyle w:val="P68B1DB1-Normal12"/>
              <w:spacing w:before="60" w:after="60"/>
              <w:jc w:val="center"/>
              <w:rPr>
                <w:rFonts w:cs="Times New Roman"/>
                <w:noProof/>
              </w:rPr>
            </w:pPr>
            <w:r>
              <w:rPr>
                <w:noProof/>
              </w:rPr>
              <w:t>148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A608DF" w14:textId="3BC941DD"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F.1.3. Viabilité à long terme et transparence du budget national — </w:t>
            </w:r>
          </w:p>
          <w:p w14:paraId="6AABD083" w14:textId="4D28287C"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F.1.3.1. Le cadre budgétaire à moyen terme</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6B27C0"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E0DBC0" w14:textId="0F80FEA3" w:rsidR="00FA40E8" w:rsidRDefault="00E74AE8">
            <w:pPr>
              <w:pStyle w:val="P68B1DB1-Normal12"/>
              <w:spacing w:before="60" w:after="60"/>
              <w:rPr>
                <w:rFonts w:eastAsia="Times New Roman" w:cs="Times New Roman"/>
                <w:noProof/>
              </w:rPr>
            </w:pPr>
            <w:r>
              <w:rPr>
                <w:noProof/>
              </w:rPr>
              <w:t>Entrée en vigueur de la méthode budgétaire à moyen terme, de la méthode de calcul des coûts de</w:t>
            </w:r>
            <w:r>
              <w:rPr>
                <w:noProof/>
              </w:rPr>
              <w:t xml:space="preserve"> base et des modifications de la loi sur la structure du budget liées à la révision du budget de l’État.</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DC962" w14:textId="78668DF5" w:rsidR="00FA40E8" w:rsidRDefault="00E74AE8">
            <w:pPr>
              <w:pStyle w:val="P68B1DB1-Normal12"/>
              <w:spacing w:before="60" w:after="60"/>
              <w:rPr>
                <w:rFonts w:eastAsia="Times New Roman" w:cs="Times New Roman"/>
                <w:noProof/>
              </w:rPr>
            </w:pPr>
            <w:r>
              <w:rPr>
                <w:noProof/>
              </w:rPr>
              <w:t>Dispositions indiquant l’entrée en vigueur de deux méthodologies et de la loi sur la structure du budget</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8FE722" w14:textId="5B33F4AD"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A2DC38" w14:textId="2BF7C456"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E71427" w14:textId="5499D11A"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D04C5"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ACC2EC" w14:textId="77777777" w:rsidR="00FA40E8" w:rsidRDefault="00E74AE8">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BEAAE7" w14:textId="1160EA4A" w:rsidR="00FA40E8" w:rsidRDefault="00E74AE8">
            <w:pPr>
              <w:pStyle w:val="P68B1DB1-Normal12"/>
              <w:spacing w:before="60" w:after="60"/>
              <w:jc w:val="both"/>
              <w:rPr>
                <w:rFonts w:eastAsia="Times New Roman" w:cs="Times New Roman"/>
                <w:noProof/>
              </w:rPr>
            </w:pPr>
            <w:r>
              <w:rPr>
                <w:noProof/>
              </w:rPr>
              <w:t>Entrée en vigueur:</w:t>
            </w:r>
          </w:p>
          <w:p w14:paraId="23AF5196" w14:textId="04F6F526" w:rsidR="00FA40E8" w:rsidRDefault="00E74AE8">
            <w:pPr>
              <w:pStyle w:val="P68B1DB1-Normal12"/>
              <w:spacing w:before="60" w:after="60"/>
              <w:jc w:val="both"/>
              <w:rPr>
                <w:rFonts w:eastAsia="Times New Roman" w:cs="Times New Roman"/>
                <w:noProof/>
              </w:rPr>
            </w:pPr>
            <w:r>
              <w:rPr>
                <w:noProof/>
              </w:rPr>
              <w:t>— les modificati</w:t>
            </w:r>
            <w:r>
              <w:rPr>
                <w:noProof/>
              </w:rPr>
              <w:t>ons de la loi sur la structure budgétaire qui clarifient les règles de révision des budgets annuels;</w:t>
            </w:r>
          </w:p>
          <w:p w14:paraId="17D9B01A" w14:textId="77777777" w:rsidR="00FA40E8" w:rsidRDefault="00E74AE8">
            <w:pPr>
              <w:pStyle w:val="P68B1DB1-Normal12"/>
              <w:spacing w:before="60" w:after="60"/>
              <w:jc w:val="both"/>
              <w:rPr>
                <w:rFonts w:eastAsia="Times New Roman" w:cs="Times New Roman"/>
                <w:noProof/>
              </w:rPr>
            </w:pPr>
            <w:r>
              <w:rPr>
                <w:noProof/>
              </w:rPr>
              <w:t>— la méthodologie qui définit les procédures de budgétisation à moyen terme, dont les grands principes sont fixés dans la loi sur la structure du budget et</w:t>
            </w:r>
            <w:r>
              <w:rPr>
                <w:noProof/>
              </w:rPr>
              <w:t xml:space="preserve"> approuvés par une résolution du gouvernement;</w:t>
            </w:r>
          </w:p>
          <w:p w14:paraId="27B0F6C3" w14:textId="11275E1E" w:rsidR="00FA40E8" w:rsidRDefault="00E74AE8">
            <w:pPr>
              <w:pStyle w:val="P68B1DB1-Normal12"/>
              <w:spacing w:before="60" w:after="60"/>
              <w:jc w:val="both"/>
              <w:rPr>
                <w:rFonts w:eastAsia="Times New Roman" w:cs="Times New Roman"/>
                <w:noProof/>
              </w:rPr>
            </w:pPr>
            <w:r>
              <w:rPr>
                <w:noProof/>
              </w:rPr>
              <w:t>— la méthodologie qui fixe les procédures de calcul des dépenses de base approuvées par arrêté du ministre des finances.</w:t>
            </w:r>
          </w:p>
        </w:tc>
      </w:tr>
      <w:tr w:rsidR="00FA40E8" w14:paraId="5EF59672"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E7D28C" w14:textId="2542CD5C" w:rsidR="00FA40E8" w:rsidRDefault="00E74AE8">
            <w:pPr>
              <w:pStyle w:val="P68B1DB1-Normal12"/>
              <w:spacing w:before="60" w:after="60"/>
              <w:jc w:val="center"/>
              <w:rPr>
                <w:rFonts w:cs="Times New Roman"/>
                <w:noProof/>
                <w:highlight w:val="green"/>
              </w:rPr>
            </w:pPr>
            <w:r>
              <w:rPr>
                <w:noProof/>
              </w:rPr>
              <w:t>148a</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D21B95" w14:textId="7803B97B" w:rsidR="00FA40E8" w:rsidRDefault="00E74AE8">
            <w:pPr>
              <w:pStyle w:val="P68B1DB1-Normal12"/>
              <w:spacing w:before="60" w:after="60"/>
              <w:rPr>
                <w:noProof/>
              </w:rPr>
            </w:pPr>
            <w:r>
              <w:rPr>
                <w:noProof/>
              </w:rPr>
              <w:t xml:space="preserve">F.1.3. Viabilité à long terme et transparence du budget national — </w:t>
            </w:r>
          </w:p>
          <w:p w14:paraId="208545AA" w14:textId="32F096B3" w:rsidR="00FA40E8" w:rsidRDefault="00E74AE8">
            <w:pPr>
              <w:pStyle w:val="P68B1DB1-Normal12"/>
              <w:spacing w:before="60" w:after="60"/>
              <w:rPr>
                <w:rFonts w:cs="Times New Roman"/>
                <w:noProof/>
              </w:rPr>
            </w:pPr>
            <w:r>
              <w:rPr>
                <w:noProof/>
              </w:rPr>
              <w:t xml:space="preserve">F.1.3.1. Le </w:t>
            </w:r>
            <w:r>
              <w:rPr>
                <w:noProof/>
              </w:rPr>
              <w:t>cadre budgétaire à moyen terme</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CE4773" w14:textId="13CD4D38"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97E591" w14:textId="03766F53" w:rsidR="00FA40E8" w:rsidRDefault="00E74AE8">
            <w:pPr>
              <w:pStyle w:val="P68B1DB1-Normal12"/>
              <w:spacing w:before="60" w:after="60"/>
              <w:rPr>
                <w:rFonts w:cs="Times New Roman"/>
                <w:noProof/>
              </w:rPr>
            </w:pPr>
            <w:r>
              <w:rPr>
                <w:noProof/>
              </w:rPr>
              <w:t>Mise à disposition de l’outil du système d’information de gestion stratégique permettant d’automatiser la budgétisation à moyen terme</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4E9689" w14:textId="302EA57F" w:rsidR="00FA40E8" w:rsidRDefault="00E74AE8">
            <w:pPr>
              <w:pStyle w:val="P68B1DB1-Normal12"/>
              <w:spacing w:before="60" w:after="60"/>
              <w:rPr>
                <w:rFonts w:cs="Times New Roman"/>
                <w:noProof/>
              </w:rPr>
            </w:pPr>
            <w:r>
              <w:rPr>
                <w:noProof/>
              </w:rPr>
              <w:t>Mise à disposition de l’outil du système d’information de gestion stratégique permett</w:t>
            </w:r>
            <w:r>
              <w:rPr>
                <w:noProof/>
              </w:rPr>
              <w:t>ant d’automatiser la budgétisation à moyen terme.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F1DBB7" w14:textId="012762D2"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86BC12" w14:textId="3F78321D"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E9C80C" w14:textId="733E7E17"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AC2F1B" w14:textId="12814E37" w:rsidR="00FA40E8" w:rsidRDefault="00E74AE8">
            <w:pPr>
              <w:pStyle w:val="P68B1DB1-Normal12"/>
              <w:spacing w:before="60" w:after="60"/>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97E1E0" w14:textId="05A25911" w:rsidR="00FA40E8" w:rsidRDefault="00E74AE8">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C0F14B" w14:textId="733E6602" w:rsidR="00FA40E8" w:rsidRDefault="00E74AE8">
            <w:pPr>
              <w:pStyle w:val="P68B1DB1-Normal12"/>
              <w:spacing w:before="60" w:after="60"/>
              <w:jc w:val="both"/>
              <w:rPr>
                <w:rFonts w:cs="Times New Roman"/>
                <w:noProof/>
              </w:rPr>
            </w:pPr>
            <w:r>
              <w:rPr>
                <w:noProof/>
              </w:rPr>
              <w:t>Mise à disposition de l’outil de budgétisation à moyen terme dans le cadre du système d’information de gestion stratégique. Il permet l’automatisation de la budgétisation à moyen terme (y compris</w:t>
            </w:r>
            <w:r>
              <w:rPr>
                <w:noProof/>
              </w:rPr>
              <w:t xml:space="preserve"> le calcul des dépenses opérationnelles).</w:t>
            </w:r>
          </w:p>
        </w:tc>
      </w:tr>
      <w:tr w:rsidR="00FA40E8" w14:paraId="6A431AD4"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82D93A" w14:textId="77777777" w:rsidR="00FA40E8" w:rsidRDefault="00E74AE8">
            <w:pPr>
              <w:pStyle w:val="P68B1DB1-Normal12"/>
              <w:spacing w:before="60" w:after="60"/>
              <w:jc w:val="center"/>
              <w:rPr>
                <w:rFonts w:cs="Times New Roman"/>
                <w:noProof/>
              </w:rPr>
            </w:pPr>
            <w:r>
              <w:rPr>
                <w:noProof/>
              </w:rPr>
              <w:t>149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BD00AB" w14:textId="1DFA786B"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F.1.3. Viabilité à long terme et transparence du budget national — </w:t>
            </w:r>
          </w:p>
          <w:p w14:paraId="4CD44037" w14:textId="41EF9892"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F.1.3.1. Le cadre budgétaire à moyen terme</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B05606"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E0E810" w14:textId="59E21203" w:rsidR="00FA40E8" w:rsidRDefault="00E74AE8">
            <w:pPr>
              <w:pStyle w:val="P68B1DB1-Normal12"/>
              <w:spacing w:before="60" w:after="60"/>
              <w:rPr>
                <w:rFonts w:eastAsia="Times New Roman" w:cs="Times New Roman"/>
                <w:noProof/>
              </w:rPr>
            </w:pPr>
            <w:r>
              <w:rPr>
                <w:noProof/>
              </w:rPr>
              <w:t xml:space="preserve">Entrée en vigueur de la résolution du gouvernement approuvant le premier projet budgétaire </w:t>
            </w:r>
            <w:r>
              <w:rPr>
                <w:noProof/>
              </w:rPr>
              <w:t>détaillé à moyen terme pour la période comprise entre le 1 janvier 2025 et le 31 décembre 2027</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339D61" w14:textId="77777777" w:rsidR="00FA40E8" w:rsidRDefault="00E74AE8">
            <w:pPr>
              <w:pStyle w:val="P68B1DB1-Normal12"/>
              <w:spacing w:before="60" w:after="60"/>
              <w:rPr>
                <w:rFonts w:eastAsia="Times New Roman" w:cs="Times New Roman"/>
                <w:noProof/>
              </w:rPr>
            </w:pPr>
            <w:r>
              <w:rPr>
                <w:noProof/>
              </w:rPr>
              <w:t>Résolution du gouvernement approuvant le premier projet budgétaire détaillé à moyen terme pour la période comprise entre le 1 janvier 2025 et le 31 décembre 2027</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297DD6" w14:textId="347C1301"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D4E4A" w14:textId="1B695F5C"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4134AA" w14:textId="5C754F20"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8E380B" w14:textId="77777777" w:rsidR="00FA40E8" w:rsidRDefault="00E74AE8">
            <w:pPr>
              <w:pStyle w:val="P68B1DB1-Normal12"/>
              <w:spacing w:before="60" w:after="60"/>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08F97A" w14:textId="77777777" w:rsidR="00FA40E8" w:rsidRDefault="00E74AE8">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334DF9" w14:textId="014B3CA2" w:rsidR="00FA40E8" w:rsidRDefault="00E74AE8">
            <w:pPr>
              <w:pStyle w:val="P68B1DB1-Normal12"/>
              <w:spacing w:before="60" w:after="60"/>
              <w:jc w:val="both"/>
              <w:rPr>
                <w:rFonts w:eastAsia="Times New Roman" w:cs="Times New Roman"/>
                <w:noProof/>
              </w:rPr>
            </w:pPr>
            <w:r>
              <w:rPr>
                <w:noProof/>
              </w:rPr>
              <w:t>Le gouvernement approuve le premier projet budgétaire détaillé d’une durée de trois ans pour la période comprise entre le 1 janvier 2025 et le 31 décembre 2027. Le budget à moyen terme est conforme à la méthode de budgétisation à moyen terme ap</w:t>
            </w:r>
            <w:r>
              <w:rPr>
                <w:noProof/>
              </w:rPr>
              <w:t>prouvée.</w:t>
            </w:r>
          </w:p>
        </w:tc>
      </w:tr>
      <w:tr w:rsidR="00FA40E8" w14:paraId="32C61A85"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691AE6" w14:textId="22AB12A9" w:rsidR="00FA40E8" w:rsidRDefault="00E74AE8">
            <w:pPr>
              <w:pStyle w:val="P68B1DB1-Normal12"/>
              <w:spacing w:before="60" w:after="60"/>
              <w:jc w:val="center"/>
              <w:rPr>
                <w:rFonts w:cs="Times New Roman"/>
                <w:noProof/>
              </w:rPr>
            </w:pPr>
            <w:r>
              <w:rPr>
                <w:noProof/>
              </w:rPr>
              <w:t>150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89EB49" w14:textId="3C6CACA4"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F.1.3. Viabilité à long terme et transparence du budget national — </w:t>
            </w:r>
          </w:p>
          <w:p w14:paraId="7A39A1E6" w14:textId="2CEA674E"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F.1.3.2. Réexamens des dépenses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04E52D"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D8A320" w14:textId="77777777" w:rsidR="00FA40E8" w:rsidRDefault="00E74AE8">
            <w:pPr>
              <w:pStyle w:val="P68B1DB1-Normal12"/>
              <w:spacing w:before="60" w:after="60"/>
              <w:rPr>
                <w:rFonts w:eastAsia="Times New Roman" w:cs="Times New Roman"/>
                <w:noProof/>
              </w:rPr>
            </w:pPr>
            <w:r>
              <w:rPr>
                <w:noProof/>
              </w:rPr>
              <w:t xml:space="preserve">Achèvement de l’examen complet des dépenses budgétaires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F6C9CE" w14:textId="77777777" w:rsidR="00FA40E8" w:rsidRDefault="00E74AE8">
            <w:pPr>
              <w:pStyle w:val="P68B1DB1-Normal12"/>
              <w:spacing w:before="60" w:after="60"/>
              <w:rPr>
                <w:rFonts w:eastAsia="Times New Roman" w:cs="Times New Roman"/>
                <w:noProof/>
              </w:rPr>
            </w:pPr>
            <w:r>
              <w:rPr>
                <w:noProof/>
              </w:rPr>
              <w:t xml:space="preserve">Résultats de l’examen complet des dépenses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8D31B" w14:textId="381ACECC"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78287" w14:textId="59DAC094"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177F70" w14:textId="16F1EB40"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80B20B" w14:textId="2D974138" w:rsidR="00FA40E8" w:rsidRDefault="00E74AE8">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3B3F57" w14:textId="1EADDFD5" w:rsidR="00FA40E8" w:rsidRDefault="00E74AE8">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93B658" w14:textId="0B4FBC1F" w:rsidR="00FA40E8" w:rsidRDefault="00E74AE8">
            <w:pPr>
              <w:pStyle w:val="P68B1DB1-Normal12"/>
              <w:spacing w:before="60" w:after="60"/>
              <w:jc w:val="both"/>
              <w:rPr>
                <w:rFonts w:eastAsia="Times New Roman" w:cs="Times New Roman"/>
                <w:noProof/>
              </w:rPr>
            </w:pPr>
            <w:r>
              <w:rPr>
                <w:noProof/>
              </w:rPr>
              <w:t xml:space="preserve">Un concept d’examen complet des dépenses est approuvé par le gouvernement et mis en œuvre dans le cadre de l’examen complet proprement dit, y compris l’examen des données relatives à l’exécution du budget 2023. </w:t>
            </w:r>
          </w:p>
          <w:p w14:paraId="32F9C34C" w14:textId="4B0AB304" w:rsidR="00FA40E8" w:rsidRDefault="00E74AE8">
            <w:pPr>
              <w:pStyle w:val="P68B1DB1-Normal12"/>
              <w:spacing w:before="60" w:after="60"/>
              <w:jc w:val="both"/>
              <w:rPr>
                <w:rFonts w:eastAsia="Times New Roman" w:cs="Times New Roman"/>
                <w:noProof/>
              </w:rPr>
            </w:pPr>
            <w:r>
              <w:rPr>
                <w:noProof/>
              </w:rPr>
              <w:t>Les résultats du réexamen complet des dépens</w:t>
            </w:r>
            <w:r>
              <w:rPr>
                <w:noProof/>
              </w:rPr>
              <w:t>es sont rendus publics et alimentent l’élaboration des premiers budgets à moyen terme pour la période allant du 1 janvier 2025 au 31 décembre 2027.</w:t>
            </w:r>
          </w:p>
        </w:tc>
      </w:tr>
      <w:tr w:rsidR="00FA40E8" w14:paraId="33547A5D"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F426F9" w14:textId="77777777" w:rsidR="00FA40E8" w:rsidRDefault="00E74AE8">
            <w:pPr>
              <w:pStyle w:val="P68B1DB1-Normal12"/>
              <w:spacing w:before="60" w:after="60"/>
              <w:jc w:val="center"/>
              <w:rPr>
                <w:rFonts w:cs="Times New Roman"/>
                <w:noProof/>
              </w:rPr>
            </w:pPr>
            <w:r>
              <w:rPr>
                <w:noProof/>
              </w:rPr>
              <w:t>151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CB86BC" w14:textId="752E7540"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F.1.3. Viabilité à long terme et transparence du budget national — </w:t>
            </w:r>
          </w:p>
          <w:p w14:paraId="5DF3DA6B" w14:textId="3027D2B7"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F.1.3.3. Améliorer la structure des</w:t>
            </w:r>
            <w:r>
              <w:rPr>
                <w:rStyle w:val="normaltextrun"/>
                <w:rFonts w:ascii="Times New Roman" w:hAnsi="Times New Roman"/>
                <w:noProof/>
                <w:sz w:val="20"/>
              </w:rPr>
              <w:t xml:space="preserve"> recettes municipales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0F2A36"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D356AC" w14:textId="77777777" w:rsidR="00FA40E8" w:rsidRDefault="00E74AE8">
            <w:pPr>
              <w:pStyle w:val="P68B1DB1-Normal12"/>
              <w:spacing w:before="60" w:after="60"/>
              <w:rPr>
                <w:rFonts w:eastAsia="Times New Roman" w:cs="Times New Roman"/>
                <w:noProof/>
              </w:rPr>
            </w:pPr>
            <w:r>
              <w:rPr>
                <w:noProof/>
              </w:rPr>
              <w:t>Entrée en vigueur de la modification de la loi sur la méthodologie de détermination des recettes du budget municipal et publication des conclusions de la comparaison systématique des indicateurs budgétaires municipaux et de l’év</w:t>
            </w:r>
            <w:r>
              <w:rPr>
                <w:noProof/>
              </w:rPr>
              <w:t>aluation de la capacité des municipalités à lever des recettes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0E478" w14:textId="64543EF4" w:rsidR="00FA40E8" w:rsidRDefault="00E74AE8">
            <w:pPr>
              <w:pStyle w:val="P68B1DB1-Normal12"/>
              <w:spacing w:before="60" w:after="60"/>
              <w:rPr>
                <w:noProof/>
              </w:rPr>
            </w:pPr>
            <w:r>
              <w:rPr>
                <w:noProof/>
              </w:rPr>
              <w:t>Disposition de la loi modificative indiquant l’entrée en vigueur de la modification de la loi sur la méthodologie de détermination des recettes du budget municipal et la publication des conclus</w:t>
            </w:r>
            <w:r>
              <w:rPr>
                <w:noProof/>
              </w:rPr>
              <w:t>ions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399D39" w14:textId="1CFC88E6"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514E14" w14:textId="1775CB14"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2D1BD9" w14:textId="0CE710A2"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9231B8"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8A2A2D" w14:textId="77777777" w:rsidR="00FA40E8" w:rsidRDefault="00E74AE8">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80BB05" w14:textId="77777777" w:rsidR="00FA40E8" w:rsidRDefault="00E74AE8">
            <w:pPr>
              <w:pStyle w:val="P68B1DB1-Normal12"/>
              <w:spacing w:before="60" w:after="60"/>
              <w:jc w:val="both"/>
              <w:rPr>
                <w:rFonts w:cs="Times New Roman"/>
                <w:noProof/>
              </w:rPr>
            </w:pPr>
            <w:r>
              <w:rPr>
                <w:noProof/>
              </w:rPr>
              <w:t xml:space="preserve">Entrée en vigueur de la modification de la loi sur la méthodologie de détermination des recettes du budget municipal, qui améliorera la structure des recettes municipales. </w:t>
            </w:r>
          </w:p>
          <w:p w14:paraId="4D936AE9" w14:textId="77777777" w:rsidR="00FA40E8" w:rsidRDefault="00E74AE8">
            <w:pPr>
              <w:pStyle w:val="P68B1DB1-Normal12"/>
              <w:spacing w:before="60" w:after="60"/>
              <w:jc w:val="both"/>
              <w:rPr>
                <w:rFonts w:cs="Times New Roman"/>
                <w:noProof/>
              </w:rPr>
            </w:pPr>
            <w:r>
              <w:rPr>
                <w:noProof/>
              </w:rPr>
              <w:t>Les outils sont utilisés par le ministère des finances, qui permet:</w:t>
            </w:r>
          </w:p>
          <w:p w14:paraId="2B793A0C" w14:textId="77777777" w:rsidR="00FA40E8" w:rsidRDefault="00E74AE8">
            <w:pPr>
              <w:pStyle w:val="P68B1DB1-Normal12"/>
              <w:spacing w:before="60" w:after="60"/>
              <w:jc w:val="both"/>
              <w:rPr>
                <w:rFonts w:cs="Times New Roman"/>
                <w:noProof/>
              </w:rPr>
            </w:pPr>
            <w:r>
              <w:rPr>
                <w:noProof/>
              </w:rPr>
              <w:t>— une comparaison des indicateurs de recettes, de dépenses et de performance des municipalités;</w:t>
            </w:r>
          </w:p>
          <w:p w14:paraId="1C21E2BA" w14:textId="0CF0BB38" w:rsidR="00FA40E8" w:rsidRDefault="00E74AE8">
            <w:pPr>
              <w:pStyle w:val="P68B1DB1-Normal12"/>
              <w:spacing w:before="60" w:after="60"/>
              <w:jc w:val="both"/>
              <w:rPr>
                <w:rFonts w:cs="Times New Roman"/>
                <w:noProof/>
              </w:rPr>
            </w:pPr>
            <w:r>
              <w:rPr>
                <w:noProof/>
              </w:rPr>
              <w:t>— évaluation de la capacité à augmenter les recettes municipales.</w:t>
            </w:r>
          </w:p>
          <w:p w14:paraId="01F1C663" w14:textId="325C5B28" w:rsidR="00FA40E8" w:rsidRDefault="00E74AE8">
            <w:pPr>
              <w:pStyle w:val="P68B1DB1-Normal12"/>
              <w:spacing w:before="60" w:after="60"/>
              <w:jc w:val="both"/>
              <w:rPr>
                <w:rFonts w:eastAsia="Times New Roman" w:cs="Times New Roman"/>
                <w:noProof/>
              </w:rPr>
            </w:pPr>
            <w:r>
              <w:rPr>
                <w:noProof/>
              </w:rPr>
              <w:t xml:space="preserve">Les résultats de ces analyses sont publiés. </w:t>
            </w:r>
          </w:p>
        </w:tc>
      </w:tr>
      <w:tr w:rsidR="00FA40E8" w14:paraId="621EEE0E"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E716AE" w14:textId="77777777" w:rsidR="00FA40E8" w:rsidRDefault="00E74AE8">
            <w:pPr>
              <w:pStyle w:val="P68B1DB1-Normal12"/>
              <w:spacing w:before="60" w:after="60"/>
              <w:jc w:val="center"/>
              <w:rPr>
                <w:rFonts w:cs="Times New Roman"/>
                <w:noProof/>
              </w:rPr>
            </w:pPr>
            <w:r>
              <w:rPr>
                <w:noProof/>
              </w:rPr>
              <w:t>152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DCE8C8" w14:textId="01FB44A0"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F.1.3. Viabilité à long terme et transparence du budget national — </w:t>
            </w:r>
          </w:p>
          <w:p w14:paraId="1E5DFA56" w14:textId="12551A41"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F.1.3.4. Promouvoir les partenariats public-privé</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598904"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2BE438" w14:textId="45C1706E" w:rsidR="00FA40E8" w:rsidRDefault="00E74AE8">
            <w:pPr>
              <w:pStyle w:val="P68B1DB1-Normal12"/>
              <w:spacing w:before="60" w:after="60"/>
              <w:rPr>
                <w:rFonts w:cs="Times New Roman"/>
                <w:noProof/>
              </w:rPr>
            </w:pPr>
            <w:r>
              <w:rPr>
                <w:noProof/>
              </w:rPr>
              <w:t>Entrée en vigueur des modifications des règles relatives à la préparation et à la mise en œuvre des partenariats public-privé</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3F6CF4" w14:textId="42D58675" w:rsidR="00FA40E8" w:rsidRDefault="00E74AE8">
            <w:pPr>
              <w:pStyle w:val="P68B1DB1-Normal12"/>
              <w:spacing w:before="60" w:after="60"/>
              <w:rPr>
                <w:rFonts w:cs="Times New Roman"/>
                <w:noProof/>
              </w:rPr>
            </w:pPr>
            <w:r>
              <w:rPr>
                <w:noProof/>
              </w:rPr>
              <w:t>Dispos</w:t>
            </w:r>
            <w:r>
              <w:rPr>
                <w:noProof/>
              </w:rPr>
              <w:t>ition des règles modifiées relatives à la préparation et à la mise en œuvre des partenariats public-privé indiquant l’entrée en vigueur des modifications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43AC07" w14:textId="6F7E6070"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2B44C9" w14:textId="302DFE37"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FAAE5B" w14:textId="3516364D"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FFD165"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10DEBE" w14:textId="77777777" w:rsidR="00FA40E8" w:rsidRDefault="00E74AE8">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3DEAB3" w14:textId="77777777" w:rsidR="00FA40E8" w:rsidRDefault="00E74AE8">
            <w:pPr>
              <w:pStyle w:val="P68B1DB1-Normal12"/>
              <w:spacing w:before="60" w:after="60"/>
              <w:jc w:val="both"/>
              <w:rPr>
                <w:rFonts w:eastAsia="Times New Roman" w:cs="Times New Roman"/>
                <w:noProof/>
              </w:rPr>
            </w:pPr>
            <w:r>
              <w:rPr>
                <w:noProof/>
              </w:rPr>
              <w:t>Les règles modifiées relatives à la préparation et à la mise en œuvre des partenariats publ</w:t>
            </w:r>
            <w:r>
              <w:rPr>
                <w:noProof/>
              </w:rPr>
              <w:t>ic-privé:</w:t>
            </w:r>
          </w:p>
          <w:p w14:paraId="1561C067" w14:textId="77777777" w:rsidR="00FA40E8" w:rsidRDefault="00E74AE8">
            <w:pPr>
              <w:spacing w:before="60" w:after="60"/>
              <w:jc w:val="both"/>
              <w:rPr>
                <w:rFonts w:ascii="Times New Roman" w:hAnsi="Times New Roman" w:cs="Times New Roman"/>
                <w:noProof/>
                <w:sz w:val="20"/>
              </w:rPr>
            </w:pPr>
            <w:r>
              <w:rPr>
                <w:rFonts w:ascii="Times New Roman" w:hAnsi="Times New Roman"/>
                <w:noProof/>
                <w:sz w:val="20"/>
              </w:rPr>
              <w:t>— permettre le regroupement de projets d’investissement municipaux, ce qui les rendrait plus attrayants pour les investisseurs;</w:t>
            </w:r>
            <w:r>
              <w:rPr>
                <w:noProof/>
                <w:sz w:val="20"/>
              </w:rPr>
              <w:t xml:space="preserve"> </w:t>
            </w:r>
            <w:r>
              <w:rPr>
                <w:noProof/>
              </w:rPr>
              <w:br/>
            </w:r>
            <w:r>
              <w:rPr>
                <w:rFonts w:ascii="Times New Roman" w:hAnsi="Times New Roman"/>
                <w:noProof/>
                <w:sz w:val="20"/>
              </w:rPr>
              <w:t>— permettre aux municipalités de participer à des programmes de partenariat public-privé organisés par l’État, ce qui</w:t>
            </w:r>
            <w:r>
              <w:rPr>
                <w:rFonts w:ascii="Times New Roman" w:hAnsi="Times New Roman"/>
                <w:noProof/>
                <w:sz w:val="20"/>
              </w:rPr>
              <w:t xml:space="preserve"> devrait réduire les coûts administratifs.</w:t>
            </w:r>
          </w:p>
        </w:tc>
      </w:tr>
      <w:tr w:rsidR="00FA40E8" w14:paraId="11D82DBC"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9F8998" w14:textId="25330D30" w:rsidR="00FA40E8" w:rsidRDefault="00E74AE8">
            <w:pPr>
              <w:pStyle w:val="P68B1DB1-Normal12"/>
              <w:spacing w:before="60" w:after="60"/>
              <w:jc w:val="center"/>
              <w:rPr>
                <w:rFonts w:cs="Times New Roman"/>
                <w:noProof/>
              </w:rPr>
            </w:pPr>
            <w:r>
              <w:rPr>
                <w:noProof/>
              </w:rPr>
              <w:t>153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27E586" w14:textId="73766986"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F.1.3. Viabilité à long terme et transparence du budget national — </w:t>
            </w:r>
          </w:p>
          <w:p w14:paraId="1E6E6563" w14:textId="1F847276"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F.1.3.4. Promouvoir les partenariats public-privé</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34404A"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F2011" w14:textId="017781EB" w:rsidR="00FA40E8" w:rsidRDefault="00E74AE8">
            <w:pPr>
              <w:pStyle w:val="P68B1DB1-Normal12"/>
              <w:spacing w:before="60" w:after="60"/>
              <w:rPr>
                <w:rFonts w:cs="Times New Roman"/>
                <w:noProof/>
              </w:rPr>
            </w:pPr>
            <w:r>
              <w:rPr>
                <w:noProof/>
              </w:rPr>
              <w:t>Entrée en vigueur du paquet législatif établissant un cadre renforcé pour le recours</w:t>
            </w:r>
            <w:r>
              <w:rPr>
                <w:noProof/>
              </w:rPr>
              <w:t xml:space="preserve"> à des partenariats public-privé stratégiques et à long terme</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3E179F" w14:textId="77777777" w:rsidR="00FA40E8" w:rsidRDefault="00E74AE8">
            <w:pPr>
              <w:pStyle w:val="P68B1DB1-Normal12"/>
              <w:spacing w:before="60" w:after="60"/>
              <w:rPr>
                <w:rFonts w:eastAsia="Times New Roman" w:cs="Times New Roman"/>
                <w:noProof/>
              </w:rPr>
            </w:pPr>
            <w:r>
              <w:rPr>
                <w:noProof/>
              </w:rPr>
              <w:t>Dispositions indiquant l’entrée en vigueur des modifications:</w:t>
            </w:r>
          </w:p>
          <w:p w14:paraId="7758B470" w14:textId="77777777" w:rsidR="00FA40E8" w:rsidRDefault="00E74AE8">
            <w:pPr>
              <w:pStyle w:val="P68B1DB1-Normal12"/>
              <w:spacing w:before="60" w:after="60"/>
              <w:rPr>
                <w:rFonts w:eastAsia="Times New Roman" w:cs="Times New Roman"/>
                <w:noProof/>
              </w:rPr>
            </w:pPr>
            <w:r>
              <w:rPr>
                <w:noProof/>
              </w:rPr>
              <w:t>1) la loi sur les investissements,</w:t>
            </w:r>
          </w:p>
          <w:p w14:paraId="349A28B1" w14:textId="77777777" w:rsidR="00FA40E8" w:rsidRDefault="00E74AE8">
            <w:pPr>
              <w:pStyle w:val="P68B1DB1-Normal12"/>
              <w:spacing w:before="60" w:after="60"/>
              <w:rPr>
                <w:rFonts w:eastAsia="Times New Roman" w:cs="Times New Roman"/>
                <w:noProof/>
              </w:rPr>
            </w:pPr>
            <w:r>
              <w:rPr>
                <w:noProof/>
              </w:rPr>
              <w:t xml:space="preserve">2) la loi sur les concessions, </w:t>
            </w:r>
          </w:p>
          <w:p w14:paraId="59768BB1" w14:textId="77777777" w:rsidR="00FA40E8" w:rsidRDefault="00E74AE8">
            <w:pPr>
              <w:pStyle w:val="P68B1DB1-Normal12"/>
              <w:spacing w:before="60" w:after="60"/>
              <w:rPr>
                <w:rFonts w:eastAsia="Times New Roman" w:cs="Times New Roman"/>
                <w:noProof/>
              </w:rPr>
            </w:pPr>
            <w:r>
              <w:rPr>
                <w:noProof/>
              </w:rPr>
              <w:t>3) la loi sur le patrimoine de l’État et des municipalités et leu</w:t>
            </w:r>
            <w:r>
              <w:rPr>
                <w:noProof/>
              </w:rPr>
              <w:t>r directeur,</w:t>
            </w:r>
          </w:p>
          <w:p w14:paraId="18CCC198" w14:textId="30BA5E92" w:rsidR="00FA40E8" w:rsidRDefault="00E74AE8">
            <w:pPr>
              <w:pStyle w:val="P68B1DB1-Normal12"/>
              <w:spacing w:before="60" w:after="60"/>
              <w:rPr>
                <w:rFonts w:eastAsia="Times New Roman" w:cs="Times New Roman"/>
                <w:noProof/>
              </w:rPr>
            </w:pPr>
            <w:r>
              <w:rPr>
                <w:noProof/>
              </w:rPr>
              <w:t xml:space="preserve">4) les règles relatives à la préparation et à la mise en œuvre des partenariats public-privé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2BACD4" w14:textId="5C78F7AB"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91F4DD" w14:textId="589EBB01"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BB6CD" w14:textId="5E46AE6F"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0B242" w14:textId="77777777" w:rsidR="00FA40E8" w:rsidRDefault="00E74AE8">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D37B5F" w14:textId="1FC85219" w:rsidR="00FA40E8" w:rsidRDefault="00E74AE8">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2F526E" w14:textId="0A4B118A" w:rsidR="00FA40E8" w:rsidRDefault="00E74AE8">
            <w:pPr>
              <w:pStyle w:val="P68B1DB1-Normal12"/>
              <w:spacing w:before="60" w:after="60"/>
              <w:jc w:val="both"/>
              <w:rPr>
                <w:rFonts w:cs="Times New Roman"/>
                <w:noProof/>
              </w:rPr>
            </w:pPr>
            <w:r>
              <w:rPr>
                <w:noProof/>
              </w:rPr>
              <w:t>Le paquet législatif consistant en des modifications de la loi sur les investissements, de la loi sur les concessions, de la loi sur les a</w:t>
            </w:r>
            <w:r>
              <w:rPr>
                <w:noProof/>
              </w:rPr>
              <w:t xml:space="preserve">ctifs de l’État et des municipalités et leur gestion, ainsi que des règles relatives à la préparation et à la mise en œuvre des partenariats public-privé, se fonde sur les résultats d’une étude de faisabilité concernant les possibilités de mettre en œuvre </w:t>
            </w:r>
            <w:r>
              <w:rPr>
                <w:noProof/>
              </w:rPr>
              <w:t>des partenariats public-privé dans le domaine public et tient compte des limitations budgétaires.</w:t>
            </w:r>
          </w:p>
          <w:p w14:paraId="787A4F9A" w14:textId="77777777" w:rsidR="00FA40E8" w:rsidRDefault="00E74AE8">
            <w:pPr>
              <w:pStyle w:val="P68B1DB1-Normal12"/>
              <w:spacing w:before="60" w:after="60"/>
              <w:jc w:val="both"/>
              <w:rPr>
                <w:rFonts w:eastAsia="Times New Roman" w:cs="Times New Roman"/>
                <w:noProof/>
              </w:rPr>
            </w:pPr>
            <w:r>
              <w:rPr>
                <w:noProof/>
              </w:rPr>
              <w:t>L’entrée en vigueur du paquet législatif:</w:t>
            </w:r>
          </w:p>
          <w:p w14:paraId="074CBAB7" w14:textId="50D9EBD5" w:rsidR="00FA40E8" w:rsidRDefault="00E74AE8">
            <w:pPr>
              <w:pStyle w:val="P68B1DB1-Normal12"/>
              <w:spacing w:before="60" w:after="60"/>
              <w:jc w:val="both"/>
              <w:rPr>
                <w:rFonts w:eastAsia="Times New Roman" w:cs="Times New Roman"/>
                <w:noProof/>
              </w:rPr>
            </w:pPr>
            <w:r>
              <w:rPr>
                <w:noProof/>
              </w:rPr>
              <w:t>— permettre la mise en œuvre de partenariats public-privé dans les domaines les plus importants d’un point de vue st</w:t>
            </w:r>
            <w:r>
              <w:rPr>
                <w:noProof/>
              </w:rPr>
              <w:t>ratégique, tels que l’efficacité énergétique, les sources d’énergie renouvelables, les transports durables et les domaines où les besoins d’investissement sont les plus importants, tels que la justice, l’ordre public et la sécurité publique;</w:t>
            </w:r>
          </w:p>
          <w:p w14:paraId="25A3A405" w14:textId="5339360D" w:rsidR="00FA40E8" w:rsidRDefault="00E74AE8">
            <w:pPr>
              <w:pStyle w:val="P68B1DB1-Normal12"/>
              <w:spacing w:before="60" w:after="60"/>
              <w:jc w:val="both"/>
              <w:rPr>
                <w:rFonts w:cs="Times New Roman"/>
                <w:noProof/>
              </w:rPr>
            </w:pPr>
            <w:r>
              <w:rPr>
                <w:noProof/>
              </w:rPr>
              <w:t>— contribuer à</w:t>
            </w:r>
            <w:r>
              <w:rPr>
                <w:noProof/>
              </w:rPr>
              <w:t xml:space="preserve"> attirer des investisseurs privés vers des projets publics en fournissant des plans d’investissement durables à long terme et en élaborant des mécanismes équilibrés et mutuellement bénéfiques de répartition des risques.</w:t>
            </w:r>
          </w:p>
        </w:tc>
      </w:tr>
      <w:tr w:rsidR="00FA40E8" w14:paraId="36D01C0D"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5F3793" w14:textId="03454E41" w:rsidR="00FA40E8" w:rsidRDefault="00E74AE8">
            <w:pPr>
              <w:pStyle w:val="P68B1DB1-Normal12"/>
              <w:spacing w:before="60" w:after="60"/>
              <w:jc w:val="center"/>
              <w:rPr>
                <w:rFonts w:cs="Times New Roman"/>
                <w:noProof/>
              </w:rPr>
            </w:pPr>
            <w:r>
              <w:rPr>
                <w:noProof/>
              </w:rPr>
              <w:t>154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A864D9" w14:textId="7A9A56E7"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F.1.3. Viabilité à long terme et transparence du budget national — </w:t>
            </w:r>
          </w:p>
          <w:p w14:paraId="38E3D7AC" w14:textId="20BB39E2"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F.1.3.5. Consolidation des institutions nationales de développement</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D5B016"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D10438" w14:textId="68664248" w:rsidR="00FA40E8" w:rsidRDefault="00E74AE8">
            <w:pPr>
              <w:pStyle w:val="P68B1DB1-Normal12"/>
              <w:spacing w:before="60" w:after="60"/>
              <w:rPr>
                <w:rFonts w:eastAsia="Times New Roman" w:cs="Times New Roman"/>
                <w:noProof/>
              </w:rPr>
            </w:pPr>
            <w:r>
              <w:rPr>
                <w:noProof/>
              </w:rPr>
              <w:t>Entrée en vigueur de la résolution du gouvernement supprimant le statut d’institution nationale de développement p</w:t>
            </w:r>
            <w:r>
              <w:rPr>
                <w:noProof/>
              </w:rPr>
              <w:t>our trois institutions et le laissant à une seule institution</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9BDC72" w14:textId="3609BF0A" w:rsidR="00FA40E8" w:rsidRDefault="00E74AE8">
            <w:pPr>
              <w:pStyle w:val="P68B1DB1-Normal12"/>
              <w:spacing w:before="60" w:after="60"/>
              <w:rPr>
                <w:rFonts w:eastAsia="Times New Roman" w:cs="Times New Roman"/>
                <w:noProof/>
              </w:rPr>
            </w:pPr>
            <w:r>
              <w:rPr>
                <w:noProof/>
              </w:rPr>
              <w:t>Résolution du gouvernement supprimant le statut des institutions nationales de développement pour trois institutions et le laissant à une seule institution</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64BDE2" w14:textId="1ADD464A"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D550FC" w14:textId="6165D65B"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908AC5" w14:textId="749A601B"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287C64" w14:textId="77777777" w:rsidR="00FA40E8" w:rsidRDefault="00E74AE8">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38AD1E" w14:textId="77777777" w:rsidR="00FA40E8" w:rsidRDefault="00E74AE8">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5638DB" w14:textId="436FB300" w:rsidR="00FA40E8" w:rsidRDefault="00E74AE8">
            <w:pPr>
              <w:pStyle w:val="P68B1DB1-Normal12"/>
              <w:spacing w:before="60" w:after="60"/>
              <w:jc w:val="both"/>
              <w:rPr>
                <w:rFonts w:cs="Times New Roman"/>
                <w:noProof/>
              </w:rPr>
            </w:pPr>
            <w:r>
              <w:rPr>
                <w:noProof/>
              </w:rPr>
              <w:t>Entrée en vigueur de la rés</w:t>
            </w:r>
            <w:r>
              <w:rPr>
                <w:noProof/>
              </w:rPr>
              <w:t>olution du gouvernement supprimant le statut des institutions nationales de développement pour trois institutions (agence nationale de gestion des investissements, agence publique de développement des investissements et fonds de garantie des crédits agrico</w:t>
            </w:r>
            <w:r>
              <w:rPr>
                <w:noProof/>
              </w:rPr>
              <w:t xml:space="preserve">les) et le laissant pour une institution (INVEGA). L’objectif de la seule institution restante ayant le statut d’institution nationale de développement est de concentrer les connaissances et les compétences au sein d’une institution nationale de promotion </w:t>
            </w:r>
            <w:r>
              <w:rPr>
                <w:noProof/>
              </w:rPr>
              <w:t>forte, d’unifier et d’optimiser les pratiques opérationnelles des institutions nationales de promotion et la gestion des fonds, de créer les conditions préalables pour attirer les investisseurs institutionnels, de renforcer le partenariat public-privé et d</w:t>
            </w:r>
            <w:r>
              <w:rPr>
                <w:noProof/>
              </w:rPr>
              <w:t>’accroître durablement l’offre d’instruments financiers pour financer des projets financièrement viables.</w:t>
            </w:r>
          </w:p>
        </w:tc>
      </w:tr>
      <w:tr w:rsidR="00FA40E8" w14:paraId="7ED74FA0"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733A90" w14:textId="70122BAF" w:rsidR="00FA40E8" w:rsidRDefault="00E74AE8">
            <w:pPr>
              <w:pStyle w:val="P68B1DB1-Normal12"/>
              <w:spacing w:before="60" w:after="60"/>
              <w:jc w:val="center"/>
              <w:rPr>
                <w:noProof/>
              </w:rPr>
            </w:pPr>
            <w:r>
              <w:rPr>
                <w:noProof/>
              </w:rPr>
              <w:t>154a</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6F5A99" w14:textId="6E3D6B19" w:rsidR="00FA40E8" w:rsidRDefault="00E74AE8">
            <w:pPr>
              <w:spacing w:before="60" w:after="60"/>
              <w:rPr>
                <w:rStyle w:val="normaltextrun"/>
                <w:rFonts w:ascii="Times New Roman" w:hAnsi="Times New Roman"/>
                <w:noProof/>
                <w:sz w:val="20"/>
              </w:rPr>
            </w:pPr>
            <w:r>
              <w:rPr>
                <w:rStyle w:val="normaltextrun"/>
                <w:rFonts w:ascii="Times New Roman" w:hAnsi="Times New Roman"/>
                <w:noProof/>
                <w:sz w:val="20"/>
              </w:rPr>
              <w:t xml:space="preserve">F.1.3. Viabilité à long terme et transparence du budget national — </w:t>
            </w:r>
          </w:p>
          <w:p w14:paraId="0F9A889F" w14:textId="0E04CE69" w:rsidR="00FA40E8" w:rsidRDefault="00E74AE8">
            <w:pPr>
              <w:spacing w:before="60" w:after="60"/>
              <w:rPr>
                <w:rStyle w:val="normaltextrun"/>
                <w:rFonts w:ascii="Times New Roman" w:hAnsi="Times New Roman"/>
                <w:noProof/>
                <w:sz w:val="20"/>
              </w:rPr>
            </w:pPr>
            <w:r>
              <w:rPr>
                <w:rStyle w:val="normaltextrun"/>
                <w:rFonts w:ascii="Times New Roman" w:hAnsi="Times New Roman"/>
                <w:noProof/>
                <w:sz w:val="20"/>
              </w:rPr>
              <w:t>F.1.3.5. Consolidation des institutions nationales de développement</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77FB3A" w14:textId="1A7863E1" w:rsidR="00FA40E8" w:rsidRDefault="00E74AE8">
            <w:pPr>
              <w:pStyle w:val="P68B1DB1-Normal12"/>
              <w:spacing w:before="60" w:after="60"/>
              <w:jc w:val="center"/>
              <w:rPr>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EDB424" w14:textId="03534E64" w:rsidR="00FA40E8" w:rsidRDefault="00E74AE8">
            <w:pPr>
              <w:pStyle w:val="P68B1DB1-Normal12"/>
              <w:spacing w:before="60" w:after="60"/>
              <w:rPr>
                <w:noProof/>
              </w:rPr>
            </w:pPr>
            <w:r>
              <w:rPr>
                <w:noProof/>
              </w:rPr>
              <w:t>Politique d’investissement</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249B46" w14:textId="710B040E" w:rsidR="00FA40E8" w:rsidRDefault="00E74AE8">
            <w:pPr>
              <w:pStyle w:val="P68B1DB1-Normal12"/>
              <w:spacing w:before="60" w:after="60"/>
              <w:rPr>
                <w:noProof/>
              </w:rPr>
            </w:pPr>
            <w:r>
              <w:rPr>
                <w:noProof/>
              </w:rPr>
              <w:t>Modification d’une politique d’investissement</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65B03C" w14:textId="77777777"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26C58A" w14:textId="77777777"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750D82" w14:textId="77777777"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940DEA" w14:textId="1BC8F042" w:rsidR="00FA40E8" w:rsidRDefault="00E74AE8">
            <w:pPr>
              <w:pStyle w:val="P68B1DB1-Normal12"/>
              <w:spacing w:before="60" w:after="60"/>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E6B41C" w14:textId="6139B3C1" w:rsidR="00FA40E8" w:rsidRDefault="00E74AE8">
            <w:pPr>
              <w:pStyle w:val="P68B1DB1-Normal12"/>
              <w:spacing w:before="60" w:after="60"/>
              <w:jc w:val="center"/>
              <w:rPr>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F5A51D" w14:textId="586E12B3" w:rsidR="00FA40E8" w:rsidRDefault="00E74AE8">
            <w:pPr>
              <w:pStyle w:val="P68B1DB1-Normal13"/>
              <w:spacing w:after="0" w:line="240" w:lineRule="auto"/>
              <w:jc w:val="both"/>
              <w:rPr>
                <w:noProof/>
              </w:rPr>
            </w:pPr>
            <w:r>
              <w:rPr>
                <w:noProof/>
              </w:rPr>
              <w:t>Modification de la politique d’investissement d’ILTE pour l’utilisation des fonds propres supplémentaires.</w:t>
            </w:r>
          </w:p>
          <w:p w14:paraId="410BBBD8" w14:textId="46B19BAD" w:rsidR="00FA40E8" w:rsidRDefault="00E74AE8">
            <w:pPr>
              <w:pStyle w:val="EndnoteText"/>
              <w:jc w:val="both"/>
              <w:rPr>
                <w:rFonts w:ascii="Times New Roman" w:eastAsia="Times New Roman" w:hAnsi="Times New Roman" w:cs="Times New Roman"/>
                <w:noProof/>
              </w:rPr>
            </w:pPr>
            <w:r>
              <w:rPr>
                <w:rFonts w:ascii="Times New Roman" w:hAnsi="Times New Roman"/>
                <w:noProof/>
              </w:rPr>
              <w:t xml:space="preserve">La politique d’investissement veille à ce que 78 901 216 EUR des </w:t>
            </w:r>
            <w:r>
              <w:rPr>
                <w:rFonts w:ascii="Times New Roman" w:hAnsi="Times New Roman"/>
                <w:noProof/>
              </w:rPr>
              <w:t xml:space="preserve">fonds propres supplémentaires soient consacrés au soutien des investissements verts stratégiques, alignés sur les domaines d’intervention auxquels un coefficient climatique de 100 % est attribué au titre de l’annexe VI du règlement (UE) 2021/241, ce qui </w:t>
            </w:r>
            <w:bookmarkStart w:id="14" w:name="_Hlk211363584"/>
            <w:r>
              <w:rPr>
                <w:rFonts w:ascii="Times New Roman" w:hAnsi="Times New Roman"/>
                <w:noProof/>
              </w:rPr>
              <w:t>pe</w:t>
            </w:r>
            <w:r>
              <w:rPr>
                <w:rFonts w:ascii="Times New Roman" w:hAnsi="Times New Roman"/>
                <w:noProof/>
              </w:rPr>
              <w:t>ut inclure, sans s’y limiter, le soutien à</w:t>
            </w:r>
            <w:bookmarkEnd w:id="14"/>
            <w:r>
              <w:rPr>
                <w:rFonts w:ascii="Times New Roman" w:hAnsi="Times New Roman"/>
                <w:noProof/>
              </w:rPr>
              <w:t xml:space="preserve"> de nouvelles capacités de:</w:t>
            </w:r>
          </w:p>
          <w:p w14:paraId="0F64D831" w14:textId="6BD32C3E" w:rsidR="00FA40E8" w:rsidRDefault="00E74AE8">
            <w:pPr>
              <w:pStyle w:val="P68B1DB1-ListParagraph20"/>
              <w:numPr>
                <w:ilvl w:val="0"/>
                <w:numId w:val="114"/>
              </w:numPr>
              <w:spacing w:after="0" w:line="240" w:lineRule="auto"/>
              <w:ind w:left="335" w:hanging="320"/>
              <w:jc w:val="both"/>
              <w:rPr>
                <w:noProof/>
              </w:rPr>
            </w:pPr>
            <w:r>
              <w:rPr>
                <w:noProof/>
              </w:rPr>
              <w:t>la rénovation énergétique du parc immobilier existant, les projets de démonstration et les mesures de soutien conformes aux critères d’efficacité énergétique (025 bis), ou</w:t>
            </w:r>
          </w:p>
          <w:p w14:paraId="0003F016" w14:textId="70414A93" w:rsidR="00FA40E8" w:rsidRDefault="00E74AE8">
            <w:pPr>
              <w:pStyle w:val="P68B1DB1-ListParagraph20"/>
              <w:numPr>
                <w:ilvl w:val="0"/>
                <w:numId w:val="114"/>
              </w:numPr>
              <w:spacing w:after="0" w:line="240" w:lineRule="auto"/>
              <w:ind w:left="335" w:hanging="320"/>
              <w:jc w:val="both"/>
              <w:rPr>
                <w:noProof/>
              </w:rPr>
            </w:pPr>
            <w:r>
              <w:rPr>
                <w:noProof/>
              </w:rPr>
              <w:t xml:space="preserve">la rénovation </w:t>
            </w:r>
            <w:r>
              <w:rPr>
                <w:noProof/>
              </w:rPr>
              <w:t>en matière d’efficacité énergétique ou les mesures d’efficacité énergétique concernant les infrastructures publiques, les projets de démonstration et les mesures de soutien conformes aux critères d’efficacité énergétique (026 bis); ou</w:t>
            </w:r>
          </w:p>
          <w:p w14:paraId="50A87E0E" w14:textId="7CC85208" w:rsidR="00FA40E8" w:rsidRDefault="00E74AE8">
            <w:pPr>
              <w:pStyle w:val="P68B1DB1-ListParagraph20"/>
              <w:numPr>
                <w:ilvl w:val="0"/>
                <w:numId w:val="114"/>
              </w:numPr>
              <w:spacing w:after="0" w:line="240" w:lineRule="auto"/>
              <w:ind w:left="335" w:hanging="320"/>
              <w:jc w:val="both"/>
              <w:rPr>
                <w:noProof/>
              </w:rPr>
            </w:pPr>
            <w:r>
              <w:rPr>
                <w:noProof/>
              </w:rPr>
              <w:t xml:space="preserve">processus de </w:t>
            </w:r>
            <w:r>
              <w:rPr>
                <w:noProof/>
              </w:rPr>
              <w:t>recherche et d’innovation, transfert de technologies et coopération entre entreprises axés sur l’économie à faible intensité de carbone, la résilience et l’adaptation au changement climatique (022) ou;</w:t>
            </w:r>
          </w:p>
          <w:p w14:paraId="4DB2B714" w14:textId="5ECF680B" w:rsidR="00FA40E8" w:rsidRDefault="00E74AE8">
            <w:pPr>
              <w:pStyle w:val="P68B1DB1-ListParagraph20"/>
              <w:numPr>
                <w:ilvl w:val="0"/>
                <w:numId w:val="114"/>
              </w:numPr>
              <w:spacing w:after="0" w:line="240" w:lineRule="auto"/>
              <w:ind w:left="335" w:hanging="320"/>
              <w:jc w:val="both"/>
              <w:rPr>
                <w:noProof/>
              </w:rPr>
            </w:pPr>
            <w:r>
              <w:rPr>
                <w:noProof/>
              </w:rPr>
              <w:t>énergies renouvelables: vent (028) ou;</w:t>
            </w:r>
          </w:p>
          <w:p w14:paraId="2A985171" w14:textId="26AE037B" w:rsidR="00FA40E8" w:rsidRDefault="00E74AE8">
            <w:pPr>
              <w:pStyle w:val="P68B1DB1-ListParagraph20"/>
              <w:numPr>
                <w:ilvl w:val="0"/>
                <w:numId w:val="114"/>
              </w:numPr>
              <w:spacing w:after="0" w:line="240" w:lineRule="auto"/>
              <w:ind w:left="335" w:hanging="320"/>
              <w:jc w:val="both"/>
              <w:rPr>
                <w:noProof/>
              </w:rPr>
            </w:pPr>
            <w:r>
              <w:rPr>
                <w:noProof/>
              </w:rPr>
              <w:t>énergies renouv</w:t>
            </w:r>
            <w:r>
              <w:rPr>
                <w:noProof/>
              </w:rPr>
              <w:t>elables: solaire (029).</w:t>
            </w:r>
          </w:p>
        </w:tc>
      </w:tr>
      <w:tr w:rsidR="00FA40E8" w14:paraId="14F4EC60"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2D8A69" w14:textId="31F9DCCA" w:rsidR="00FA40E8" w:rsidRDefault="00E74AE8">
            <w:pPr>
              <w:pStyle w:val="P68B1DB1-Normal12"/>
              <w:spacing w:before="60" w:after="60"/>
              <w:jc w:val="center"/>
              <w:rPr>
                <w:noProof/>
              </w:rPr>
            </w:pPr>
            <w:r>
              <w:rPr>
                <w:noProof/>
              </w:rPr>
              <w:t>154b</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7D8DC6" w14:textId="5021EA1D" w:rsidR="00FA40E8" w:rsidRDefault="00E74AE8">
            <w:pPr>
              <w:spacing w:before="60" w:after="60"/>
              <w:rPr>
                <w:rStyle w:val="normaltextrun"/>
                <w:rFonts w:ascii="Times New Roman" w:hAnsi="Times New Roman"/>
                <w:noProof/>
                <w:sz w:val="20"/>
              </w:rPr>
            </w:pPr>
            <w:r>
              <w:rPr>
                <w:rStyle w:val="normaltextrun"/>
                <w:rFonts w:ascii="Times New Roman" w:hAnsi="Times New Roman"/>
                <w:noProof/>
                <w:sz w:val="20"/>
              </w:rPr>
              <w:t xml:space="preserve">F.1.3. Viabilité à long terme et transparence du budget national — </w:t>
            </w:r>
          </w:p>
          <w:p w14:paraId="5D23B49C" w14:textId="4542888E" w:rsidR="00FA40E8" w:rsidRDefault="00E74AE8">
            <w:pPr>
              <w:spacing w:before="60" w:after="60"/>
              <w:rPr>
                <w:rStyle w:val="normaltextrun"/>
                <w:rFonts w:ascii="Times New Roman" w:hAnsi="Times New Roman"/>
                <w:noProof/>
                <w:sz w:val="20"/>
              </w:rPr>
            </w:pPr>
            <w:r>
              <w:rPr>
                <w:rStyle w:val="normaltextrun"/>
                <w:rFonts w:ascii="Times New Roman" w:hAnsi="Times New Roman"/>
                <w:noProof/>
                <w:sz w:val="20"/>
              </w:rPr>
              <w:t>F.1.3.5. Consolidation des institutions nationales de développement</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D4B60A" w14:textId="207AC1B8" w:rsidR="00FA40E8" w:rsidRDefault="00E74AE8">
            <w:pPr>
              <w:pStyle w:val="P68B1DB1-Normal12"/>
              <w:spacing w:before="60" w:after="60"/>
              <w:jc w:val="center"/>
              <w:rPr>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5870A8" w14:textId="7852ED3D" w:rsidR="00FA40E8" w:rsidRDefault="00E74AE8">
            <w:pPr>
              <w:pStyle w:val="P68B1DB1-Normal12"/>
              <w:spacing w:before="60" w:after="60"/>
              <w:rPr>
                <w:noProof/>
              </w:rPr>
            </w:pPr>
            <w:r>
              <w:rPr>
                <w:noProof/>
              </w:rPr>
              <w:t>Injection de fonds propres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E69A65" w14:textId="3838F5AC" w:rsidR="00FA40E8" w:rsidRDefault="00E74AE8">
            <w:pPr>
              <w:pStyle w:val="P68B1DB1-Normal12"/>
              <w:spacing w:before="60" w:after="60"/>
              <w:rPr>
                <w:noProof/>
              </w:rPr>
            </w:pPr>
            <w:r>
              <w:rPr>
                <w:noProof/>
              </w:rPr>
              <w:t>Certificat de transfert</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E0BD3" w14:textId="77777777"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D896AA" w14:textId="77777777"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18B8B9" w14:textId="77777777"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735732" w14:textId="68FA588F" w:rsidR="00FA40E8" w:rsidRDefault="00E74AE8">
            <w:pPr>
              <w:pStyle w:val="P68B1DB1-Normal12"/>
              <w:spacing w:before="60" w:after="60"/>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4BF4D" w14:textId="47412052" w:rsidR="00FA40E8" w:rsidRDefault="00E74AE8">
            <w:pPr>
              <w:pStyle w:val="P68B1DB1-Normal12"/>
              <w:spacing w:before="60" w:after="60"/>
              <w:jc w:val="center"/>
              <w:rPr>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7AE836" w14:textId="172506EB" w:rsidR="00FA40E8" w:rsidRDefault="00E74AE8">
            <w:pPr>
              <w:pStyle w:val="P68B1DB1-Normal12"/>
              <w:spacing w:line="240" w:lineRule="auto"/>
              <w:jc w:val="both"/>
              <w:rPr>
                <w:rFonts w:eastAsia="Times New Roman" w:cs="Times New Roman"/>
                <w:noProof/>
              </w:rPr>
            </w:pPr>
            <w:r>
              <w:rPr>
                <w:noProof/>
              </w:rPr>
              <w:t xml:space="preserve">La Lituanie transfère </w:t>
            </w:r>
            <w:r>
              <w:rPr>
                <w:noProof/>
              </w:rPr>
              <w:t>78 901 216 EUR à ILTE pour augmenter ses fonds propres.</w:t>
            </w:r>
          </w:p>
          <w:p w14:paraId="218BD846" w14:textId="3F670CC4" w:rsidR="00FA40E8" w:rsidRDefault="00E74AE8">
            <w:pPr>
              <w:pStyle w:val="P68B1DB1-Normal13"/>
              <w:spacing w:before="60" w:after="60"/>
              <w:jc w:val="both"/>
              <w:rPr>
                <w:noProof/>
              </w:rPr>
            </w:pPr>
            <w:r>
              <w:rPr>
                <w:noProof/>
              </w:rPr>
              <w:t xml:space="preserve">Outre l’injection de fonds propres dans l’ILTE, qui constitue l’investissement au titre de la FRR, la Lituanie transmet un rapport décrivant les mesures prises par l’ILTE au plus tard le 31 août 2026 </w:t>
            </w:r>
            <w:r>
              <w:rPr>
                <w:noProof/>
              </w:rPr>
              <w:t xml:space="preserve">pour mettre en œuvre la politique d’investissement, y compris les mesures prises pour la mise en œuvre des produits financiers que les fonds propres supplémentaires devraient initialement soutenir, ainsi que les mesures attendues à prendre pour poursuivre </w:t>
            </w:r>
            <w:r>
              <w:rPr>
                <w:noProof/>
              </w:rPr>
              <w:t>l’exécution de ces produits.</w:t>
            </w:r>
          </w:p>
        </w:tc>
      </w:tr>
      <w:tr w:rsidR="00FA40E8" w14:paraId="23F27E4D"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D0E72D" w14:textId="77777777" w:rsidR="00FA40E8" w:rsidRDefault="00E74AE8">
            <w:pPr>
              <w:pStyle w:val="P68B1DB1-Normal12"/>
              <w:spacing w:before="60" w:after="60"/>
              <w:jc w:val="center"/>
              <w:rPr>
                <w:rFonts w:cs="Times New Roman"/>
                <w:noProof/>
              </w:rPr>
            </w:pPr>
            <w:r>
              <w:rPr>
                <w:noProof/>
              </w:rPr>
              <w:t>155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61C706" w14:textId="60530D12" w:rsidR="00FA40E8" w:rsidRDefault="00E74AE8">
            <w:pPr>
              <w:pStyle w:val="P68B1DB1-Normal12"/>
              <w:spacing w:before="60" w:after="60"/>
              <w:rPr>
                <w:noProof/>
              </w:rPr>
            </w:pPr>
            <w:r>
              <w:rPr>
                <w:noProof/>
              </w:rPr>
              <w:t xml:space="preserve">F.1.4. Améliorer le respect des obligations fiscales — </w:t>
            </w:r>
          </w:p>
          <w:p w14:paraId="31419BFD" w14:textId="5340F773"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F.1.4.1. Plus de transparence dans le commerce des véhicules d’occasion</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0A0F4E"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F9E75F" w14:textId="77777777" w:rsidR="00FA40E8" w:rsidRDefault="00E74AE8">
            <w:pPr>
              <w:pStyle w:val="P68B1DB1-Normal12"/>
              <w:spacing w:before="60" w:after="60"/>
              <w:rPr>
                <w:rFonts w:eastAsia="Times New Roman" w:cs="Times New Roman"/>
                <w:noProof/>
              </w:rPr>
            </w:pPr>
            <w:r>
              <w:rPr>
                <w:noProof/>
              </w:rPr>
              <w:t xml:space="preserve">L’inspection nationale des impôts et les douanes obtiennent des données sur les </w:t>
            </w:r>
            <w:r>
              <w:rPr>
                <w:noProof/>
              </w:rPr>
              <w:t>propriétaires de véhicules auprès du système comptable des propriétaires de véhicules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2DFEA8" w14:textId="77777777" w:rsidR="00FA40E8" w:rsidRDefault="00E74AE8">
            <w:pPr>
              <w:pStyle w:val="P68B1DB1-Normal12"/>
              <w:spacing w:before="60" w:after="60"/>
              <w:rPr>
                <w:rFonts w:cs="Times New Roman"/>
                <w:noProof/>
              </w:rPr>
            </w:pPr>
            <w:r>
              <w:rPr>
                <w:noProof/>
              </w:rPr>
              <w:t>L’inspection nationale des impôts et les douanes ont accès aux données sur les propriétaires de véhicules provenant du système comptable des propriétaires de véhicules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8F3006" w14:textId="7B64B0E9"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322A7A" w14:textId="2B6C78D8"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44B0F" w14:textId="35DE4792"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1055E3"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BBE4B2" w14:textId="77777777" w:rsidR="00FA40E8" w:rsidRDefault="00E74AE8">
            <w:pPr>
              <w:pStyle w:val="P68B1DB1-Normal12"/>
              <w:spacing w:before="60" w:after="60"/>
              <w:jc w:val="center"/>
              <w:rPr>
                <w:rFonts w:cs="Times New Roman"/>
                <w:noProof/>
              </w:rPr>
            </w:pPr>
            <w:r>
              <w:rPr>
                <w:noProof/>
              </w:rPr>
              <w:t>2021</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4144A0" w14:textId="77777777" w:rsidR="00FA40E8" w:rsidRDefault="00E74AE8">
            <w:pPr>
              <w:pStyle w:val="P68B1DB1-Normal12"/>
              <w:spacing w:before="60" w:after="60"/>
              <w:jc w:val="both"/>
              <w:rPr>
                <w:rFonts w:eastAsia="Times New Roman" w:cs="Times New Roman"/>
                <w:noProof/>
              </w:rPr>
            </w:pPr>
            <w:r>
              <w:rPr>
                <w:noProof/>
              </w:rPr>
              <w:t xml:space="preserve">Avec l’entrée en vigueur des modifications apportées à la loi sur la sécurité routière et à ses dispositions d’application, un système de comptabilité des propriétaires de véhicules a été mis en place afin d’identifier les véritables (revendeurs) </w:t>
            </w:r>
            <w:r>
              <w:rPr>
                <w:noProof/>
              </w:rPr>
              <w:t>et propriétaires de véhicules et de garantir le respect de leurs obligations fiscales. L’accès aux données du système comptable des propriétaires de véhicules a été garanti.</w:t>
            </w:r>
          </w:p>
        </w:tc>
      </w:tr>
      <w:tr w:rsidR="00FA40E8" w14:paraId="681455A2"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E41116" w14:textId="77777777" w:rsidR="00FA40E8" w:rsidRDefault="00E74AE8">
            <w:pPr>
              <w:pStyle w:val="P68B1DB1-Normal12"/>
              <w:spacing w:before="60" w:after="60"/>
              <w:jc w:val="center"/>
              <w:rPr>
                <w:rFonts w:cs="Times New Roman"/>
                <w:noProof/>
              </w:rPr>
            </w:pPr>
            <w:r>
              <w:rPr>
                <w:noProof/>
              </w:rPr>
              <w:t>156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AC040F" w14:textId="7F1B3EB1" w:rsidR="00FA40E8" w:rsidRDefault="00E74AE8">
            <w:pPr>
              <w:pStyle w:val="P68B1DB1-Normal12"/>
              <w:spacing w:before="60" w:after="60"/>
              <w:rPr>
                <w:noProof/>
              </w:rPr>
            </w:pPr>
            <w:r>
              <w:rPr>
                <w:noProof/>
              </w:rPr>
              <w:t xml:space="preserve">F.1.4. Améliorer le respect des obligations fiscales — </w:t>
            </w:r>
          </w:p>
          <w:p w14:paraId="50704CE9" w14:textId="2A8CE7F9"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 xml:space="preserve">F.1.4.2. Fiscalité </w:t>
            </w:r>
            <w:r>
              <w:rPr>
                <w:rStyle w:val="normaltextrun"/>
                <w:rFonts w:ascii="Times New Roman" w:hAnsi="Times New Roman"/>
                <w:noProof/>
                <w:sz w:val="20"/>
              </w:rPr>
              <w:t>équitable des activités économiques en ligne</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437144"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5D29C0" w14:textId="77777777" w:rsidR="00FA40E8" w:rsidRDefault="00E74AE8">
            <w:pPr>
              <w:pStyle w:val="P68B1DB1-Normal12"/>
              <w:spacing w:before="60" w:after="60"/>
              <w:rPr>
                <w:rFonts w:cs="Times New Roman"/>
                <w:noProof/>
              </w:rPr>
            </w:pPr>
            <w:r>
              <w:rPr>
                <w:noProof/>
              </w:rPr>
              <w:t>Entrée en vigueur de l’obligation légale pour les opérateurs de plateformes en ligne de collecter et de communiquer aux autorités fiscales des données sur les transactions effectuées sur des plateformes en</w:t>
            </w:r>
            <w:r>
              <w:rPr>
                <w:noProof/>
              </w:rPr>
              <w:t xml:space="preserve"> ligne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1781E4" w14:textId="77777777" w:rsidR="00FA40E8" w:rsidRDefault="00E74AE8">
            <w:pPr>
              <w:pStyle w:val="P68B1DB1-Normal12"/>
              <w:spacing w:before="60" w:after="60"/>
              <w:rPr>
                <w:rFonts w:cs="Times New Roman"/>
                <w:noProof/>
              </w:rPr>
            </w:pPr>
            <w:r>
              <w:rPr>
                <w:noProof/>
              </w:rPr>
              <w:t>Disposition de la loi indiquant l’entrée en vigueur de l’obligation légale pour les opérateurs de plateformes de fournir des informations à l’inspection nationale des impôts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DEEB2F" w14:textId="011BA00F"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F13E5F" w14:textId="1E781DCA"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F28341" w14:textId="60E3CE8F"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A205B2" w14:textId="77777777" w:rsidR="00FA40E8" w:rsidRDefault="00E74AE8">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C1302A" w14:textId="77777777" w:rsidR="00FA40E8" w:rsidRDefault="00E74AE8">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61A56F" w14:textId="77777777" w:rsidR="00FA40E8" w:rsidRDefault="00E74AE8">
            <w:pPr>
              <w:pStyle w:val="P68B1DB1-Normal12"/>
              <w:spacing w:before="60" w:after="60"/>
              <w:jc w:val="both"/>
              <w:rPr>
                <w:rFonts w:cs="Times New Roman"/>
                <w:noProof/>
              </w:rPr>
            </w:pPr>
            <w:r>
              <w:rPr>
                <w:noProof/>
              </w:rPr>
              <w:t>Les nouvelles dispositions juridiques de la loi sur l’administr</w:t>
            </w:r>
            <w:r>
              <w:rPr>
                <w:noProof/>
              </w:rPr>
              <w:t>ation fiscale sont adoptées et entrent en vigueur. Les activités des plateformes en ligne sont tenues de collecter et de communiquer aux autorités fiscales les données relatives aux transactions effectuées sur les plateformes en ligne au plus tard le 31 ja</w:t>
            </w:r>
            <w:r>
              <w:rPr>
                <w:noProof/>
              </w:rPr>
              <w:t>nvier de l’année suivant l’année civile à laquelle les informations se rapportent.</w:t>
            </w:r>
          </w:p>
        </w:tc>
      </w:tr>
      <w:tr w:rsidR="00FA40E8" w14:paraId="08BC1D0A"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261E89" w14:textId="77777777" w:rsidR="00FA40E8" w:rsidRDefault="00E74AE8">
            <w:pPr>
              <w:pStyle w:val="P68B1DB1-Normal12"/>
              <w:spacing w:before="60" w:after="60"/>
              <w:jc w:val="center"/>
              <w:rPr>
                <w:rFonts w:cs="Times New Roman"/>
                <w:noProof/>
              </w:rPr>
            </w:pPr>
            <w:r>
              <w:rPr>
                <w:noProof/>
              </w:rPr>
              <w:t>157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C1B5C0" w14:textId="0C556C65" w:rsidR="00FA40E8" w:rsidRDefault="00E74AE8">
            <w:pPr>
              <w:pStyle w:val="P68B1DB1-Normal12"/>
              <w:spacing w:before="60" w:after="60"/>
              <w:rPr>
                <w:noProof/>
              </w:rPr>
            </w:pPr>
            <w:r>
              <w:rPr>
                <w:noProof/>
              </w:rPr>
              <w:t xml:space="preserve">F.1.4. Améliorer le respect des obligations fiscales — </w:t>
            </w:r>
          </w:p>
          <w:p w14:paraId="246E632F" w14:textId="24CEF60A"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F.1.4.2. Fiscalité équitable des activités économiques en ligne</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DFCDD4"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E809FE" w14:textId="77777777" w:rsidR="00FA40E8" w:rsidRDefault="00E74AE8">
            <w:pPr>
              <w:pStyle w:val="P68B1DB1-Normal12"/>
              <w:spacing w:before="60" w:after="60"/>
              <w:rPr>
                <w:rFonts w:cs="Times New Roman"/>
                <w:noProof/>
              </w:rPr>
            </w:pPr>
            <w:r>
              <w:rPr>
                <w:noProof/>
              </w:rPr>
              <w:t xml:space="preserve">L’inspection nationale des impôts reçoit </w:t>
            </w:r>
            <w:r>
              <w:rPr>
                <w:noProof/>
              </w:rPr>
              <w:t>des données détaillées sur les transactions effectuées sur les plateformes en ligne</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D43628" w14:textId="54DB6B3C" w:rsidR="00FA40E8" w:rsidRDefault="00E74AE8">
            <w:pPr>
              <w:pStyle w:val="P68B1DB1-Normal12"/>
              <w:spacing w:before="60" w:after="60"/>
              <w:rPr>
                <w:rFonts w:cs="Times New Roman"/>
                <w:noProof/>
              </w:rPr>
            </w:pPr>
            <w:r>
              <w:rPr>
                <w:noProof/>
              </w:rPr>
              <w:t>L’inspection nationale des impôts reçoit des données détaillées sur les transactions effectuées sur les plateformes en ligne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2E710D" w14:textId="2AF3EEE3"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B3D55D" w14:textId="21754565"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0D423B" w14:textId="239EE2F3"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B28536" w14:textId="77777777" w:rsidR="00FA40E8" w:rsidRDefault="00E74AE8">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AD2FCC" w14:textId="77777777" w:rsidR="00FA40E8" w:rsidRDefault="00E74AE8">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0F9460" w14:textId="77777777" w:rsidR="00FA40E8" w:rsidRDefault="00E74AE8">
            <w:pPr>
              <w:pStyle w:val="P68B1DB1-Normal12"/>
              <w:spacing w:before="60" w:after="60"/>
              <w:jc w:val="both"/>
              <w:rPr>
                <w:rFonts w:cs="Times New Roman"/>
                <w:noProof/>
              </w:rPr>
            </w:pPr>
            <w:r>
              <w:rPr>
                <w:noProof/>
              </w:rPr>
              <w:t>L’inspection nationale des impôts ob</w:t>
            </w:r>
            <w:r>
              <w:rPr>
                <w:noProof/>
              </w:rPr>
              <w:t>tient des données détaillées sur les transactions effectuées par les contribuables sur les plateformes en ligne en 2023.</w:t>
            </w:r>
          </w:p>
        </w:tc>
      </w:tr>
      <w:tr w:rsidR="00FA40E8" w14:paraId="0B69CC2C"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B2CD58" w14:textId="77777777" w:rsidR="00FA40E8" w:rsidRDefault="00E74AE8">
            <w:pPr>
              <w:pStyle w:val="P68B1DB1-Normal12"/>
              <w:spacing w:before="60" w:after="60"/>
              <w:jc w:val="center"/>
              <w:rPr>
                <w:rFonts w:cs="Times New Roman"/>
                <w:noProof/>
              </w:rPr>
            </w:pPr>
            <w:r>
              <w:rPr>
                <w:noProof/>
              </w:rPr>
              <w:t>158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796DFE" w14:textId="34CFFF96" w:rsidR="00FA40E8" w:rsidRDefault="00E74AE8">
            <w:pPr>
              <w:pStyle w:val="P68B1DB1-Normal12"/>
              <w:spacing w:before="60" w:after="60"/>
              <w:rPr>
                <w:noProof/>
              </w:rPr>
            </w:pPr>
            <w:r>
              <w:rPr>
                <w:noProof/>
              </w:rPr>
              <w:t xml:space="preserve">F.1.4. Améliorer le respect des obligations fiscales — </w:t>
            </w:r>
          </w:p>
          <w:p w14:paraId="6D7C7219" w14:textId="442C244D" w:rsidR="00FA40E8" w:rsidRDefault="00E74AE8">
            <w:pPr>
              <w:pStyle w:val="P68B1DB1-Normal12"/>
              <w:spacing w:before="60" w:after="60"/>
              <w:rPr>
                <w:rFonts w:cs="Times New Roman"/>
                <w:noProof/>
              </w:rPr>
            </w:pPr>
            <w:r>
              <w:rPr>
                <w:noProof/>
              </w:rPr>
              <w:t>F.1.4.3. Limiter l’utilisation de l’argent liquide</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320DB6"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44D6DC" w14:textId="77777777" w:rsidR="00FA40E8" w:rsidRDefault="00E74AE8">
            <w:pPr>
              <w:pStyle w:val="P68B1DB1-Normal12"/>
              <w:spacing w:before="60" w:after="60"/>
              <w:rPr>
                <w:rFonts w:eastAsiaTheme="minorEastAsia" w:cs="Times New Roman"/>
                <w:noProof/>
              </w:rPr>
            </w:pPr>
            <w:r>
              <w:rPr>
                <w:noProof/>
              </w:rPr>
              <w:t>Entrée en vigueur</w:t>
            </w:r>
            <w:r>
              <w:rPr>
                <w:noProof/>
              </w:rPr>
              <w:t xml:space="preserve"> de la législation limitant les paiements en espèces dans les secteurs économiques à risque et/ou les différents types de transactions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F3844C" w14:textId="77777777" w:rsidR="00FA40E8" w:rsidRDefault="00E74AE8">
            <w:pPr>
              <w:pStyle w:val="P68B1DB1-Normal12"/>
              <w:spacing w:before="60" w:after="60"/>
              <w:rPr>
                <w:rFonts w:cs="Times New Roman"/>
                <w:noProof/>
              </w:rPr>
            </w:pPr>
            <w:r>
              <w:rPr>
                <w:noProof/>
              </w:rPr>
              <w:t>Disposition de la loi indiquant l’entrée en vigueur de dispositions législatives introduisant des restrictions aux paieme</w:t>
            </w:r>
            <w:r>
              <w:rPr>
                <w:noProof/>
              </w:rPr>
              <w:t>nts en espèces dans les secteurs économiques à risque et/ou pour les différents types de paiements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27314C" w14:textId="160E6264"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9B1AB6" w14:textId="79142CFA"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5C7363" w14:textId="08E94BF8"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C36A71" w14:textId="77777777" w:rsidR="00FA40E8" w:rsidRDefault="00E74AE8">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D743D9" w14:textId="77777777" w:rsidR="00FA40E8" w:rsidRDefault="00E74AE8">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2AAA7" w14:textId="77777777" w:rsidR="00FA40E8" w:rsidRDefault="00E74AE8">
            <w:pPr>
              <w:pStyle w:val="P68B1DB1-Normal12"/>
              <w:spacing w:before="60" w:after="60"/>
              <w:jc w:val="both"/>
              <w:rPr>
                <w:rFonts w:eastAsiaTheme="minorEastAsia" w:cs="Times New Roman"/>
                <w:noProof/>
              </w:rPr>
            </w:pPr>
            <w:r>
              <w:rPr>
                <w:noProof/>
              </w:rPr>
              <w:t xml:space="preserve">Sur la base de l’analyse du ministère des finances, la législation introduisant des restrictions aux paiements en espèces dans les secteurs </w:t>
            </w:r>
            <w:r>
              <w:rPr>
                <w:noProof/>
              </w:rPr>
              <w:t>économiques à risque et/ou pour les différents types de transactions entrera en vigueur. Ces modifications réduisent les possibilités pour les entreprises et les personnes physiques de dissimuler leurs revenus.</w:t>
            </w:r>
          </w:p>
        </w:tc>
      </w:tr>
      <w:tr w:rsidR="00FA40E8" w14:paraId="5AC62ED2"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CA5F11" w14:textId="34C6F17D" w:rsidR="00FA40E8" w:rsidRDefault="00E74AE8">
            <w:pPr>
              <w:pStyle w:val="P68B1DB1-Normal12"/>
              <w:spacing w:before="60" w:after="60"/>
              <w:jc w:val="center"/>
              <w:rPr>
                <w:rFonts w:cs="Times New Roman"/>
                <w:noProof/>
              </w:rPr>
            </w:pPr>
            <w:r>
              <w:rPr>
                <w:noProof/>
              </w:rPr>
              <w:t>159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98AFEA" w14:textId="3EB78059" w:rsidR="00FA40E8" w:rsidRDefault="00E74AE8">
            <w:pPr>
              <w:pStyle w:val="P68B1DB1-Normal12"/>
              <w:spacing w:before="60" w:after="60"/>
              <w:rPr>
                <w:noProof/>
              </w:rPr>
            </w:pPr>
            <w:r>
              <w:rPr>
                <w:noProof/>
              </w:rPr>
              <w:t xml:space="preserve">F.1.4. Améliorer le respect des obligations fiscales — </w:t>
            </w:r>
          </w:p>
          <w:p w14:paraId="12ADFA07" w14:textId="19F0F2A0" w:rsidR="00FA40E8" w:rsidRDefault="00E74AE8">
            <w:pPr>
              <w:pStyle w:val="P68B1DB1-Normal12"/>
              <w:spacing w:before="60" w:after="60"/>
              <w:rPr>
                <w:rFonts w:cs="Times New Roman"/>
                <w:noProof/>
              </w:rPr>
            </w:pPr>
            <w:r>
              <w:rPr>
                <w:noProof/>
              </w:rPr>
              <w:t>F.1.4.4. La culture fiscale des futurs contribuables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5D92EB" w14:textId="77777777" w:rsidR="00FA40E8" w:rsidRDefault="00E74AE8">
            <w:pPr>
              <w:pStyle w:val="P68B1DB1-Normal12"/>
              <w:spacing w:before="60" w:after="60"/>
              <w:jc w:val="center"/>
              <w:rPr>
                <w:rFonts w:cs="Times New Roman"/>
                <w:noProof/>
              </w:rPr>
            </w:pPr>
            <w:r>
              <w:rPr>
                <w:noProof/>
              </w:rPr>
              <w:t>Objectif</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DA19F0" w14:textId="403FA6C9" w:rsidR="00FA40E8" w:rsidRDefault="00E74AE8">
            <w:pPr>
              <w:pStyle w:val="P68B1DB1-Normal12"/>
              <w:spacing w:before="60" w:after="60"/>
              <w:rPr>
                <w:rFonts w:cs="Times New Roman"/>
                <w:noProof/>
              </w:rPr>
            </w:pPr>
            <w:r>
              <w:rPr>
                <w:noProof/>
              </w:rPr>
              <w:t>Nombre de cartes d’élèves électroniques avec fonction de paiement délivrées.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21DA7E" w14:textId="09807931" w:rsidR="00FA40E8" w:rsidRDefault="00FA40E8">
            <w:pPr>
              <w:spacing w:before="60" w:after="60"/>
              <w:rPr>
                <w:rFonts w:ascii="Times New Roman" w:eastAsia="Times New Roman" w:hAnsi="Times New Roman" w:cs="Times New Roman"/>
                <w:noProof/>
                <w:sz w:val="20"/>
              </w:rPr>
            </w:pP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C7C022" w14:textId="77777777" w:rsidR="00FA40E8" w:rsidRDefault="00E74AE8">
            <w:pPr>
              <w:pStyle w:val="P68B1DB1-Normal12"/>
              <w:spacing w:before="60" w:after="60"/>
              <w:jc w:val="center"/>
              <w:rPr>
                <w:rFonts w:cs="Times New Roman"/>
                <w:noProof/>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22A036" w14:textId="776B2CC3" w:rsidR="00FA40E8" w:rsidRDefault="00E74AE8">
            <w:pPr>
              <w:pStyle w:val="P68B1DB1-Normal12"/>
              <w:spacing w:before="60" w:after="60"/>
              <w:jc w:val="center"/>
              <w:rPr>
                <w:rFonts w:cs="Times New Roman"/>
                <w:noProof/>
              </w:rPr>
            </w:pPr>
            <w:r>
              <w:rPr>
                <w:noProof/>
              </w:rPr>
              <w:t>12 900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68F283" w14:textId="581FCCFB" w:rsidR="00FA40E8" w:rsidRDefault="00E74AE8">
            <w:pPr>
              <w:pStyle w:val="P68B1DB1-Normal12"/>
              <w:spacing w:before="60" w:after="60"/>
              <w:jc w:val="center"/>
              <w:rPr>
                <w:rFonts w:cs="Times New Roman"/>
                <w:noProof/>
              </w:rPr>
            </w:pPr>
            <w:r>
              <w:rPr>
                <w:noProof/>
              </w:rPr>
              <w:t>90 000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2C5C97" w14:textId="49034F30" w:rsidR="00FA40E8" w:rsidRDefault="00E74AE8">
            <w:pPr>
              <w:pStyle w:val="P68B1DB1-Normal12"/>
              <w:spacing w:before="60" w:after="60"/>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E8CDE5" w14:textId="1F01CCAA" w:rsidR="00FA40E8" w:rsidRDefault="00E74AE8">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2F9725" w14:textId="64EE3D0B" w:rsidR="00FA40E8" w:rsidRDefault="00E74AE8">
            <w:pPr>
              <w:pStyle w:val="P68B1DB1-Normal12"/>
              <w:spacing w:before="60" w:after="60"/>
              <w:jc w:val="both"/>
              <w:rPr>
                <w:rFonts w:eastAsiaTheme="minorEastAsia" w:cs="Times New Roman"/>
                <w:noProof/>
              </w:rPr>
            </w:pPr>
            <w:r>
              <w:rPr>
                <w:noProof/>
              </w:rPr>
              <w:t>90 000 cartes d’élèves électron</w:t>
            </w:r>
            <w:r>
              <w:rPr>
                <w:noProof/>
              </w:rPr>
              <w:t>iques avec fonction de paiement délivrées.</w:t>
            </w:r>
          </w:p>
        </w:tc>
      </w:tr>
      <w:tr w:rsidR="00FA40E8" w14:paraId="044D9B48"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FF19F5" w14:textId="42AB9B7E" w:rsidR="00FA40E8" w:rsidRDefault="00E74AE8">
            <w:pPr>
              <w:pStyle w:val="P68B1DB1-Normal12"/>
              <w:spacing w:before="60" w:after="60"/>
              <w:jc w:val="center"/>
              <w:rPr>
                <w:rFonts w:cs="Times New Roman"/>
                <w:noProof/>
              </w:rPr>
            </w:pPr>
            <w:r>
              <w:rPr>
                <w:noProof/>
              </w:rPr>
              <w:t>160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2B3D9D" w14:textId="0B06F418" w:rsidR="00FA40E8" w:rsidRDefault="00E74AE8">
            <w:pPr>
              <w:pStyle w:val="P68B1DB1-Normal12"/>
              <w:spacing w:before="60" w:after="60"/>
              <w:rPr>
                <w:noProof/>
              </w:rPr>
            </w:pPr>
            <w:r>
              <w:rPr>
                <w:noProof/>
              </w:rPr>
              <w:t xml:space="preserve">F.1.4. Améliorer le respect des obligations fiscales — </w:t>
            </w:r>
          </w:p>
          <w:p w14:paraId="5927BDC3" w14:textId="20C39B58" w:rsidR="00FA40E8" w:rsidRDefault="00E74AE8">
            <w:pPr>
              <w:pStyle w:val="P68B1DB1-Normal12"/>
              <w:spacing w:before="60" w:after="60"/>
              <w:rPr>
                <w:rFonts w:cs="Times New Roman"/>
                <w:noProof/>
              </w:rPr>
            </w:pPr>
            <w:r>
              <w:rPr>
                <w:noProof/>
              </w:rPr>
              <w:t>F.1.4.4. La culture fiscale des futurs contribuables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A7BC93" w14:textId="77777777" w:rsidR="00FA40E8" w:rsidRDefault="00E74AE8">
            <w:pPr>
              <w:pStyle w:val="P68B1DB1-Normal12"/>
              <w:spacing w:before="60" w:after="60"/>
              <w:jc w:val="center"/>
              <w:rPr>
                <w:rFonts w:cs="Times New Roman"/>
                <w:noProof/>
              </w:rPr>
            </w:pPr>
            <w:r>
              <w:rPr>
                <w:noProof/>
              </w:rPr>
              <w:t>Objectif</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35552E" w14:textId="5A1DA211" w:rsidR="00FA40E8" w:rsidRDefault="00E74AE8">
            <w:pPr>
              <w:pStyle w:val="P68B1DB1-Normal12"/>
              <w:spacing w:before="60" w:after="60"/>
              <w:rPr>
                <w:rFonts w:cs="Times New Roman"/>
                <w:noProof/>
              </w:rPr>
            </w:pPr>
            <w:r>
              <w:rPr>
                <w:noProof/>
              </w:rPr>
              <w:t xml:space="preserve">Nombre d’écoles (primaires, secondaires, progymnasiums, gymnasiums) dotées </w:t>
            </w:r>
            <w:r>
              <w:rPr>
                <w:noProof/>
              </w:rPr>
              <w:t>d’infrastructures de paiement autres que les espèces nouvellement créées ou modernisées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11986E" w14:textId="20B5F2DE" w:rsidR="00FA40E8" w:rsidRDefault="00FA40E8">
            <w:pPr>
              <w:spacing w:before="60" w:after="60"/>
              <w:rPr>
                <w:rFonts w:ascii="Times New Roman" w:eastAsia="Times New Roman" w:hAnsi="Times New Roman" w:cs="Times New Roman"/>
                <w:noProof/>
                <w:sz w:val="20"/>
              </w:rPr>
            </w:pP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11A22E" w14:textId="77777777" w:rsidR="00FA40E8" w:rsidRDefault="00E74AE8">
            <w:pPr>
              <w:pStyle w:val="P68B1DB1-Normal12"/>
              <w:spacing w:before="60" w:after="60"/>
              <w:jc w:val="center"/>
              <w:rPr>
                <w:rFonts w:cs="Times New Roman"/>
                <w:noProof/>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879FF7" w14:textId="01A96EDA" w:rsidR="00FA40E8" w:rsidRDefault="00E74AE8">
            <w:pPr>
              <w:pStyle w:val="P68B1DB1-Normal12"/>
              <w:spacing w:before="60" w:after="60"/>
              <w:jc w:val="center"/>
              <w:rPr>
                <w:rFonts w:cs="Times New Roman"/>
                <w:noProof/>
              </w:rPr>
            </w:pPr>
            <w:r>
              <w:rPr>
                <w:noProof/>
              </w:rPr>
              <w:t>40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10BE18" w14:textId="5C0E4AB4" w:rsidR="00FA40E8" w:rsidRDefault="00E74AE8">
            <w:pPr>
              <w:pStyle w:val="P68B1DB1-Normal12"/>
              <w:spacing w:before="60" w:after="60"/>
              <w:jc w:val="center"/>
              <w:rPr>
                <w:rFonts w:cs="Times New Roman"/>
                <w:noProof/>
              </w:rPr>
            </w:pPr>
            <w:r>
              <w:rPr>
                <w:noProof/>
              </w:rPr>
              <w:t>240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595FC2" w14:textId="2B54CD5C" w:rsidR="00FA40E8" w:rsidRDefault="00E74AE8">
            <w:pPr>
              <w:pStyle w:val="P68B1DB1-Normal12"/>
              <w:spacing w:before="60" w:after="60"/>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BB626E" w14:textId="6F570BED" w:rsidR="00FA40E8" w:rsidRDefault="00E74AE8">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BBDE58" w14:textId="79716434" w:rsidR="00FA40E8" w:rsidRDefault="00E74AE8">
            <w:pPr>
              <w:pStyle w:val="P68B1DB1-Normal12"/>
              <w:spacing w:before="60" w:after="60"/>
              <w:jc w:val="both"/>
              <w:rPr>
                <w:rFonts w:eastAsiaTheme="minorEastAsia" w:cs="Times New Roman"/>
                <w:noProof/>
              </w:rPr>
            </w:pPr>
            <w:r>
              <w:rPr>
                <w:noProof/>
              </w:rPr>
              <w:t>Mise en place ou mise à jour d’infrastructures pour les paiements autres qu’en espèces dans les cantines de 240 écoles.</w:t>
            </w:r>
          </w:p>
        </w:tc>
      </w:tr>
      <w:tr w:rsidR="00FA40E8" w14:paraId="194F1B25"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4ACD4F" w14:textId="77777777" w:rsidR="00FA40E8" w:rsidRDefault="00E74AE8">
            <w:pPr>
              <w:pStyle w:val="P68B1DB1-Normal12"/>
              <w:spacing w:before="60" w:after="60"/>
              <w:jc w:val="center"/>
              <w:rPr>
                <w:rFonts w:cs="Times New Roman"/>
                <w:noProof/>
              </w:rPr>
            </w:pPr>
            <w:r>
              <w:rPr>
                <w:noProof/>
              </w:rPr>
              <w:t>161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01332B" w14:textId="344DC55E" w:rsidR="00FA40E8" w:rsidRDefault="00E74AE8">
            <w:pPr>
              <w:pStyle w:val="P68B1DB1-Normal12"/>
              <w:spacing w:before="60" w:after="60"/>
              <w:rPr>
                <w:noProof/>
              </w:rPr>
            </w:pPr>
            <w:r>
              <w:rPr>
                <w:noProof/>
              </w:rPr>
              <w:t xml:space="preserve">F.1.4. Améliorer le respect des obligations fiscales — </w:t>
            </w:r>
          </w:p>
          <w:p w14:paraId="30FA8B16" w14:textId="76343C7B" w:rsidR="00FA40E8" w:rsidRDefault="00E74AE8">
            <w:pPr>
              <w:pStyle w:val="P68B1DB1-Normal12"/>
              <w:spacing w:before="60" w:after="60"/>
              <w:rPr>
                <w:rFonts w:cs="Times New Roman"/>
                <w:noProof/>
              </w:rPr>
            </w:pPr>
            <w:r>
              <w:rPr>
                <w:noProof/>
              </w:rPr>
              <w:t>F.1.4.4. La culture fiscale des futurs contribuables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B69C98"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A21F46" w14:textId="26825F0D" w:rsidR="00FA40E8" w:rsidRDefault="00E74AE8">
            <w:pPr>
              <w:spacing w:before="60" w:after="60"/>
              <w:rPr>
                <w:rFonts w:ascii="Times New Roman" w:hAnsi="Times New Roman" w:cs="Times New Roman"/>
                <w:noProof/>
                <w:sz w:val="20"/>
              </w:rPr>
            </w:pPr>
            <w:r>
              <w:rPr>
                <w:rFonts w:ascii="Times New Roman" w:hAnsi="Times New Roman" w:cs="Times New Roman"/>
                <w:noProof/>
                <w:sz w:val="20"/>
              </w:rPr>
              <w:t>Matériel et campagne</w:t>
            </w:r>
            <w:r>
              <w:rPr>
                <w:noProof/>
              </w:rPr>
              <w:t xml:space="preserve"> </w:t>
            </w:r>
            <w:r>
              <w:rPr>
                <w:rFonts w:ascii="Times New Roman" w:hAnsi="Times New Roman" w:cs="Times New Roman"/>
                <w:noProof/>
                <w:sz w:val="20"/>
              </w:rPr>
              <w:t xml:space="preserve">pédagogiques </w:t>
            </w:r>
            <w:r>
              <w:rPr>
                <w:noProof/>
              </w:rPr>
              <w:t xml:space="preserve"> sur la culture fiscale</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496587" w14:textId="1AC80861" w:rsidR="00FA40E8" w:rsidRDefault="00E74AE8">
            <w:pPr>
              <w:pStyle w:val="P68B1DB1-Normal13"/>
              <w:spacing w:before="60" w:after="60"/>
              <w:rPr>
                <w:noProof/>
              </w:rPr>
            </w:pPr>
            <w:r>
              <w:rPr>
                <w:noProof/>
              </w:rPr>
              <w:t xml:space="preserve">Matériel pédagogique et campagne de sensibilisation à la culture fiscale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C8E8E0" w14:textId="4C566D08"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9AA460" w14:textId="57254860"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A0F042" w14:textId="64421B7C"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2DF7B4"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4AB87" w14:textId="77777777" w:rsidR="00FA40E8" w:rsidRDefault="00E74AE8">
            <w:pPr>
              <w:pStyle w:val="P68B1DB1-Normal12"/>
              <w:spacing w:before="60" w:after="60"/>
              <w:jc w:val="center"/>
              <w:rPr>
                <w:rFonts w:cs="Times New Roman"/>
                <w:noProof/>
              </w:rPr>
            </w:pPr>
            <w:r>
              <w:rPr>
                <w:noProof/>
              </w:rPr>
              <w:t>202</w:t>
            </w:r>
            <w:r>
              <w:rPr>
                <w:noProof/>
              </w:rPr>
              <w:t>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7A8373" w14:textId="50FA859A" w:rsidR="00FA40E8" w:rsidRDefault="00E74AE8">
            <w:pPr>
              <w:pStyle w:val="P68B1DB1-Normal12"/>
              <w:spacing w:before="60" w:after="60"/>
              <w:jc w:val="both"/>
              <w:rPr>
                <w:rFonts w:eastAsiaTheme="minorEastAsia" w:cs="Times New Roman"/>
                <w:noProof/>
              </w:rPr>
            </w:pPr>
            <w:r>
              <w:rPr>
                <w:noProof/>
              </w:rPr>
              <w:t>1. Matériel pédagogique sur la culture fiscale destiné aux enfants et aux jeunes, produit par l’inspection nationale des impôts.</w:t>
            </w:r>
          </w:p>
          <w:p w14:paraId="17119A09" w14:textId="427BBA86" w:rsidR="00FA40E8" w:rsidRDefault="00E74AE8">
            <w:pPr>
              <w:pStyle w:val="P68B1DB1-Normal12"/>
              <w:spacing w:before="60" w:after="60"/>
              <w:jc w:val="both"/>
              <w:rPr>
                <w:rFonts w:eastAsiaTheme="minorEastAsia" w:cs="Times New Roman"/>
                <w:noProof/>
              </w:rPr>
            </w:pPr>
            <w:r>
              <w:rPr>
                <w:noProof/>
              </w:rPr>
              <w:t>2. Certificat de remise et d’acceptation de service délivré pour la campagne d’alphabétisation fiscale.</w:t>
            </w:r>
          </w:p>
        </w:tc>
      </w:tr>
      <w:tr w:rsidR="00FA40E8" w14:paraId="56570444"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D1260C" w14:textId="77777777" w:rsidR="00FA40E8" w:rsidRDefault="00E74AE8">
            <w:pPr>
              <w:pStyle w:val="P68B1DB1-Normal12"/>
              <w:spacing w:before="60" w:after="60"/>
              <w:jc w:val="center"/>
              <w:rPr>
                <w:rFonts w:cs="Times New Roman"/>
                <w:noProof/>
              </w:rPr>
            </w:pPr>
            <w:r>
              <w:rPr>
                <w:noProof/>
              </w:rPr>
              <w:t>162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5B140F4" w14:textId="04FDDC16" w:rsidR="00FA40E8" w:rsidRDefault="00E74AE8">
            <w:pPr>
              <w:pStyle w:val="P68B1DB1-Normal12"/>
              <w:spacing w:before="60" w:after="60"/>
              <w:rPr>
                <w:noProof/>
              </w:rPr>
            </w:pPr>
            <w:r>
              <w:rPr>
                <w:noProof/>
              </w:rPr>
              <w:t xml:space="preserve">F.1.4. Améliorer le respect des obligations fiscales — </w:t>
            </w:r>
          </w:p>
          <w:p w14:paraId="59252A2E" w14:textId="00ADC6D3" w:rsidR="00FA40E8" w:rsidRDefault="00E74AE8">
            <w:pPr>
              <w:pStyle w:val="P68B1DB1-Normal12"/>
              <w:spacing w:before="60" w:after="60"/>
              <w:rPr>
                <w:rFonts w:cs="Times New Roman"/>
                <w:noProof/>
              </w:rPr>
            </w:pPr>
            <w:r>
              <w:rPr>
                <w:noProof/>
              </w:rPr>
              <w:t>F.1.4.5. Plus de transparence dans le secteur de la construction</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CFFA7C"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789371" w14:textId="26997527" w:rsidR="00FA40E8" w:rsidRDefault="00E74AE8">
            <w:pPr>
              <w:pStyle w:val="P68B1DB1-Norm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rFonts w:cs="Times New Roman"/>
                <w:noProof/>
              </w:rPr>
            </w:pPr>
            <w:r>
              <w:rPr>
                <w:noProof/>
              </w:rPr>
              <w:t>Mise en service d’outils numériques permettant l’enregistrement en temps réel des personnes travaillant dans le secteur de la con</w:t>
            </w:r>
            <w:r>
              <w:rPr>
                <w:noProof/>
              </w:rPr>
              <w:t>struction et l’identification de celles qui travaillent illégalement sur des chantiers de construction</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0BD038" w14:textId="625A98CF" w:rsidR="00FA40E8" w:rsidRDefault="00E74AE8">
            <w:pPr>
              <w:pStyle w:val="P68B1DB1-Norm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rFonts w:cs="Times New Roman"/>
                <w:noProof/>
              </w:rPr>
            </w:pPr>
            <w:r>
              <w:rPr>
                <w:noProof/>
              </w:rPr>
              <w:t>Des outils numériques sont en place et opérationnels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3FD48D" w14:textId="248CC642"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CA07C2" w14:textId="2911A251"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984B7C" w14:textId="178A209B"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949BC1" w14:textId="77777777" w:rsidR="00FA40E8" w:rsidRDefault="00E74AE8">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282570" w14:textId="77777777" w:rsidR="00FA40E8" w:rsidRDefault="00E74AE8">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3109EF" w14:textId="78601DBB" w:rsidR="00FA40E8" w:rsidRDefault="00E74AE8">
            <w:pPr>
              <w:pStyle w:val="P68B1DB1-Normal12"/>
              <w:spacing w:before="60" w:after="60"/>
              <w:jc w:val="both"/>
              <w:rPr>
                <w:rFonts w:eastAsia="Times New Roman" w:cs="Times New Roman"/>
                <w:noProof/>
              </w:rPr>
            </w:pPr>
            <w:r>
              <w:rPr>
                <w:noProof/>
              </w:rPr>
              <w:t>Outil numérique pleinement fonctionnel (sous-système «Informations sur l’identification d</w:t>
            </w:r>
            <w:r>
              <w:rPr>
                <w:noProof/>
              </w:rPr>
              <w:t>u constructeur») qui permet l’enregistrement obligatoire des personnes travaillant dans le secteur de la construction et l’identification de personnes déterminées selon un code d’identité spécial du constructeur.</w:t>
            </w:r>
          </w:p>
        </w:tc>
      </w:tr>
      <w:tr w:rsidR="00FA40E8" w14:paraId="45C07D38"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4B9ADD" w14:textId="77777777" w:rsidR="00FA40E8" w:rsidRDefault="00E74AE8">
            <w:pPr>
              <w:pStyle w:val="P68B1DB1-Normal12"/>
              <w:spacing w:before="60" w:after="60"/>
              <w:jc w:val="center"/>
              <w:rPr>
                <w:rFonts w:cs="Times New Roman"/>
                <w:noProof/>
              </w:rPr>
            </w:pPr>
            <w:r>
              <w:rPr>
                <w:noProof/>
              </w:rPr>
              <w:t>163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E341CC" w14:textId="25677BF3" w:rsidR="00FA40E8" w:rsidRDefault="00E74AE8">
            <w:pPr>
              <w:pStyle w:val="P68B1DB1-Normal12"/>
              <w:spacing w:before="60" w:after="60"/>
              <w:rPr>
                <w:noProof/>
              </w:rPr>
            </w:pPr>
            <w:r>
              <w:rPr>
                <w:noProof/>
              </w:rPr>
              <w:t xml:space="preserve">F.1.4. Améliorer le respect des obligations fiscales — </w:t>
            </w:r>
          </w:p>
          <w:p w14:paraId="7D34E1AE" w14:textId="68301003" w:rsidR="00FA40E8" w:rsidRDefault="00E74AE8">
            <w:pPr>
              <w:pStyle w:val="P68B1DB1-Normal12"/>
              <w:spacing w:before="60" w:after="60"/>
              <w:rPr>
                <w:rFonts w:cs="Times New Roman"/>
                <w:noProof/>
              </w:rPr>
            </w:pPr>
            <w:r>
              <w:rPr>
                <w:noProof/>
              </w:rPr>
              <w:t>F.1.4.5. Plus de transparence dans le secteur de la construction</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C2B8F5" w14:textId="77777777" w:rsidR="00FA40E8" w:rsidRDefault="00E74AE8">
            <w:pPr>
              <w:pStyle w:val="P68B1DB1-Normal12"/>
              <w:spacing w:before="60" w:after="60"/>
              <w:jc w:val="center"/>
              <w:rPr>
                <w:rFonts w:cs="Times New Roman"/>
                <w:noProof/>
              </w:rPr>
            </w:pPr>
            <w:r>
              <w:rPr>
                <w:noProof/>
              </w:rPr>
              <w:t>Objectif</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3E8CCE" w14:textId="4D67FABD" w:rsidR="00FA40E8" w:rsidRDefault="00E74AE8">
            <w:pPr>
              <w:pStyle w:val="P68B1DB1-Normal12"/>
              <w:spacing w:before="60" w:after="60"/>
              <w:rPr>
                <w:rFonts w:eastAsia="Times New Roman" w:cs="Times New Roman"/>
                <w:noProof/>
              </w:rPr>
            </w:pPr>
            <w:r>
              <w:rPr>
                <w:noProof/>
              </w:rPr>
              <w:t xml:space="preserve">Travailleurs identifiables électroniquement utilisant Transparent Worker ID sur les chantiers de construction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ACBA23" w14:textId="609C8A8D" w:rsidR="00FA40E8" w:rsidRDefault="00FA40E8">
            <w:pPr>
              <w:spacing w:before="60" w:after="60"/>
              <w:rPr>
                <w:rFonts w:ascii="Times New Roman" w:hAnsi="Times New Roman" w:cs="Times New Roman"/>
                <w:noProof/>
                <w:sz w:val="20"/>
              </w:rPr>
            </w:pP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6DC1EE" w14:textId="786AB6C7" w:rsidR="00FA40E8" w:rsidRDefault="00E74AE8">
            <w:pPr>
              <w:pStyle w:val="P68B1DB1-Normal32"/>
              <w:spacing w:before="60" w:after="60"/>
              <w:jc w:val="center"/>
              <w:rPr>
                <w:rFonts w:cs="Times New Roman"/>
                <w:noProof/>
                <w:szCs w:val="19"/>
              </w:rPr>
            </w:pPr>
            <w:r>
              <w:rPr>
                <w:noProof/>
              </w:rPr>
              <w:t>% (pourcentage</w:t>
            </w: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B5B2FC" w14:textId="77777777" w:rsidR="00FA40E8" w:rsidRDefault="00E74AE8">
            <w:pPr>
              <w:pStyle w:val="P68B1DB1-Normal12"/>
              <w:spacing w:before="60" w:after="60"/>
              <w:jc w:val="center"/>
              <w:rPr>
                <w:rFonts w:cs="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A03A1F" w14:textId="136AF41F" w:rsidR="00FA40E8" w:rsidRDefault="00E74AE8">
            <w:pPr>
              <w:pStyle w:val="P68B1DB1-Normal12"/>
              <w:spacing w:before="60" w:after="60"/>
              <w:jc w:val="center"/>
              <w:rPr>
                <w:rFonts w:cs="Times New Roman"/>
                <w:noProof/>
              </w:rPr>
            </w:pPr>
            <w:r>
              <w:rPr>
                <w:noProof/>
              </w:rPr>
              <w:t>80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E2A987" w14:textId="77777777" w:rsidR="00FA40E8" w:rsidRDefault="00E74AE8">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8E79F4" w14:textId="77777777" w:rsidR="00FA40E8" w:rsidRDefault="00E74AE8">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191208" w14:textId="1AC73588" w:rsidR="00FA40E8" w:rsidRDefault="00E74AE8">
            <w:pPr>
              <w:pStyle w:val="P68B1DB1-Normal12"/>
              <w:spacing w:before="60" w:after="60"/>
              <w:jc w:val="both"/>
              <w:rPr>
                <w:noProof/>
              </w:rPr>
            </w:pPr>
            <w:r>
              <w:rPr>
                <w:noProof/>
              </w:rPr>
              <w:t>Dans le secteur de la construction, des certificats d’enquête illégale ont été délivrés pour 1 400 inspections prévues et 420 autres pour des inspections ponctuelles.</w:t>
            </w:r>
          </w:p>
          <w:p w14:paraId="2E928336" w14:textId="45A577D0" w:rsidR="00FA40E8" w:rsidRDefault="00E74AE8">
            <w:pPr>
              <w:pStyle w:val="P68B1DB1-Normal12"/>
              <w:spacing w:before="60" w:after="60"/>
              <w:jc w:val="both"/>
              <w:rPr>
                <w:rFonts w:eastAsiaTheme="minorEastAsia" w:cs="Times New Roman"/>
                <w:noProof/>
              </w:rPr>
            </w:pPr>
            <w:r>
              <w:rPr>
                <w:noProof/>
              </w:rPr>
              <w:t>La proportion de travailleurs sur les chantiers de construction identifiab</w:t>
            </w:r>
            <w:r>
              <w:rPr>
                <w:noProof/>
              </w:rPr>
              <w:t>les au moyen de Transparent Worker ID par rapport au nombre total de travailleurs inspectés sur les chantiers de construction devrait être d’au moins 80 %.</w:t>
            </w:r>
          </w:p>
        </w:tc>
      </w:tr>
      <w:tr w:rsidR="00FA40E8" w14:paraId="5AD0E1C0"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4909594" w14:textId="5CE36053" w:rsidR="00FA40E8" w:rsidRDefault="00E74AE8">
            <w:pPr>
              <w:pStyle w:val="P68B1DB1-Normal12"/>
              <w:spacing w:before="60" w:after="60"/>
              <w:jc w:val="center"/>
              <w:rPr>
                <w:rFonts w:cs="Times New Roman"/>
                <w:noProof/>
              </w:rPr>
            </w:pPr>
            <w:r>
              <w:rPr>
                <w:noProof/>
              </w:rPr>
              <w:t>164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9C70623" w14:textId="6DB7F01A"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 xml:space="preserve">F.1.5. Outils mis à la disposition des entreprises pour gérer le risque d’insolvabilité des </w:t>
            </w:r>
            <w:r>
              <w:rPr>
                <w:rStyle w:val="normaltextrun"/>
                <w:rFonts w:ascii="Times New Roman" w:hAnsi="Times New Roman"/>
                <w:noProof/>
                <w:sz w:val="20"/>
              </w:rPr>
              <w:t>entreprises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3434F79"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4C97DE" w14:textId="166A45FD" w:rsidR="00FA40E8" w:rsidRDefault="00E74AE8">
            <w:pPr>
              <w:pStyle w:val="P68B1DB1-Normal12"/>
              <w:spacing w:before="60" w:after="60"/>
              <w:rPr>
                <w:rFonts w:eastAsia="Calibri" w:cs="Times New Roman"/>
                <w:noProof/>
              </w:rPr>
            </w:pPr>
            <w:r>
              <w:rPr>
                <w:noProof/>
              </w:rPr>
              <w:t>Outils numériques pour la gestion des risques d’insolvabilité des entreprises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6B015A" w14:textId="060BB79B" w:rsidR="00FA40E8" w:rsidRDefault="00E74AE8">
            <w:pPr>
              <w:pStyle w:val="P68B1DB1-Normal12"/>
              <w:spacing w:before="60" w:after="60"/>
              <w:rPr>
                <w:rFonts w:eastAsia="Calibri" w:cs="Times New Roman"/>
                <w:noProof/>
              </w:rPr>
            </w:pPr>
            <w:r>
              <w:rPr>
                <w:noProof/>
              </w:rPr>
              <w:t>Quatre outils numériques pour gérer le risque d’insolvabilité des entreprises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1FD480" w14:textId="123CA61E"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282789" w14:textId="6B00A166"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81A87C" w14:textId="18B82218"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D295E4F" w14:textId="0E1E0851" w:rsidR="00FA40E8" w:rsidRDefault="00E74AE8">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713DE8E" w14:textId="3131D4C8" w:rsidR="00FA40E8" w:rsidRDefault="00E74AE8">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4DCFF7" w14:textId="77F24738" w:rsidR="00FA40E8" w:rsidRDefault="00E74AE8">
            <w:pPr>
              <w:pStyle w:val="P68B1DB1-Normal12"/>
              <w:spacing w:before="60" w:after="60"/>
              <w:jc w:val="both"/>
              <w:rPr>
                <w:rFonts w:eastAsia="Times New Roman" w:cs="Times New Roman"/>
                <w:noProof/>
              </w:rPr>
            </w:pPr>
            <w:r>
              <w:rPr>
                <w:noProof/>
              </w:rPr>
              <w:t>Fourniture de quatre outils numériques pour gérer le risque d’insolvabi</w:t>
            </w:r>
            <w:r>
              <w:rPr>
                <w:noProof/>
              </w:rPr>
              <w:t>lité des entreprises:</w:t>
            </w:r>
          </w:p>
          <w:p w14:paraId="72589F1F" w14:textId="77777777" w:rsidR="00FA40E8" w:rsidRDefault="00E74AE8">
            <w:pPr>
              <w:pStyle w:val="P68B1DB1-Normal12"/>
              <w:spacing w:before="60" w:after="60"/>
              <w:jc w:val="both"/>
              <w:rPr>
                <w:rFonts w:eastAsia="Times New Roman" w:cs="Times New Roman"/>
                <w:noProof/>
              </w:rPr>
            </w:pPr>
            <w:r>
              <w:rPr>
                <w:noProof/>
              </w:rPr>
              <w:t xml:space="preserve">(1) le portail de l’insolvabilité; </w:t>
            </w:r>
          </w:p>
          <w:p w14:paraId="1F764B5F" w14:textId="77777777" w:rsidR="00FA40E8" w:rsidRDefault="00E74AE8">
            <w:pPr>
              <w:pStyle w:val="P68B1DB1-Normal12"/>
              <w:spacing w:before="60" w:after="60"/>
              <w:jc w:val="both"/>
              <w:rPr>
                <w:rFonts w:eastAsia="Times New Roman" w:cs="Times New Roman"/>
                <w:noProof/>
              </w:rPr>
            </w:pPr>
            <w:r>
              <w:rPr>
                <w:noProof/>
              </w:rPr>
              <w:t xml:space="preserve">(2) un assistant chargé d’élaborer le plan de restructuration; </w:t>
            </w:r>
          </w:p>
          <w:p w14:paraId="24302387" w14:textId="7DA94025" w:rsidR="00FA40E8" w:rsidRDefault="00E74AE8">
            <w:pPr>
              <w:pStyle w:val="P68B1DB1-Normal12"/>
              <w:spacing w:before="60" w:after="60"/>
              <w:jc w:val="both"/>
              <w:rPr>
                <w:rFonts w:cs="Times New Roman"/>
                <w:noProof/>
              </w:rPr>
            </w:pPr>
            <w:r>
              <w:rPr>
                <w:noProof/>
              </w:rPr>
              <w:t>(3) un assistant aidant au processus d’évaluation à appliquer les normes internationales d’évaluation;</w:t>
            </w:r>
          </w:p>
          <w:p w14:paraId="6E51FFD8" w14:textId="13291B50" w:rsidR="00FA40E8" w:rsidRDefault="00E74AE8">
            <w:pPr>
              <w:pStyle w:val="P68B1DB1-Normal12"/>
              <w:spacing w:before="60" w:after="60"/>
              <w:jc w:val="both"/>
              <w:rPr>
                <w:rFonts w:eastAsia="Times New Roman" w:cs="Times New Roman"/>
                <w:noProof/>
              </w:rPr>
            </w:pPr>
            <w:r>
              <w:rPr>
                <w:noProof/>
              </w:rPr>
              <w:t>(4) un outil permettant de comp</w:t>
            </w:r>
            <w:r>
              <w:rPr>
                <w:noProof/>
              </w:rPr>
              <w:t>arer l’évaluation des actifs et celle des transactions.</w:t>
            </w:r>
          </w:p>
        </w:tc>
      </w:tr>
      <w:tr w:rsidR="00FA40E8" w14:paraId="74BA4CF4"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716C54" w14:textId="77777777" w:rsidR="00FA40E8" w:rsidRDefault="00E74AE8">
            <w:pPr>
              <w:pStyle w:val="P68B1DB1-Normal12"/>
              <w:spacing w:before="60" w:after="60"/>
              <w:jc w:val="center"/>
              <w:rPr>
                <w:rFonts w:cs="Times New Roman"/>
                <w:noProof/>
              </w:rPr>
            </w:pPr>
            <w:r>
              <w:rPr>
                <w:noProof/>
              </w:rPr>
              <w:t>165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07CD61" w14:textId="49531B42" w:rsidR="00FA40E8" w:rsidRDefault="00E74AE8">
            <w:pPr>
              <w:pStyle w:val="P68B1DB1-Normal12"/>
              <w:spacing w:before="60" w:after="60"/>
              <w:rPr>
                <w:noProof/>
              </w:rPr>
            </w:pPr>
            <w:r>
              <w:rPr>
                <w:noProof/>
              </w:rPr>
              <w:t xml:space="preserve">F.1.6. Une administration fiscale intelligente pour réduire l’écart de TVA — </w:t>
            </w:r>
          </w:p>
          <w:p w14:paraId="0C55835F" w14:textId="09B006F6" w:rsidR="00FA40E8" w:rsidRDefault="00E74AE8">
            <w:pPr>
              <w:pStyle w:val="P68B1DB1-Normal12"/>
              <w:spacing w:before="60" w:after="60"/>
              <w:rPr>
                <w:rStyle w:val="normaltextrun"/>
                <w:rFonts w:cs="Times New Roman"/>
                <w:noProof/>
              </w:rPr>
            </w:pPr>
            <w:r>
              <w:rPr>
                <w:noProof/>
              </w:rPr>
              <w:t>F.1.6.1. Mise à disposition de nouveaux outils d’analyse de données pour l’inspection nationale des impôts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9D9779"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C8CD22" w14:textId="1F88232C" w:rsidR="00FA40E8" w:rsidRDefault="00E74AE8">
            <w:pPr>
              <w:pStyle w:val="P68B1DB1-Normal12"/>
              <w:spacing w:before="60" w:after="60"/>
              <w:rPr>
                <w:rFonts w:eastAsia="Times New Roman" w:cs="Times New Roman"/>
                <w:noProof/>
              </w:rPr>
            </w:pPr>
            <w:r>
              <w:rPr>
                <w:noProof/>
              </w:rPr>
              <w:t xml:space="preserve">Modèles analytiques et fonctionnalités des systèmes informatiques pour réduire l’écart de TVA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725277" w14:textId="2F188950" w:rsidR="00FA40E8" w:rsidRDefault="00E74AE8">
            <w:pPr>
              <w:pStyle w:val="P68B1DB1-Normal12"/>
              <w:spacing w:before="60" w:after="60"/>
              <w:rPr>
                <w:noProof/>
              </w:rPr>
            </w:pPr>
            <w:r>
              <w:rPr>
                <w:noProof/>
              </w:rPr>
              <w:t>Fourniture de modèles analytiques et de fonctionnalités de systèmes informatiques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D27326" w14:textId="34FED83E"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98636E" w14:textId="5B49B057"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2B38A6" w14:textId="493D99FF"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28E8EF"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7CEE3E" w14:textId="77777777" w:rsidR="00FA40E8" w:rsidRDefault="00E74AE8">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B22ECD" w14:textId="613FDB8D" w:rsidR="00FA40E8" w:rsidRDefault="00E74AE8">
            <w:pPr>
              <w:pStyle w:val="P68B1DB1-Normal12"/>
              <w:spacing w:before="60" w:after="60"/>
              <w:jc w:val="both"/>
              <w:rPr>
                <w:rFonts w:eastAsia="Times New Roman" w:cs="Times New Roman"/>
                <w:noProof/>
              </w:rPr>
            </w:pPr>
            <w:r>
              <w:rPr>
                <w:noProof/>
              </w:rPr>
              <w:t>Fourniture à l’inspection nationale des impôts de 4 modèles analytiq</w:t>
            </w:r>
            <w:r>
              <w:rPr>
                <w:noProof/>
              </w:rPr>
              <w:t xml:space="preserve">ues, dont un profil de risque des contribuables composé de 25 critères de risque, et de 6 nouvelles fonctionnalités pour les systèmes informatiques existants de l’inspection nationale des impôts </w:t>
            </w:r>
          </w:p>
        </w:tc>
      </w:tr>
      <w:tr w:rsidR="00FA40E8" w14:paraId="6451A915"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F29E80" w14:textId="77777777" w:rsidR="00FA40E8" w:rsidRDefault="00E74AE8">
            <w:pPr>
              <w:pStyle w:val="P68B1DB1-Normal12"/>
              <w:spacing w:before="60" w:after="60"/>
              <w:jc w:val="center"/>
              <w:rPr>
                <w:rFonts w:cs="Times New Roman"/>
                <w:noProof/>
              </w:rPr>
            </w:pPr>
            <w:r>
              <w:rPr>
                <w:noProof/>
              </w:rPr>
              <w:t>167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34A926" w14:textId="36489FA0"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F.1.6. Une administration fiscale intelligente pour réduire l’écart de TVA — </w:t>
            </w:r>
          </w:p>
          <w:p w14:paraId="1BB78F03" w14:textId="4947026B"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F.1.6.2. Contrôle de la qualité des données de l’inspection nationale des impôts et d’autres institutions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BF618E4"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5C283" w14:textId="36D74C42" w:rsidR="00FA40E8" w:rsidRDefault="00E74AE8">
            <w:pPr>
              <w:pStyle w:val="P68B1DB1-Normal12"/>
              <w:spacing w:before="60" w:after="60"/>
              <w:rPr>
                <w:rFonts w:cs="Times New Roman"/>
                <w:noProof/>
              </w:rPr>
            </w:pPr>
            <w:r>
              <w:rPr>
                <w:noProof/>
              </w:rPr>
              <w:t>Approbation et adoption des actes du chef de l’inspection national</w:t>
            </w:r>
            <w:r>
              <w:rPr>
                <w:noProof/>
              </w:rPr>
              <w:t>e des impôts sur l’intégration des bases de données de métadonnées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C75CA6" w14:textId="2E2124DA" w:rsidR="00FA40E8" w:rsidRDefault="00E74AE8">
            <w:pPr>
              <w:pStyle w:val="P68B1DB1-Normal12"/>
              <w:spacing w:before="60" w:after="60"/>
              <w:rPr>
                <w:noProof/>
              </w:rPr>
            </w:pPr>
            <w:r>
              <w:rPr>
                <w:noProof/>
              </w:rPr>
              <w:t>Approbation et adoption des actes du chef de l’inspection nationale des impôts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3A125D" w14:textId="7DEA0EF3"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DF4D42" w14:textId="2881280C"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A39DCA" w14:textId="64F1BA33"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E92CCC"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683C7E" w14:textId="77777777" w:rsidR="00FA40E8" w:rsidRDefault="00E74AE8">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35743F" w14:textId="3A7807BD" w:rsidR="00FA40E8" w:rsidRDefault="00E74AE8">
            <w:pPr>
              <w:pStyle w:val="P68B1DB1-Normal12"/>
              <w:spacing w:before="60" w:after="60"/>
              <w:jc w:val="both"/>
              <w:rPr>
                <w:rFonts w:cs="Times New Roman"/>
                <w:noProof/>
              </w:rPr>
            </w:pPr>
            <w:r>
              <w:rPr>
                <w:noProof/>
              </w:rPr>
              <w:t>Le chef de l’inspection nationale des impôts:</w:t>
            </w:r>
          </w:p>
          <w:p w14:paraId="5A68E968" w14:textId="3807AD2B" w:rsidR="00FA40E8" w:rsidRDefault="00E74AE8">
            <w:pPr>
              <w:pStyle w:val="P68B1DB1-Normal13"/>
              <w:spacing w:before="60" w:after="60"/>
              <w:jc w:val="both"/>
              <w:rPr>
                <w:noProof/>
              </w:rPr>
            </w:pPr>
            <w:r>
              <w:rPr>
                <w:noProof/>
              </w:rPr>
              <w:t xml:space="preserve">(a) approuve </w:t>
            </w:r>
          </w:p>
          <w:p w14:paraId="1A17DE48" w14:textId="7C95510C" w:rsidR="00FA40E8" w:rsidRDefault="00E74AE8">
            <w:pPr>
              <w:pStyle w:val="P68B1DB1-Normal13"/>
              <w:spacing w:after="0" w:line="360" w:lineRule="auto"/>
              <w:rPr>
                <w:noProof/>
              </w:rPr>
            </w:pPr>
            <w:r>
              <w:rPr>
                <w:noProof/>
              </w:rPr>
              <w:t>— méthodologie pour la création d’une b</w:t>
            </w:r>
            <w:r>
              <w:rPr>
                <w:noProof/>
              </w:rPr>
              <w:t>ase de métadonnées pour les institutions financières publiques; et</w:t>
            </w:r>
          </w:p>
          <w:p w14:paraId="7DC572D2" w14:textId="0E7AA8CA" w:rsidR="00FA40E8" w:rsidRDefault="00E74AE8">
            <w:pPr>
              <w:pStyle w:val="P68B1DB1-Normal13"/>
              <w:spacing w:after="0" w:line="360" w:lineRule="auto"/>
              <w:rPr>
                <w:noProof/>
              </w:rPr>
            </w:pPr>
            <w:r>
              <w:rPr>
                <w:noProof/>
              </w:rPr>
              <w:t xml:space="preserve">— des recommandations sur la gestion des données pour les institutions financières publiques;  </w:t>
            </w:r>
          </w:p>
          <w:p w14:paraId="723E69AD" w14:textId="40DDC0AC" w:rsidR="00FA40E8" w:rsidRDefault="00E74AE8">
            <w:pPr>
              <w:pStyle w:val="P68B1DB1-Normal13"/>
              <w:spacing w:after="0" w:line="360" w:lineRule="auto"/>
              <w:rPr>
                <w:noProof/>
              </w:rPr>
            </w:pPr>
            <w:r>
              <w:rPr>
                <w:noProof/>
              </w:rPr>
              <w:t xml:space="preserve">b) adopte des arrêtés relatifs à l’utilisation de la base de métadonnées, qui:  </w:t>
            </w:r>
          </w:p>
          <w:p w14:paraId="068A351E" w14:textId="720C2291" w:rsidR="00FA40E8" w:rsidRDefault="00E74AE8">
            <w:pPr>
              <w:pStyle w:val="P68B1DB1-Normal13"/>
              <w:spacing w:after="0" w:line="360" w:lineRule="auto"/>
              <w:rPr>
                <w:noProof/>
              </w:rPr>
            </w:pPr>
            <w:r>
              <w:rPr>
                <w:noProof/>
              </w:rPr>
              <w:t xml:space="preserve">— établir la procédure à suivre pour son utilisation; et  </w:t>
            </w:r>
          </w:p>
          <w:p w14:paraId="13E571F6" w14:textId="1B9CF9AE" w:rsidR="00FA40E8" w:rsidRDefault="00E74AE8">
            <w:pPr>
              <w:pStyle w:val="P68B1DB1-Normal13"/>
              <w:spacing w:after="0" w:line="360" w:lineRule="auto"/>
              <w:rPr>
                <w:noProof/>
              </w:rPr>
            </w:pPr>
            <w:r>
              <w:rPr>
                <w:noProof/>
              </w:rPr>
              <w:t>— fournir la base juridique pour son utilisation en tant que source d’information.</w:t>
            </w:r>
          </w:p>
        </w:tc>
      </w:tr>
      <w:tr w:rsidR="00FA40E8" w14:paraId="35B14C7A"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D065BE" w14:textId="77777777" w:rsidR="00FA40E8" w:rsidRDefault="00E74AE8">
            <w:pPr>
              <w:pStyle w:val="P68B1DB1-Normal12"/>
              <w:spacing w:before="60" w:after="60"/>
              <w:jc w:val="center"/>
              <w:rPr>
                <w:rFonts w:eastAsia="Times New Roman" w:cs="Times New Roman"/>
                <w:noProof/>
              </w:rPr>
            </w:pPr>
            <w:r>
              <w:rPr>
                <w:noProof/>
              </w:rPr>
              <w:t>168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3DD0D3" w14:textId="042E6DF2"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F.1.6. Une administration fiscale intelligente pour réduire l’écart de TVA — </w:t>
            </w:r>
          </w:p>
          <w:p w14:paraId="74DBFF10" w14:textId="78756202"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 xml:space="preserve">F.1.6.3. Robotisation des </w:t>
            </w:r>
            <w:r>
              <w:rPr>
                <w:rStyle w:val="normaltextrun"/>
                <w:rFonts w:ascii="Times New Roman" w:hAnsi="Times New Roman"/>
                <w:noProof/>
                <w:sz w:val="20"/>
              </w:rPr>
              <w:t>processus d’entreprise à l’inspection nationale des impôts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D50F3C" w14:textId="77777777" w:rsidR="00FA40E8" w:rsidRDefault="00E74AE8">
            <w:pPr>
              <w:pStyle w:val="P68B1DB1-Normal12"/>
              <w:spacing w:before="60" w:after="60"/>
              <w:jc w:val="center"/>
              <w:rPr>
                <w:rFonts w:eastAsia="Times New Roman"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B6458B" w14:textId="77777777" w:rsidR="00FA40E8" w:rsidRDefault="00E74AE8">
            <w:pPr>
              <w:pStyle w:val="P68B1DB1-Normal12"/>
              <w:spacing w:before="60" w:after="60"/>
              <w:rPr>
                <w:rFonts w:eastAsia="Times New Roman" w:cs="Times New Roman"/>
                <w:noProof/>
              </w:rPr>
            </w:pPr>
            <w:r>
              <w:rPr>
                <w:noProof/>
              </w:rPr>
              <w:t>Achèvement de l’automatisation de deux processus opérationnels par l’inspection nationale des impôts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96A9AE" w14:textId="77777777" w:rsidR="00FA40E8" w:rsidRDefault="00E74AE8">
            <w:pPr>
              <w:pStyle w:val="P68B1DB1-Normal12"/>
              <w:spacing w:before="60" w:after="60"/>
              <w:rPr>
                <w:rFonts w:eastAsia="Times New Roman" w:cs="Times New Roman"/>
                <w:noProof/>
              </w:rPr>
            </w:pPr>
            <w:r>
              <w:rPr>
                <w:noProof/>
              </w:rPr>
              <w:t>Mise en service du logiciel robotisé d’automatisation des processus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F85D4A" w14:textId="75B693E8"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1FBAFF" w14:textId="67CE7049" w:rsidR="00FA40E8" w:rsidRDefault="00FA40E8">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559DAE" w14:textId="1410E92F" w:rsidR="00FA40E8" w:rsidRDefault="00FA40E8">
            <w:pPr>
              <w:spacing w:before="60" w:after="60"/>
              <w:jc w:val="center"/>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8EFC44" w14:textId="77777777" w:rsidR="00FA40E8" w:rsidRDefault="00E74AE8">
            <w:pPr>
              <w:pStyle w:val="P68B1DB1-Normal12"/>
              <w:spacing w:before="60" w:after="60"/>
              <w:jc w:val="center"/>
              <w:rPr>
                <w:rFonts w:eastAsia="Times New Roman"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70B7AA" w14:textId="77777777" w:rsidR="00FA40E8" w:rsidRDefault="00E74AE8">
            <w:pPr>
              <w:pStyle w:val="P68B1DB1-Normal12"/>
              <w:spacing w:before="60" w:after="60"/>
              <w:jc w:val="center"/>
              <w:rPr>
                <w:rFonts w:eastAsia="Times New Roman"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DA70BC" w14:textId="77777777" w:rsidR="00FA40E8" w:rsidRDefault="00E74AE8">
            <w:pPr>
              <w:pStyle w:val="P68B1DB1-Normal12"/>
              <w:spacing w:before="60" w:after="60"/>
              <w:jc w:val="both"/>
              <w:rPr>
                <w:rFonts w:eastAsia="Times New Roman" w:cs="Times New Roman"/>
                <w:noProof/>
              </w:rPr>
            </w:pPr>
            <w:r>
              <w:rPr>
                <w:noProof/>
              </w:rPr>
              <w:t>Les licence</w:t>
            </w:r>
            <w:r>
              <w:rPr>
                <w:noProof/>
              </w:rPr>
              <w:t>s acquises pour le logiciel d’automatisation des processus robotisés sont utilisées pour automatiser deux processus opérationnels de l’inspection nationale des impôts:</w:t>
            </w:r>
          </w:p>
          <w:p w14:paraId="6B23A13B" w14:textId="79343429" w:rsidR="00FA40E8" w:rsidRDefault="00E74AE8">
            <w:pPr>
              <w:pStyle w:val="P68B1DB1-Normal12"/>
              <w:spacing w:before="60" w:after="60"/>
              <w:jc w:val="both"/>
              <w:rPr>
                <w:rFonts w:eastAsia="Times New Roman" w:cs="Times New Roman"/>
                <w:noProof/>
              </w:rPr>
            </w:pPr>
            <w:r>
              <w:rPr>
                <w:noProof/>
              </w:rPr>
              <w:t>— L’adoption de décisions et de protocoles en cas de violation du droit administratif;</w:t>
            </w:r>
          </w:p>
          <w:p w14:paraId="3396A7D4" w14:textId="45743D67" w:rsidR="00FA40E8" w:rsidRDefault="00E74AE8">
            <w:pPr>
              <w:pStyle w:val="P68B1DB1-Normal12"/>
              <w:spacing w:before="60" w:after="60"/>
              <w:jc w:val="both"/>
              <w:rPr>
                <w:rFonts w:eastAsia="Times New Roman" w:cs="Times New Roman"/>
                <w:noProof/>
              </w:rPr>
            </w:pPr>
            <w:r>
              <w:rPr>
                <w:noProof/>
              </w:rPr>
              <w:t>—</w:t>
            </w:r>
            <w:r>
              <w:rPr>
                <w:noProof/>
              </w:rPr>
              <w:t xml:space="preserve"> Révision des arriérés d’impôts et des amendes.</w:t>
            </w:r>
          </w:p>
        </w:tc>
      </w:tr>
      <w:tr w:rsidR="00FA40E8" w14:paraId="34D5E828"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CFC3B4" w14:textId="77777777" w:rsidR="00FA40E8" w:rsidRDefault="00E74AE8">
            <w:pPr>
              <w:pStyle w:val="P68B1DB1-Normal12"/>
              <w:spacing w:before="60" w:after="60"/>
              <w:jc w:val="center"/>
              <w:rPr>
                <w:rFonts w:eastAsia="Times New Roman" w:cs="Times New Roman"/>
                <w:noProof/>
              </w:rPr>
            </w:pPr>
            <w:r>
              <w:rPr>
                <w:noProof/>
              </w:rPr>
              <w:t>169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5A8DFF" w14:textId="262F6B27"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F.1.6. Une administration fiscale intelligente pour réduire l’écart de TVA — </w:t>
            </w:r>
          </w:p>
          <w:p w14:paraId="7B46BBF9" w14:textId="40811049"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F.1.6.4. Numérisation des timbres fiscaux</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A62967" w14:textId="77777777" w:rsidR="00FA40E8" w:rsidRDefault="00E74AE8">
            <w:pPr>
              <w:pStyle w:val="P68B1DB1-Normal12"/>
              <w:spacing w:before="60" w:after="60"/>
              <w:jc w:val="center"/>
              <w:rPr>
                <w:rFonts w:eastAsia="Times New Roman"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833C8" w14:textId="50DFE5EC" w:rsidR="00FA40E8" w:rsidRDefault="00E74AE8">
            <w:pPr>
              <w:pStyle w:val="P68B1DB1-Normal12"/>
              <w:spacing w:before="60" w:after="60"/>
              <w:rPr>
                <w:rFonts w:eastAsia="Times New Roman" w:cs="Times New Roman"/>
                <w:noProof/>
              </w:rPr>
            </w:pPr>
            <w:r>
              <w:rPr>
                <w:noProof/>
              </w:rPr>
              <w:t>Achèvement du projet pilote sur le remplacement des timbres fiscaux physiques</w:t>
            </w:r>
            <w:r>
              <w:rPr>
                <w:noProof/>
              </w:rPr>
              <w:t xml:space="preserve"> pour les boissons alcoolisées par des solutions numériques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4FCA39" w14:textId="2A2DBCA1" w:rsidR="00FA40E8" w:rsidRDefault="00E74AE8">
            <w:pPr>
              <w:pStyle w:val="P68B1DB1-Normal12"/>
              <w:spacing w:before="60" w:after="60"/>
              <w:rPr>
                <w:rFonts w:eastAsia="Times New Roman" w:cs="Times New Roman"/>
                <w:noProof/>
              </w:rPr>
            </w:pPr>
            <w:r>
              <w:rPr>
                <w:noProof/>
              </w:rPr>
              <w:t>Remise du rapport sur les résultats du projet pilote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0DE3C4" w14:textId="40D3347C"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E7C819" w14:textId="74DF97E5" w:rsidR="00FA40E8" w:rsidRDefault="00FA40E8">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F41E28" w14:textId="785520FE" w:rsidR="00FA40E8" w:rsidRDefault="00FA40E8">
            <w:pPr>
              <w:spacing w:before="60" w:after="60"/>
              <w:jc w:val="center"/>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35AB69" w14:textId="77777777" w:rsidR="00FA40E8" w:rsidRDefault="00E74AE8">
            <w:pPr>
              <w:pStyle w:val="P68B1DB1-Normal12"/>
              <w:spacing w:before="60" w:after="60"/>
              <w:jc w:val="center"/>
              <w:rPr>
                <w:rFonts w:eastAsia="Times New Roman"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FDD4E7" w14:textId="77777777" w:rsidR="00FA40E8" w:rsidRDefault="00E74AE8">
            <w:pPr>
              <w:pStyle w:val="P68B1DB1-Normal12"/>
              <w:spacing w:before="60" w:after="60"/>
              <w:jc w:val="center"/>
              <w:rPr>
                <w:rFonts w:eastAsia="Times New Roman"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56D91E" w14:textId="77777777" w:rsidR="00FA40E8" w:rsidRDefault="00E74AE8">
            <w:pPr>
              <w:pStyle w:val="P68B1DB1-Normal12"/>
              <w:spacing w:before="60" w:after="60"/>
              <w:jc w:val="both"/>
              <w:rPr>
                <w:noProof/>
              </w:rPr>
            </w:pPr>
            <w:r>
              <w:rPr>
                <w:noProof/>
              </w:rPr>
              <w:t>L’achèvement du projet pilote permettra:</w:t>
            </w:r>
          </w:p>
          <w:p w14:paraId="463C374E" w14:textId="197B45E7" w:rsidR="00FA40E8" w:rsidRDefault="00E74AE8">
            <w:pPr>
              <w:pStyle w:val="P68B1DB1-Normal12"/>
              <w:spacing w:before="60" w:after="60"/>
              <w:jc w:val="both"/>
              <w:rPr>
                <w:rFonts w:cs="Times New Roman"/>
                <w:noProof/>
              </w:rPr>
            </w:pPr>
            <w:r>
              <w:rPr>
                <w:noProof/>
              </w:rPr>
              <w:t>1) évaluer les possibilités de remplacer les timbres fiscaux sur papier actuellement utilis</w:t>
            </w:r>
            <w:r>
              <w:rPr>
                <w:noProof/>
              </w:rPr>
              <w:t xml:space="preserve">és pour protéger le marché contre les boissons alcoolisées illégales par des solutions numériques pour l’étiquetage de ces produits; </w:t>
            </w:r>
          </w:p>
          <w:p w14:paraId="13F02ECE" w14:textId="63AEDD30" w:rsidR="00FA40E8" w:rsidRDefault="00E74AE8">
            <w:pPr>
              <w:pStyle w:val="P68B1DB1-Normal12"/>
              <w:spacing w:before="60" w:after="60"/>
              <w:jc w:val="both"/>
              <w:rPr>
                <w:rFonts w:cs="Times New Roman"/>
                <w:noProof/>
              </w:rPr>
            </w:pPr>
            <w:r>
              <w:rPr>
                <w:noProof/>
              </w:rPr>
              <w:t xml:space="preserve">2) évaluer les possibilités de réduire la charge administrative et les coûts liés à l’étiquetage des boissons alcoolisées </w:t>
            </w:r>
            <w:r>
              <w:rPr>
                <w:noProof/>
              </w:rPr>
              <w:t>pour les opérateurs économiques.</w:t>
            </w:r>
          </w:p>
          <w:p w14:paraId="08DD8221" w14:textId="5E4EE691" w:rsidR="00FA40E8" w:rsidRDefault="00E74AE8">
            <w:pPr>
              <w:pStyle w:val="P68B1DB1-Normal12"/>
              <w:spacing w:before="60" w:after="60"/>
              <w:jc w:val="both"/>
              <w:rPr>
                <w:rFonts w:eastAsia="Times New Roman" w:cs="Times New Roman"/>
                <w:noProof/>
              </w:rPr>
            </w:pPr>
            <w:r>
              <w:rPr>
                <w:noProof/>
              </w:rPr>
              <w:t>Sur la base des résultats du projet pilote, l’inspection nationale des impôts décide s’il y a lieu de mettre au point un module spécifique permettant l’étiquetage électronique des boissons alcoolisées.</w:t>
            </w:r>
          </w:p>
        </w:tc>
      </w:tr>
      <w:tr w:rsidR="00FA40E8" w14:paraId="485401E8"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381AE7" w14:textId="5FB7F453" w:rsidR="00FA40E8" w:rsidRDefault="00E74AE8">
            <w:pPr>
              <w:pStyle w:val="P68B1DB1-Normal12"/>
              <w:spacing w:before="60" w:after="60"/>
              <w:jc w:val="center"/>
              <w:rPr>
                <w:strike/>
                <w:noProof/>
              </w:rPr>
            </w:pPr>
            <w:r>
              <w:rPr>
                <w:noProof/>
              </w:rPr>
              <w:t>170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374C9E" w14:textId="79E6C6A3"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F.1.6. Une administration fiscale intelligente pour réduire l’écart de TVA — </w:t>
            </w:r>
          </w:p>
          <w:p w14:paraId="3C6CD7A0" w14:textId="043C87ED"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F.1.6.5. Nouveaux outils d’analyse des données et mise à niveau des systèmes informatiques des douanes lituaniennes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98E872" w14:textId="07375814"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1A36A8" w14:textId="51E095CA" w:rsidR="00FA40E8" w:rsidRDefault="00E74AE8">
            <w:pPr>
              <w:pStyle w:val="P68B1DB1-Normal12"/>
              <w:spacing w:before="60" w:after="60"/>
              <w:rPr>
                <w:rFonts w:cs="Times New Roman"/>
                <w:noProof/>
              </w:rPr>
            </w:pPr>
            <w:r>
              <w:rPr>
                <w:noProof/>
              </w:rPr>
              <w:t>Fourniture de cinq nouvelles méthodes d’analyse des donn</w:t>
            </w:r>
            <w:r>
              <w:rPr>
                <w:noProof/>
              </w:rPr>
              <w:t>ées pour la gestion des risques fiscaux en Lituanie</w:t>
            </w:r>
            <w:r>
              <w:rPr>
                <w:strike/>
                <w:noProof/>
              </w:rPr>
              <w:t xml:space="preserve">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09CC9" w14:textId="375D9087" w:rsidR="00FA40E8" w:rsidRDefault="00E74AE8">
            <w:pPr>
              <w:pStyle w:val="P68B1DB1-Normal12"/>
              <w:spacing w:before="60" w:after="60"/>
              <w:rPr>
                <w:rFonts w:cs="Times New Roman"/>
                <w:noProof/>
              </w:rPr>
            </w:pPr>
            <w:r>
              <w:rPr>
                <w:noProof/>
              </w:rPr>
              <w:t xml:space="preserve">Fourniture de nouvelles méthodes d’analyse des données pour la gestion des risques fiscaux en Lituanie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0B963E" w14:textId="7ED8D102"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08FD6D0" w14:textId="13C548A9"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30C100" w14:textId="71AA3D45"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691C3B" w14:textId="5E2CE8A7" w:rsidR="00FA40E8" w:rsidRDefault="00E74AE8">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6CC73E" w14:textId="1613A6FA" w:rsidR="00FA40E8" w:rsidRDefault="00E74AE8">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18E69E" w14:textId="28857F47" w:rsidR="00FA40E8" w:rsidRDefault="00E74AE8">
            <w:pPr>
              <w:pStyle w:val="P68B1DB1-Normal13"/>
              <w:spacing w:before="60" w:after="60"/>
              <w:jc w:val="both"/>
              <w:rPr>
                <w:strike/>
                <w:noProof/>
              </w:rPr>
            </w:pPr>
            <w:r>
              <w:rPr>
                <w:noProof/>
              </w:rPr>
              <w:t xml:space="preserve">Fourniture de cinq nouvelles méthodes d’analyse des données pour la gestion des risques </w:t>
            </w:r>
            <w:r>
              <w:rPr>
                <w:noProof/>
              </w:rPr>
              <w:t>fiscaux des douanes lituaniennes.</w:t>
            </w:r>
          </w:p>
        </w:tc>
      </w:tr>
      <w:tr w:rsidR="00FA40E8" w14:paraId="753D4682"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D9F832" w14:textId="77777777" w:rsidR="00FA40E8" w:rsidRDefault="00E74AE8">
            <w:pPr>
              <w:pStyle w:val="P68B1DB1-Normal12"/>
              <w:spacing w:before="60" w:after="60"/>
              <w:jc w:val="center"/>
              <w:rPr>
                <w:rFonts w:cs="Times New Roman"/>
                <w:noProof/>
              </w:rPr>
            </w:pPr>
            <w:r>
              <w:rPr>
                <w:noProof/>
              </w:rPr>
              <w:t>171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4B894E" w14:textId="54186114"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F.1.6. Une administration fiscale intelligente pour réduire l’écart de TVA — </w:t>
            </w:r>
          </w:p>
          <w:p w14:paraId="1A138AFB" w14:textId="255F5BA5"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F.1.6.5. Nouveaux outils d’analyse des données et mise à niveau des systèmes informatiques des douanes lituaniennes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C77979" w14:textId="77777777" w:rsidR="00FA40E8" w:rsidRDefault="00E74AE8">
            <w:pPr>
              <w:pStyle w:val="P68B1DB1-Normal12"/>
              <w:spacing w:before="60" w:after="60"/>
              <w:jc w:val="center"/>
              <w:rPr>
                <w:rFonts w:cs="Times New Roman"/>
                <w:noProof/>
              </w:rPr>
            </w:pPr>
            <w:r>
              <w:rPr>
                <w:noProof/>
              </w:rPr>
              <w:t>Objectif</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8C234C" w14:textId="49816827" w:rsidR="00FA40E8" w:rsidRDefault="00E74AE8">
            <w:pPr>
              <w:pStyle w:val="P68B1DB1-Normal12"/>
              <w:spacing w:before="60" w:after="60"/>
              <w:rPr>
                <w:noProof/>
              </w:rPr>
            </w:pPr>
            <w:r>
              <w:rPr>
                <w:noProof/>
              </w:rPr>
              <w:t xml:space="preserve">Livraison du </w:t>
            </w:r>
            <w:r>
              <w:rPr>
                <w:noProof/>
              </w:rPr>
              <w:t>système intégré de contrôle des véhicules et des marchandises (TRAKIS) et interfaces avec les utilisateurs externes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32FCB2" w14:textId="5E397B71" w:rsidR="00FA40E8" w:rsidRDefault="00FA40E8">
            <w:pPr>
              <w:spacing w:before="60" w:after="60"/>
              <w:rPr>
                <w:rFonts w:ascii="Times New Roman" w:eastAsia="Times New Roman" w:hAnsi="Times New Roman" w:cs="Times New Roman"/>
                <w:noProof/>
                <w:sz w:val="20"/>
              </w:rPr>
            </w:pP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14E33A" w14:textId="77777777" w:rsidR="00FA40E8" w:rsidRDefault="00E74AE8">
            <w:pPr>
              <w:pStyle w:val="P68B1DB1-Normal12"/>
              <w:spacing w:before="60" w:after="60"/>
              <w:jc w:val="center"/>
              <w:rPr>
                <w:rFonts w:cs="Times New Roman"/>
                <w:noProof/>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5DE223" w14:textId="77777777" w:rsidR="00FA40E8" w:rsidRDefault="00E74AE8">
            <w:pPr>
              <w:pStyle w:val="P68B1DB1-Normal12"/>
              <w:spacing w:before="60" w:after="60"/>
              <w:jc w:val="center"/>
              <w:rPr>
                <w:rFonts w:cs="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B95027" w14:textId="77777777" w:rsidR="00FA40E8" w:rsidRDefault="00E74AE8">
            <w:pPr>
              <w:pStyle w:val="P68B1DB1-Normal12"/>
              <w:spacing w:before="60" w:after="60"/>
              <w:jc w:val="center"/>
              <w:rPr>
                <w:rFonts w:cs="Times New Roman"/>
                <w:noProof/>
              </w:rPr>
            </w:pPr>
            <w:r>
              <w:rPr>
                <w:noProof/>
              </w:rPr>
              <w:t>6</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44B02D" w14:textId="77777777" w:rsidR="00FA40E8" w:rsidRDefault="00E74AE8">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27772D" w14:textId="77777777" w:rsidR="00FA40E8" w:rsidRDefault="00E74AE8">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42366" w14:textId="0826B009" w:rsidR="00FA40E8" w:rsidRDefault="00E74AE8">
            <w:pPr>
              <w:pStyle w:val="P68B1DB1-Normal12"/>
              <w:spacing w:before="60" w:after="60"/>
              <w:jc w:val="both"/>
              <w:rPr>
                <w:rFonts w:eastAsia="Times New Roman" w:cs="Times New Roman"/>
                <w:noProof/>
              </w:rPr>
            </w:pPr>
            <w:r>
              <w:rPr>
                <w:noProof/>
              </w:rPr>
              <w:t>Livraison de:</w:t>
            </w:r>
          </w:p>
          <w:p w14:paraId="0FF52CA0" w14:textId="4F3BF121" w:rsidR="00FA40E8" w:rsidRDefault="00E74AE8">
            <w:pPr>
              <w:pStyle w:val="P68B1DB1-Normal12"/>
              <w:spacing w:before="60" w:after="60"/>
              <w:rPr>
                <w:rFonts w:eastAsia="Times New Roman" w:cs="Times New Roman"/>
                <w:noProof/>
              </w:rPr>
            </w:pPr>
            <w:r>
              <w:rPr>
                <w:noProof/>
              </w:rPr>
              <w:t xml:space="preserve">a) un système intégré de contrôle des véhicules et des marchandises (TRAKIS) — un sous-système du système </w:t>
            </w:r>
            <w:r>
              <w:rPr>
                <w:noProof/>
              </w:rPr>
              <w:t>intégré d’information douanière; et</w:t>
            </w:r>
          </w:p>
          <w:p w14:paraId="30FC1676" w14:textId="488F98F6" w:rsidR="00FA40E8" w:rsidRDefault="00E74AE8">
            <w:pPr>
              <w:pStyle w:val="P68B1DB1-Normal12"/>
              <w:spacing w:before="60" w:after="60"/>
              <w:jc w:val="both"/>
              <w:rPr>
                <w:rFonts w:eastAsia="Times New Roman" w:cs="Times New Roman"/>
                <w:noProof/>
              </w:rPr>
            </w:pPr>
            <w:r>
              <w:rPr>
                <w:noProof/>
              </w:rPr>
              <w:t>(b) cinq interfaces, entre TRAKIS et;</w:t>
            </w:r>
          </w:p>
          <w:p w14:paraId="2EC11775" w14:textId="68D244AC" w:rsidR="00FA40E8" w:rsidRDefault="00E74AE8">
            <w:pPr>
              <w:pStyle w:val="P68B1DB1-Normal12"/>
              <w:spacing w:before="60" w:after="60"/>
              <w:jc w:val="both"/>
              <w:rPr>
                <w:rFonts w:eastAsia="Times New Roman" w:cs="Times New Roman"/>
                <w:noProof/>
              </w:rPr>
            </w:pPr>
            <w:r>
              <w:rPr>
                <w:noProof/>
              </w:rPr>
              <w:t>— le système «i.VAZ» de l’inspection nationale des impôts [un sous-système du système d’administration fiscale intelligente (i.MAS)]</w:t>
            </w:r>
          </w:p>
          <w:p w14:paraId="2BC4CA2F" w14:textId="0606D3E8" w:rsidR="00FA40E8" w:rsidRDefault="00E74AE8">
            <w:pPr>
              <w:pStyle w:val="P68B1DB1-Normal12"/>
              <w:spacing w:before="60" w:after="60"/>
              <w:jc w:val="both"/>
              <w:rPr>
                <w:noProof/>
              </w:rPr>
            </w:pPr>
            <w:r>
              <w:rPr>
                <w:noProof/>
              </w:rPr>
              <w:t>— le système «VSATIS» du service national des gar</w:t>
            </w:r>
            <w:r>
              <w:rPr>
                <w:noProof/>
              </w:rPr>
              <w:t>des-frontières;</w:t>
            </w:r>
          </w:p>
          <w:p w14:paraId="1E9F25F6" w14:textId="12D92C46" w:rsidR="00FA40E8" w:rsidRDefault="00E74AE8">
            <w:pPr>
              <w:pStyle w:val="P68B1DB1-Normal12"/>
              <w:spacing w:before="60" w:after="60"/>
              <w:jc w:val="both"/>
              <w:rPr>
                <w:noProof/>
              </w:rPr>
            </w:pPr>
            <w:r>
              <w:rPr>
                <w:noProof/>
              </w:rPr>
              <w:t xml:space="preserve">— le système du port maritime de Klaipėda «KIPIS»; </w:t>
            </w:r>
          </w:p>
          <w:p w14:paraId="42D6BD57" w14:textId="4EFC1970" w:rsidR="00FA40E8" w:rsidRDefault="00E74AE8">
            <w:pPr>
              <w:pStyle w:val="P68B1DB1-Normal12"/>
              <w:spacing w:before="60" w:after="60"/>
              <w:jc w:val="both"/>
              <w:rPr>
                <w:noProof/>
              </w:rPr>
            </w:pPr>
            <w:r>
              <w:rPr>
                <w:noProof/>
              </w:rPr>
              <w:t xml:space="preserve">— Système de gestion du trafic du point de passage frontalier de Medininkai; </w:t>
            </w:r>
          </w:p>
          <w:p w14:paraId="24CA0562" w14:textId="26906AA3" w:rsidR="00FA40E8" w:rsidRDefault="00E74AE8">
            <w:pPr>
              <w:pStyle w:val="P68B1DB1-Normal12"/>
              <w:spacing w:before="60" w:after="60"/>
              <w:jc w:val="both"/>
              <w:rPr>
                <w:noProof/>
              </w:rPr>
            </w:pPr>
            <w:r>
              <w:rPr>
                <w:noProof/>
              </w:rPr>
              <w:t>— le fournisseur de logiciels JSC «Softra» «Licence Plate Recognition System SOFTRA Cloud v3.0».</w:t>
            </w:r>
          </w:p>
        </w:tc>
      </w:tr>
      <w:tr w:rsidR="00FA40E8" w14:paraId="6EAC21E2"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C6D51F" w14:textId="77777777" w:rsidR="00FA40E8" w:rsidRDefault="00E74AE8">
            <w:pPr>
              <w:pStyle w:val="P68B1DB1-Normal12"/>
              <w:spacing w:before="60" w:after="60"/>
              <w:jc w:val="center"/>
              <w:rPr>
                <w:rFonts w:cs="Times New Roman"/>
                <w:noProof/>
              </w:rPr>
            </w:pPr>
            <w:r>
              <w:rPr>
                <w:noProof/>
              </w:rPr>
              <w:t>172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F4A286" w14:textId="07D13944"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F.1.6. Une administration fiscale intelligente pour réduire l’écart de TVA — </w:t>
            </w:r>
          </w:p>
          <w:p w14:paraId="48EAF5AE" w14:textId="46512491"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F.1.6.6. Formation du personnel de l’inspection nationale des impôts et des douanes lituaniennes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8DFF1DE"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4ED3CD" w14:textId="49DDF371" w:rsidR="00FA40E8" w:rsidRDefault="00E74AE8">
            <w:pPr>
              <w:pStyle w:val="P68B1DB1-Normal12"/>
              <w:spacing w:before="60" w:after="60"/>
              <w:rPr>
                <w:rFonts w:eastAsia="Times New Roman" w:cs="Times New Roman"/>
                <w:noProof/>
              </w:rPr>
            </w:pPr>
            <w:r>
              <w:rPr>
                <w:noProof/>
              </w:rPr>
              <w:t xml:space="preserve">Outils de gestion des compétences de l’inspection nationale des impôts, du </w:t>
            </w:r>
            <w:r>
              <w:rPr>
                <w:noProof/>
              </w:rPr>
              <w:t>personnel des douanes lituaniennes et des clients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02694" w14:textId="0DA03A46" w:rsidR="00FA40E8" w:rsidRDefault="00E74AE8">
            <w:pPr>
              <w:pStyle w:val="P68B1DB1-Normal12"/>
              <w:spacing w:before="60" w:after="60"/>
              <w:rPr>
                <w:rFonts w:eastAsia="Times New Roman" w:cs="Times New Roman"/>
                <w:noProof/>
              </w:rPr>
            </w:pPr>
            <w:r>
              <w:rPr>
                <w:noProof/>
              </w:rPr>
              <w:t xml:space="preserve">Fourniture d’outils à des fins de formation à l’inspection nationale des impôts et aux douanes lituaniennes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74E411" w14:textId="4C81E246"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5E3406" w14:textId="58B901AB"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0FE8779" w14:textId="1810D49B"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9FF6C2" w14:textId="77777777" w:rsidR="00FA40E8" w:rsidRDefault="00E74AE8">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CA6D75" w14:textId="7D777355" w:rsidR="00FA40E8" w:rsidRDefault="00E74AE8">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C1E649" w14:textId="44A87CD4" w:rsidR="00FA40E8" w:rsidRDefault="00E74AE8">
            <w:pPr>
              <w:pStyle w:val="P68B1DB1-Normal12"/>
              <w:spacing w:before="60" w:after="60"/>
              <w:jc w:val="both"/>
              <w:rPr>
                <w:strike/>
                <w:noProof/>
              </w:rPr>
            </w:pPr>
            <w:r>
              <w:rPr>
                <w:noProof/>
              </w:rPr>
              <w:t>Fourniture a) d’un outil numérique de gestion de la formation aux douanes lituaniennes</w:t>
            </w:r>
            <w:r>
              <w:rPr>
                <w:noProof/>
              </w:rPr>
              <w:t>; b) sept modules de formation pour les agents des douanes lituaniens et/ou leurs clients, dont au moins un module utilisant la réalité virtuelle; c) un répertoire des ressources pédagogiques à l’Inspection nationale des impôts.</w:t>
            </w:r>
          </w:p>
        </w:tc>
      </w:tr>
      <w:tr w:rsidR="00FA40E8" w14:paraId="1A72957C"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9CD11D" w14:textId="77777777" w:rsidR="00FA40E8" w:rsidRDefault="00E74AE8">
            <w:pPr>
              <w:pStyle w:val="P68B1DB1-Normal12"/>
              <w:spacing w:before="60" w:after="60"/>
              <w:jc w:val="center"/>
              <w:rPr>
                <w:rFonts w:cs="Times New Roman"/>
                <w:noProof/>
              </w:rPr>
            </w:pPr>
            <w:r>
              <w:rPr>
                <w:noProof/>
              </w:rPr>
              <w:t>173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895539" w14:textId="1CA4856C"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F.1.6. Une administration fiscale intelligente pour réduire l’écart de TVA — </w:t>
            </w:r>
          </w:p>
          <w:p w14:paraId="070F22AD" w14:textId="59A4DB99"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F.1.6.6. Formation du personnel de l’inspection nationale des impôts et des douanes lituaniennes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B1F1DB" w14:textId="77777777" w:rsidR="00FA40E8" w:rsidRDefault="00E74AE8">
            <w:pPr>
              <w:pStyle w:val="P68B1DB1-Normal12"/>
              <w:spacing w:before="60" w:after="60"/>
              <w:jc w:val="center"/>
              <w:rPr>
                <w:rFonts w:cs="Times New Roman"/>
                <w:noProof/>
              </w:rPr>
            </w:pPr>
            <w:r>
              <w:rPr>
                <w:noProof/>
              </w:rPr>
              <w:t>Objectif</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84270" w14:textId="0F1996BD" w:rsidR="00FA40E8" w:rsidRDefault="00E74AE8">
            <w:pPr>
              <w:pStyle w:val="P68B1DB1-Normal12"/>
              <w:spacing w:before="60" w:after="60"/>
              <w:rPr>
                <w:rFonts w:eastAsia="Times New Roman" w:cs="Times New Roman"/>
                <w:noProof/>
              </w:rPr>
            </w:pPr>
            <w:r>
              <w:rPr>
                <w:noProof/>
              </w:rPr>
              <w:t>Participation à des activités de formation</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39A166" w14:textId="64936B00" w:rsidR="00FA40E8" w:rsidRDefault="00FA40E8">
            <w:pPr>
              <w:spacing w:before="60" w:after="60"/>
              <w:rPr>
                <w:rFonts w:ascii="Times New Roman" w:eastAsia="Times New Roman" w:hAnsi="Times New Roman" w:cs="Times New Roman"/>
                <w:noProof/>
                <w:sz w:val="20"/>
              </w:rPr>
            </w:pP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F1904F" w14:textId="77777777" w:rsidR="00FA40E8" w:rsidRDefault="00E74AE8">
            <w:pPr>
              <w:pStyle w:val="P68B1DB1-Normal12"/>
              <w:spacing w:before="60" w:after="60"/>
              <w:jc w:val="center"/>
              <w:rPr>
                <w:rFonts w:cs="Times New Roman"/>
                <w:noProof/>
              </w:rPr>
            </w:pPr>
            <w:r>
              <w:rPr>
                <w:noProof/>
              </w:rPr>
              <w:t>Nombre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3A00C4" w14:textId="77777777" w:rsidR="00FA40E8" w:rsidRDefault="00E74AE8">
            <w:pPr>
              <w:pStyle w:val="P68B1DB1-Normal12"/>
              <w:spacing w:before="60" w:after="60"/>
              <w:jc w:val="center"/>
              <w:rPr>
                <w:rFonts w:cs="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3C1F6B" w14:textId="3A24D3B4" w:rsidR="00FA40E8" w:rsidRDefault="00E74AE8">
            <w:pPr>
              <w:pStyle w:val="P68B1DB1-Normal12"/>
              <w:spacing w:before="60" w:after="60"/>
              <w:jc w:val="center"/>
              <w:rPr>
                <w:rFonts w:cs="Times New Roman"/>
                <w:noProof/>
              </w:rPr>
            </w:pPr>
            <w:r>
              <w:rPr>
                <w:noProof/>
              </w:rPr>
              <w:t>1 050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8E18E7" w14:textId="77777777" w:rsidR="00FA40E8" w:rsidRDefault="00E74AE8">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5DFEE7" w14:textId="77777777" w:rsidR="00FA40E8" w:rsidRDefault="00E74AE8">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08CB79" w14:textId="1104EA10" w:rsidR="00FA40E8" w:rsidRDefault="00E74AE8">
            <w:pPr>
              <w:pStyle w:val="P68B1DB1-Normal12"/>
              <w:spacing w:before="60" w:after="60"/>
              <w:jc w:val="both"/>
              <w:rPr>
                <w:noProof/>
              </w:rPr>
            </w:pPr>
            <w:r>
              <w:rPr>
                <w:noProof/>
              </w:rPr>
              <w:t>Au mo</w:t>
            </w:r>
            <w:r>
              <w:rPr>
                <w:noProof/>
              </w:rPr>
              <w:t>ins 1 050 certificats de formation délivrés. Au moins 800 certificats sont délivrés pour les formations de l’inspection nationale des impôts et au moins 250 pour les formations douanières lituaniennes.</w:t>
            </w:r>
          </w:p>
        </w:tc>
      </w:tr>
      <w:tr w:rsidR="00FA40E8" w14:paraId="57777E88"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DD7630" w14:textId="77777777" w:rsidR="00FA40E8" w:rsidRDefault="00E74AE8">
            <w:pPr>
              <w:pStyle w:val="P68B1DB1-Normal12"/>
              <w:spacing w:before="60" w:after="60"/>
              <w:jc w:val="center"/>
              <w:rPr>
                <w:rFonts w:cs="Times New Roman"/>
                <w:noProof/>
              </w:rPr>
            </w:pPr>
            <w:r>
              <w:rPr>
                <w:noProof/>
              </w:rPr>
              <w:t>174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0A3C9C" w14:textId="2B1CA2F4"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 xml:space="preserve">F.1.7. Fourniture d’un écosystème de documents </w:t>
            </w:r>
            <w:r>
              <w:rPr>
                <w:rStyle w:val="normaltextrun"/>
                <w:rFonts w:ascii="Times New Roman" w:hAnsi="Times New Roman"/>
                <w:noProof/>
                <w:sz w:val="20"/>
              </w:rPr>
              <w:t>électroniques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C3ED7C"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7A8C76" w14:textId="27A0B743" w:rsidR="00FA40E8" w:rsidRDefault="00E74AE8">
            <w:pPr>
              <w:pStyle w:val="P68B1DB1-Normal12"/>
              <w:spacing w:before="60" w:after="60"/>
              <w:rPr>
                <w:rFonts w:eastAsia="Times New Roman" w:cs="Times New Roman"/>
                <w:noProof/>
              </w:rPr>
            </w:pPr>
            <w:r>
              <w:rPr>
                <w:noProof/>
              </w:rPr>
              <w:t>Entrée en vigueur des actes législatifs concernant les journaux des caisses enregistreuses et les reçus électroniques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414753" w14:textId="47EBE012" w:rsidR="00FA40E8" w:rsidRDefault="00E74AE8">
            <w:pPr>
              <w:pStyle w:val="P68B1DB1-Normal12"/>
              <w:spacing w:before="60" w:after="60"/>
              <w:rPr>
                <w:rFonts w:cs="Times New Roman"/>
                <w:noProof/>
              </w:rPr>
            </w:pPr>
            <w:r>
              <w:rPr>
                <w:noProof/>
              </w:rPr>
              <w:t xml:space="preserve">Entrée en vigueur de la législation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59F0BB" w14:textId="514D3CE1"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74F00A" w14:textId="3E11F0BC"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29975E" w14:textId="7957F2FE" w:rsidR="00FA40E8" w:rsidRDefault="00FA40E8">
            <w:pPr>
              <w:spacing w:before="60" w:after="60"/>
              <w:jc w:val="center"/>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A0F0AD" w14:textId="77777777" w:rsidR="00FA40E8" w:rsidRDefault="00E74AE8">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43DFCAE" w14:textId="77777777" w:rsidR="00FA40E8" w:rsidRDefault="00E74AE8">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6ED1E8" w14:textId="3EFFF00D" w:rsidR="00FA40E8" w:rsidRDefault="00E74AE8">
            <w:pPr>
              <w:pStyle w:val="P68B1DB1-Normal12"/>
              <w:spacing w:before="60" w:after="60"/>
              <w:jc w:val="both"/>
              <w:rPr>
                <w:rFonts w:eastAsia="Times New Roman" w:cs="Times New Roman"/>
                <w:noProof/>
              </w:rPr>
            </w:pPr>
            <w:r>
              <w:rPr>
                <w:noProof/>
              </w:rPr>
              <w:t>Entrée en vigueur d’une législation qui: — imposer aux entreprises l’o</w:t>
            </w:r>
            <w:r>
              <w:rPr>
                <w:noProof/>
              </w:rPr>
              <w:t>bligation de fournir les données numériques des caisses enregistreuses à l’administration fiscale; et fixer des exigences techniques obligatoires pour les reçus électroniques.</w:t>
            </w:r>
          </w:p>
        </w:tc>
      </w:tr>
      <w:tr w:rsidR="00FA40E8" w14:paraId="49A56222"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3E0BAA" w14:textId="77777777" w:rsidR="00FA40E8" w:rsidRDefault="00E74AE8">
            <w:pPr>
              <w:pStyle w:val="P68B1DB1-Normal12"/>
              <w:spacing w:before="60" w:after="60"/>
              <w:jc w:val="center"/>
              <w:rPr>
                <w:rFonts w:cs="Times New Roman"/>
                <w:noProof/>
              </w:rPr>
            </w:pPr>
            <w:r>
              <w:rPr>
                <w:noProof/>
              </w:rPr>
              <w:t>175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BABC52" w14:textId="125002C7"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F.1.7. Fourniture d’un écosystème de documents électroniques — </w:t>
            </w:r>
          </w:p>
          <w:p w14:paraId="64AB8924" w14:textId="365FFEB2"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 xml:space="preserve">F.1.7.1. </w:t>
            </w:r>
            <w:r>
              <w:rPr>
                <w:rStyle w:val="normaltextrun"/>
                <w:rFonts w:ascii="Times New Roman" w:hAnsi="Times New Roman"/>
                <w:noProof/>
                <w:sz w:val="20"/>
              </w:rPr>
              <w:t>Sous-mesure 1. Création d’une solution pour permettre les reçus électroniques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B90604"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289C6D" w14:textId="77777777" w:rsidR="00FA40E8" w:rsidRDefault="00E74AE8">
            <w:pPr>
              <w:pStyle w:val="P68B1DB1-Normal12"/>
              <w:spacing w:before="60" w:after="60"/>
              <w:rPr>
                <w:rFonts w:eastAsia="Times New Roman" w:cs="Times New Roman"/>
                <w:noProof/>
              </w:rPr>
            </w:pPr>
            <w:r>
              <w:rPr>
                <w:noProof/>
              </w:rPr>
              <w:t>Mise en service de solutions technologiques pour permettre l’utilisation pratique des reçus électroniques dans les processus opérationnels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05B454" w14:textId="77777777" w:rsidR="00FA40E8" w:rsidRDefault="00E74AE8">
            <w:pPr>
              <w:pStyle w:val="P68B1DB1-Normal12"/>
              <w:spacing w:before="60" w:after="60"/>
              <w:rPr>
                <w:rFonts w:eastAsia="Times New Roman" w:cs="Times New Roman"/>
                <w:noProof/>
              </w:rPr>
            </w:pPr>
            <w:r>
              <w:rPr>
                <w:noProof/>
              </w:rPr>
              <w:t>Mise en service du nouveau servic</w:t>
            </w:r>
            <w:r>
              <w:rPr>
                <w:noProof/>
              </w:rPr>
              <w:t xml:space="preserve">e en ligne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E3ACDE" w14:textId="15A67B6B"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6B9CE2" w14:textId="06F239F7"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6E7AF2" w14:textId="29DC63ED" w:rsidR="00FA40E8" w:rsidRDefault="00FA40E8">
            <w:pPr>
              <w:spacing w:before="60" w:after="60"/>
              <w:jc w:val="center"/>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6F5EAB" w14:textId="77777777" w:rsidR="00FA40E8" w:rsidRDefault="00E74AE8">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8FAE46" w14:textId="77777777" w:rsidR="00FA40E8" w:rsidRDefault="00E74AE8">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C4C423" w14:textId="348759AF" w:rsidR="00FA40E8" w:rsidRDefault="00E74AE8">
            <w:pPr>
              <w:pStyle w:val="P68B1DB1-Normal12"/>
              <w:spacing w:before="60" w:after="60"/>
              <w:jc w:val="both"/>
              <w:rPr>
                <w:rFonts w:eastAsia="Times New Roman" w:cs="Times New Roman"/>
                <w:noProof/>
              </w:rPr>
            </w:pPr>
            <w:r>
              <w:rPr>
                <w:noProof/>
              </w:rPr>
              <w:t>Mise en service de l’application (nouveau service en ligne) développée pour générer un reçu électronique et le livrer des entreprises aux consommateurs. Cette demande est mise à la disposition des entreprises par l’inspection nationa</w:t>
            </w:r>
            <w:r>
              <w:rPr>
                <w:noProof/>
              </w:rPr>
              <w:t>le des impôts.</w:t>
            </w:r>
          </w:p>
        </w:tc>
      </w:tr>
      <w:tr w:rsidR="00FA40E8" w14:paraId="3AA26166"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B29003" w14:textId="77777777" w:rsidR="00FA40E8" w:rsidRDefault="00E74AE8">
            <w:pPr>
              <w:pStyle w:val="P68B1DB1-Normal12"/>
              <w:spacing w:before="60" w:after="60"/>
              <w:jc w:val="center"/>
              <w:rPr>
                <w:rFonts w:cs="Times New Roman"/>
                <w:noProof/>
              </w:rPr>
            </w:pPr>
            <w:r>
              <w:rPr>
                <w:noProof/>
              </w:rPr>
              <w:t>176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077350" w14:textId="58BCAF7B" w:rsidR="00FA40E8" w:rsidRDefault="00E74AE8">
            <w:pPr>
              <w:spacing w:before="60" w:after="60"/>
              <w:rPr>
                <w:rFonts w:ascii="Times New Roman" w:hAnsi="Times New Roman"/>
                <w:noProof/>
                <w:sz w:val="20"/>
              </w:rPr>
            </w:pPr>
            <w:r>
              <w:rPr>
                <w:rStyle w:val="normaltextrun"/>
                <w:rFonts w:ascii="Times New Roman" w:hAnsi="Times New Roman"/>
                <w:noProof/>
                <w:sz w:val="20"/>
              </w:rPr>
              <w:t xml:space="preserve">F.1.7. Fourniture d’un écosystème de documents électroniques — </w:t>
            </w:r>
          </w:p>
          <w:p w14:paraId="254B9EE1" w14:textId="22875653" w:rsidR="00FA40E8" w:rsidRDefault="00E74AE8">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F.1.7.2. Sous-mesure 2. Livraison d’un prototype de portail eFTI</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C73AE6" w14:textId="1C74FB8B" w:rsidR="00FA40E8" w:rsidRDefault="00E74AE8">
            <w:pPr>
              <w:pStyle w:val="P68B1DB1-Normal12"/>
              <w:spacing w:before="60" w:after="60"/>
              <w:jc w:val="center"/>
              <w:rPr>
                <w:rFonts w:eastAsia="Times New Roman"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2B6184" w14:textId="12B6543E" w:rsidR="00FA40E8" w:rsidRDefault="00E74AE8">
            <w:pPr>
              <w:pStyle w:val="P68B1DB1-Normal12"/>
              <w:spacing w:before="60" w:after="60"/>
              <w:rPr>
                <w:rFonts w:eastAsia="Times New Roman" w:cs="Times New Roman"/>
                <w:noProof/>
              </w:rPr>
            </w:pPr>
            <w:r>
              <w:rPr>
                <w:noProof/>
              </w:rPr>
              <w:t xml:space="preserve">Fourniture d’un prototype de solutions technologiques permettant l’accès aux informations sur le </w:t>
            </w:r>
            <w:r>
              <w:rPr>
                <w:noProof/>
              </w:rPr>
              <w:t>transport de marchandises gérées par les entreprises sous la forme de données eFTI</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490E9A" w14:textId="77777777" w:rsidR="00FA40E8" w:rsidRDefault="00E74AE8">
            <w:pPr>
              <w:pStyle w:val="P68B1DB1-Normal12"/>
              <w:spacing w:before="60" w:after="60"/>
              <w:rPr>
                <w:rFonts w:cs="Times New Roman"/>
                <w:noProof/>
              </w:rPr>
            </w:pPr>
            <w:r>
              <w:rPr>
                <w:noProof/>
              </w:rPr>
              <w:t>Mise en service du nouveau service en ligne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C1D0FB" w14:textId="77777777"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B1F5F" w14:textId="2ED984AD"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6F78D2" w14:textId="77777777" w:rsidR="00FA40E8" w:rsidRDefault="00FA40E8">
            <w:pPr>
              <w:spacing w:before="60" w:after="60"/>
              <w:jc w:val="center"/>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7AED21" w14:textId="36FAA344"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E7C07C" w14:textId="48564896" w:rsidR="00FA40E8" w:rsidRDefault="00E74AE8">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9D1E5B" w14:textId="4D895F18" w:rsidR="00FA40E8" w:rsidRDefault="00E74AE8">
            <w:pPr>
              <w:pStyle w:val="P68B1DB1-Normal12"/>
              <w:spacing w:before="60" w:after="60"/>
              <w:jc w:val="both"/>
              <w:rPr>
                <w:rFonts w:eastAsia="Times New Roman" w:cs="Times New Roman"/>
                <w:noProof/>
              </w:rPr>
            </w:pPr>
            <w:r>
              <w:rPr>
                <w:noProof/>
              </w:rPr>
              <w:t xml:space="preserve">Fourniture d’un prototype des fonctionnalités (nouveau service en ligne) du sous-système i.VAZ (envois électroniques) </w:t>
            </w:r>
            <w:r>
              <w:rPr>
                <w:noProof/>
              </w:rPr>
              <w:t xml:space="preserve">du système d’administration fiscale intelligente (i.MAS) géré par l’inspection nationale des impôts pour l’accès des autorités de contrôle aux données eFTI des entreprises. </w:t>
            </w:r>
          </w:p>
        </w:tc>
      </w:tr>
      <w:tr w:rsidR="00FA40E8" w14:paraId="3D61B03F"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7F65D1" w14:textId="77777777" w:rsidR="00FA40E8" w:rsidRDefault="00E74AE8">
            <w:pPr>
              <w:pStyle w:val="P68B1DB1-Normal12"/>
              <w:spacing w:before="60" w:after="60"/>
              <w:jc w:val="center"/>
              <w:rPr>
                <w:rFonts w:cs="Times New Roman"/>
                <w:noProof/>
              </w:rPr>
            </w:pPr>
            <w:r>
              <w:rPr>
                <w:noProof/>
              </w:rPr>
              <w:t>177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C71BBA5" w14:textId="77777777"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F.1.8. Un guichet unique pour le paiement des amendes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38960A"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FE0DA2C" w14:textId="21081A5D" w:rsidR="00FA40E8" w:rsidRDefault="00E74AE8">
            <w:pPr>
              <w:pStyle w:val="P68B1DB1-Normal12"/>
              <w:spacing w:before="60" w:after="60"/>
              <w:rPr>
                <w:rFonts w:cs="Times New Roman"/>
                <w:noProof/>
              </w:rPr>
            </w:pPr>
            <w:r>
              <w:rPr>
                <w:noProof/>
              </w:rPr>
              <w:t>Adoption de modifications des actes juridiques permettant à l’inspection nationale des impôts d’administrer la majorité des amendes et des sanctions économiques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1E89F9" w14:textId="4EE81E40" w:rsidR="00FA40E8" w:rsidRDefault="00E74AE8">
            <w:pPr>
              <w:pStyle w:val="P68B1DB1-Normal12"/>
              <w:spacing w:before="60" w:after="60"/>
              <w:rPr>
                <w:rFonts w:cs="Times New Roman"/>
                <w:noProof/>
              </w:rPr>
            </w:pPr>
            <w:r>
              <w:rPr>
                <w:noProof/>
              </w:rPr>
              <w:t>Dispositions des lois modificatives indiquant l’adoption d’une législation transférant à l’insp</w:t>
            </w:r>
            <w:r>
              <w:rPr>
                <w:noProof/>
              </w:rPr>
              <w:t>ection nationale des impôts l’administration de la majorité des amendes et sanctions économiques imposées par l’État</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9FF3F2" w14:textId="1399428A"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E4044" w14:textId="3586E8AF"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FD430C5" w14:textId="27EFCC8C"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A5FB4A8"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A268A0" w14:textId="77777777" w:rsidR="00FA40E8" w:rsidRDefault="00E74AE8">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948290" w14:textId="39DD6D7E" w:rsidR="00FA40E8" w:rsidRDefault="00E74AE8">
            <w:pPr>
              <w:pStyle w:val="P68B1DB1-Normal12"/>
              <w:spacing w:before="60" w:after="60"/>
              <w:jc w:val="both"/>
              <w:rPr>
                <w:rFonts w:cs="Times New Roman"/>
                <w:noProof/>
              </w:rPr>
            </w:pPr>
            <w:r>
              <w:rPr>
                <w:noProof/>
              </w:rPr>
              <w:t xml:space="preserve">La législation nécessaire (loi sur l’administration fiscale et autres lois sur les amendes et autres sanctions économiques </w:t>
            </w:r>
            <w:r>
              <w:rPr>
                <w:noProof/>
              </w:rPr>
              <w:t>imposées par l’État) permettant à l’inspection nationale des impôts d’administrer la majorité des amendes et sanctions économiques est adoptée.</w:t>
            </w:r>
          </w:p>
        </w:tc>
      </w:tr>
      <w:tr w:rsidR="00FA40E8" w14:paraId="43AB3ACC"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7B323DF" w14:textId="77777777" w:rsidR="00FA40E8" w:rsidRDefault="00E74AE8">
            <w:pPr>
              <w:pStyle w:val="P68B1DB1-Normal12"/>
              <w:spacing w:before="60" w:after="60"/>
              <w:jc w:val="center"/>
              <w:rPr>
                <w:rFonts w:cs="Times New Roman"/>
                <w:noProof/>
              </w:rPr>
            </w:pPr>
            <w:r>
              <w:rPr>
                <w:noProof/>
              </w:rPr>
              <w:t>178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740AAF" w14:textId="77777777"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F.1.8. Un guichet unique pour le paiement des amendes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CAD243" w14:textId="32462BF1"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F12364" w14:textId="30A40023" w:rsidR="00FA40E8" w:rsidRDefault="00E74AE8">
            <w:pPr>
              <w:pStyle w:val="P68B1DB1-Normal12"/>
              <w:spacing w:before="60" w:after="60" w:line="240" w:lineRule="auto"/>
              <w:rPr>
                <w:rFonts w:cs="Times New Roman"/>
                <w:noProof/>
              </w:rPr>
            </w:pPr>
            <w:r>
              <w:rPr>
                <w:noProof/>
              </w:rPr>
              <w:t xml:space="preserve">Interfaces pour les amendes et les sanctions économiques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E77F02" w14:textId="5A166749" w:rsidR="00FA40E8" w:rsidRDefault="00E74AE8">
            <w:pPr>
              <w:pStyle w:val="P68B1DB1-Normal12"/>
              <w:spacing w:before="60" w:after="60"/>
              <w:rPr>
                <w:rFonts w:cs="Times New Roman"/>
                <w:noProof/>
              </w:rPr>
            </w:pPr>
            <w:r>
              <w:rPr>
                <w:noProof/>
              </w:rPr>
              <w:t>Mise en place des interfaces permettant aux institutions qui infligent des amendes et des sanctions économiques d’envoyer des données électroniques sur les amendes et les sanctions économiques à l’i</w:t>
            </w:r>
            <w:r>
              <w:rPr>
                <w:noProof/>
              </w:rPr>
              <w:t>nspection nationale des impôts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00034BC" w14:textId="1EA617BB"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F54E" w14:textId="64E932AE"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4165F1E" w14:textId="614A1D91"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94BDB11"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E1FEB7F" w14:textId="77777777" w:rsidR="00FA40E8" w:rsidRDefault="00E74AE8">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1DD58FA" w14:textId="1B2206AE" w:rsidR="00FA40E8" w:rsidRDefault="00E74AE8">
            <w:pPr>
              <w:pStyle w:val="P68B1DB1-Normal12"/>
              <w:spacing w:before="60" w:after="60"/>
              <w:jc w:val="both"/>
              <w:rPr>
                <w:noProof/>
                <w:highlight w:val="yellow"/>
              </w:rPr>
            </w:pPr>
            <w:r>
              <w:rPr>
                <w:noProof/>
              </w:rPr>
              <w:t>Mise en place des interfaces permettant aux institutions qui infligent des amendes et des sanctions économiques d’envoyer des données électroniques sur les amendes et les sanctions économiques à l’inspection nation</w:t>
            </w:r>
            <w:r>
              <w:rPr>
                <w:noProof/>
              </w:rPr>
              <w:t>ale des impôts. Les résolutions du gouvernement approuvant</w:t>
            </w:r>
            <w:r>
              <w:rPr>
                <w:b/>
                <w:noProof/>
              </w:rPr>
              <w:t xml:space="preserve"> </w:t>
            </w:r>
            <w:r>
              <w:rPr>
                <w:noProof/>
              </w:rPr>
              <w:t>les règlements des systèmes d’information énumèrent les institutions concernées.</w:t>
            </w:r>
          </w:p>
        </w:tc>
      </w:tr>
      <w:tr w:rsidR="00FA40E8" w14:paraId="0D9FF6A3"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FB84FF" w14:textId="77777777" w:rsidR="00FA40E8" w:rsidRDefault="00E74AE8">
            <w:pPr>
              <w:pStyle w:val="P68B1DB1-Normal12"/>
              <w:spacing w:before="60" w:after="60"/>
              <w:jc w:val="center"/>
              <w:rPr>
                <w:rFonts w:cs="Times New Roman"/>
                <w:noProof/>
              </w:rPr>
            </w:pPr>
            <w:r>
              <w:rPr>
                <w:noProof/>
              </w:rPr>
              <w:t>179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29D8CB" w14:textId="77777777" w:rsidR="00FA40E8" w:rsidRDefault="00E74AE8">
            <w:pPr>
              <w:spacing w:before="60" w:after="60"/>
              <w:rPr>
                <w:rFonts w:ascii="Times New Roman" w:hAnsi="Times New Roman" w:cs="Times New Roman"/>
                <w:noProof/>
                <w:sz w:val="20"/>
              </w:rPr>
            </w:pPr>
            <w:r>
              <w:rPr>
                <w:rStyle w:val="normaltextrun"/>
                <w:rFonts w:ascii="Times New Roman" w:hAnsi="Times New Roman"/>
                <w:noProof/>
                <w:sz w:val="20"/>
              </w:rPr>
              <w:t>F.1.9. Système de répertoire pour l’audit et les contrôles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6EB963" w14:textId="77777777" w:rsidR="00FA40E8" w:rsidRDefault="00E74AE8">
            <w:pPr>
              <w:pStyle w:val="P68B1DB1-Normal12"/>
              <w:spacing w:before="60" w:after="60"/>
              <w:jc w:val="center"/>
              <w:rPr>
                <w:rFonts w:cs="Times New Roman"/>
                <w:noProof/>
              </w:rPr>
            </w:pPr>
            <w:r>
              <w:rPr>
                <w:noProof/>
              </w:rPr>
              <w:t>Étape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CAFC68" w14:textId="77777777" w:rsidR="00FA40E8" w:rsidRDefault="00E74AE8">
            <w:pPr>
              <w:pStyle w:val="P68B1DB1-Normal12"/>
              <w:spacing w:before="60" w:after="60"/>
              <w:rPr>
                <w:rFonts w:eastAsia="Times New Roman" w:cs="Times New Roman"/>
                <w:noProof/>
              </w:rPr>
            </w:pPr>
            <w:r>
              <w:rPr>
                <w:noProof/>
              </w:rPr>
              <w:t xml:space="preserve">Système de répertoire pour l’audit et les </w:t>
            </w:r>
            <w:r>
              <w:rPr>
                <w:noProof/>
              </w:rPr>
              <w:t>contrôles: informations pour le suivi de la mise en œuvre de la FRR</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41FBC5" w14:textId="77777777" w:rsidR="00FA40E8" w:rsidRDefault="00E74AE8">
            <w:pPr>
              <w:pStyle w:val="P68B1DB1-Normal12"/>
              <w:spacing w:before="60" w:after="60"/>
              <w:rPr>
                <w:rFonts w:eastAsia="Times New Roman" w:cs="Times New Roman"/>
                <w:noProof/>
              </w:rPr>
            </w:pPr>
            <w:r>
              <w:rPr>
                <w:noProof/>
              </w:rPr>
              <w:t>Rapport d’audit confirmant les fonctionnalités du système de répertoire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64942C" w14:textId="77777777"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95537E" w14:textId="77777777" w:rsidR="00FA40E8" w:rsidRDefault="00FA40E8">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0FE30" w14:textId="77777777" w:rsidR="00FA40E8" w:rsidRDefault="00FA40E8">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14431E" w14:textId="77777777" w:rsidR="00FA40E8" w:rsidRDefault="00E74AE8">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BC69B4A" w14:textId="52661F13" w:rsidR="00FA40E8" w:rsidRDefault="00E74AE8">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4013AA" w14:textId="77777777" w:rsidR="00FA40E8" w:rsidRDefault="00E74AE8">
            <w:pPr>
              <w:pStyle w:val="P68B1DB1-Normal12"/>
              <w:spacing w:before="60" w:after="60"/>
              <w:jc w:val="both"/>
              <w:rPr>
                <w:rFonts w:cs="Times New Roman"/>
                <w:noProof/>
              </w:rPr>
            </w:pPr>
            <w:r>
              <w:rPr>
                <w:noProof/>
              </w:rPr>
              <w:t xml:space="preserve">Un système de répertoire pour le suivi de la mise en œuvre de la FRR est en place et opérationnel. </w:t>
            </w:r>
          </w:p>
          <w:p w14:paraId="7E3F39EB" w14:textId="77777777" w:rsidR="00FA40E8" w:rsidRDefault="00E74AE8">
            <w:pPr>
              <w:pStyle w:val="P68B1DB1-Normal12"/>
              <w:spacing w:before="60" w:after="60"/>
              <w:jc w:val="both"/>
              <w:rPr>
                <w:rFonts w:cs="Times New Roman"/>
                <w:noProof/>
              </w:rPr>
            </w:pPr>
            <w:r>
              <w:rPr>
                <w:noProof/>
              </w:rPr>
              <w:t>Le sy</w:t>
            </w:r>
            <w:r>
              <w:rPr>
                <w:noProof/>
              </w:rPr>
              <w:t>stème comprend, au minimum, les fonctionnalités suivantes:</w:t>
            </w:r>
          </w:p>
          <w:p w14:paraId="5A9DF26B" w14:textId="77777777" w:rsidR="00FA40E8" w:rsidRDefault="00E74AE8">
            <w:pPr>
              <w:pStyle w:val="P68B1DB1-Normal12"/>
              <w:spacing w:before="60" w:after="60"/>
              <w:jc w:val="both"/>
              <w:rPr>
                <w:rFonts w:cs="Times New Roman"/>
                <w:noProof/>
              </w:rPr>
            </w:pPr>
            <w:r>
              <w:rPr>
                <w:noProof/>
              </w:rPr>
              <w:t>(a) la collecte de données et le suivi de la réalisation des valeurs intermédiaires et des valeurs cibles;</w:t>
            </w:r>
          </w:p>
          <w:p w14:paraId="7869CB0F" w14:textId="4ABCCBB1" w:rsidR="00FA40E8" w:rsidRDefault="00E74AE8">
            <w:pPr>
              <w:pStyle w:val="P68B1DB1-Normal12"/>
              <w:spacing w:before="60" w:after="60"/>
              <w:jc w:val="both"/>
              <w:rPr>
                <w:rFonts w:eastAsia="Times New Roman" w:cs="Times New Roman"/>
                <w:noProof/>
              </w:rPr>
            </w:pPr>
            <w:r>
              <w:rPr>
                <w:noProof/>
              </w:rPr>
              <w:t>(b) collecter, stocker et garantir l’accès aux données requises par l’article 22, paragrap</w:t>
            </w:r>
            <w:r>
              <w:rPr>
                <w:noProof/>
              </w:rPr>
              <w:t>he 2, point d) i) à iii), du règlement FRR.</w:t>
            </w:r>
          </w:p>
        </w:tc>
      </w:tr>
    </w:tbl>
    <w:p w14:paraId="4CC58C2D" w14:textId="77777777" w:rsidR="00FA40E8" w:rsidRDefault="00FA40E8">
      <w:pPr>
        <w:jc w:val="both"/>
        <w:rPr>
          <w:rFonts w:ascii="Times New Roman" w:hAnsi="Times New Roman" w:cs="Times New Roman"/>
          <w:noProof/>
        </w:rPr>
        <w:sectPr w:rsidR="00FA40E8" w:rsidSect="0074650A">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0E48B846" w14:textId="7D27EBF8" w:rsidR="00FA40E8" w:rsidRDefault="00E74AE8">
      <w:pPr>
        <w:pStyle w:val="P68B1DB1-Text15"/>
        <w:keepNext/>
        <w:keepLines/>
        <w:spacing w:before="0" w:after="200" w:line="276" w:lineRule="auto"/>
        <w:ind w:left="0"/>
        <w:outlineLvl w:val="1"/>
        <w:rPr>
          <w:i/>
          <w:noProof/>
        </w:rPr>
      </w:pPr>
      <w:r>
        <w:rPr>
          <w:noProof/>
        </w:rPr>
        <w:t>F.3. Description des réformes et des investissements en vue d’un soutien sous forme de prêt</w:t>
      </w:r>
    </w:p>
    <w:p w14:paraId="0B80A6B9" w14:textId="08FCCB63" w:rsidR="00FA40E8" w:rsidRDefault="00E74AE8">
      <w:pPr>
        <w:pStyle w:val="paragraph"/>
        <w:spacing w:before="0" w:beforeAutospacing="0" w:after="200" w:afterAutospacing="0" w:line="276" w:lineRule="auto"/>
        <w:jc w:val="both"/>
        <w:textAlignment w:val="baseline"/>
        <w:rPr>
          <w:rStyle w:val="normaltextrun"/>
          <w:noProof/>
          <w:u w:val="single"/>
        </w:rPr>
      </w:pPr>
      <w:r>
        <w:rPr>
          <w:rStyle w:val="normaltextrun"/>
          <w:noProof/>
          <w:u w:val="single"/>
        </w:rPr>
        <w:t xml:space="preserve">F.3.1. Réforme 1. «Accroître le recours aux marchés publics centralisés» </w:t>
      </w:r>
    </w:p>
    <w:p w14:paraId="05149F4C" w14:textId="31CE91B4" w:rsidR="00FA40E8" w:rsidRDefault="00E74AE8">
      <w:pPr>
        <w:pStyle w:val="P68B1DB1-Normal4"/>
        <w:jc w:val="both"/>
        <w:rPr>
          <w:rFonts w:eastAsia="Times New Roman" w:cs="Times New Roman"/>
          <w:noProof/>
        </w:rPr>
      </w:pPr>
      <w:r>
        <w:rPr>
          <w:noProof/>
        </w:rPr>
        <w:t xml:space="preserve">L’objectif de la réforme est d’accroître le recours aux marchés publics centralisés. </w:t>
      </w:r>
    </w:p>
    <w:p w14:paraId="29EF881E" w14:textId="1A4639FE" w:rsidR="00FA40E8" w:rsidRDefault="00E74AE8">
      <w:pPr>
        <w:pStyle w:val="P68B1DB1-Normal4"/>
        <w:jc w:val="both"/>
        <w:textAlignment w:val="baseline"/>
        <w:rPr>
          <w:rFonts w:eastAsia="Times New Roman" w:cs="Times New Roman"/>
          <w:noProof/>
        </w:rPr>
      </w:pPr>
      <w:r>
        <w:rPr>
          <w:noProof/>
        </w:rPr>
        <w:t>La réforme consiste à élargir le catalogue des articles qui peuvent être achetés par l’intermédi</w:t>
      </w:r>
      <w:r>
        <w:rPr>
          <w:noProof/>
        </w:rPr>
        <w:t>aire de l’organisation centrale d’achat (OPC LT) et à adopter un plan de centralisation des marchés publics des établissements et agences de santé dans le but d’accroître la professionnalisation des achats publics, de promouvoir la normalisation des exigen</w:t>
      </w:r>
      <w:r>
        <w:rPr>
          <w:noProof/>
        </w:rPr>
        <w:t xml:space="preserve">ces en matière de marchés publics et de garantir des économies d’échelle. </w:t>
      </w:r>
    </w:p>
    <w:p w14:paraId="058854FE" w14:textId="45CBF035" w:rsidR="00FA40E8" w:rsidRDefault="00E74AE8">
      <w:pPr>
        <w:pStyle w:val="paragraph"/>
        <w:spacing w:before="0" w:beforeAutospacing="0" w:after="200" w:afterAutospacing="0" w:line="276" w:lineRule="auto"/>
        <w:jc w:val="both"/>
        <w:textAlignment w:val="baseline"/>
        <w:rPr>
          <w:rStyle w:val="normaltextrun"/>
          <w:noProof/>
          <w:u w:val="single"/>
        </w:rPr>
      </w:pPr>
      <w:r>
        <w:rPr>
          <w:rStyle w:val="normaltextrun"/>
          <w:noProof/>
          <w:u w:val="single"/>
        </w:rPr>
        <w:t>F.3.2. Investissement 1. «Capitalisation et résilience financière de l’institution nationale de développement»</w:t>
      </w:r>
    </w:p>
    <w:p w14:paraId="1DC9BFC1" w14:textId="12D4F368" w:rsidR="00FA40E8" w:rsidRDefault="00E74AE8">
      <w:pPr>
        <w:pStyle w:val="P68B1DB1-Normal25"/>
        <w:jc w:val="both"/>
        <w:textAlignment w:val="baseline"/>
        <w:rPr>
          <w:rFonts w:eastAsia="Times New Roman" w:cs="Times New Roman"/>
          <w:noProof/>
          <w:sz w:val="24"/>
          <w:szCs w:val="24"/>
        </w:rPr>
      </w:pPr>
      <w:r>
        <w:rPr>
          <w:noProof/>
          <w:sz w:val="24"/>
        </w:rPr>
        <w:t>Cette mesure consiste en un investissement public visant à accroître l</w:t>
      </w:r>
      <w:r>
        <w:rPr>
          <w:noProof/>
          <w:sz w:val="24"/>
        </w:rPr>
        <w:t>a capitalisation d’INVEGA (institution nationale de développement) au moyen d’une injection de fonds propres afin d’améliorer l’accès au financement en Lituanie. L’investissement fournira à INVEGA des fonds propres supplémentaires de</w:t>
      </w:r>
      <w:r>
        <w:rPr>
          <w:noProof/>
          <w:sz w:val="20"/>
        </w:rPr>
        <w:t xml:space="preserve"> </w:t>
      </w:r>
      <w:r>
        <w:rPr>
          <w:noProof/>
          <w:sz w:val="24"/>
        </w:rPr>
        <w:t>150</w:t>
      </w:r>
      <w:r>
        <w:rPr>
          <w:noProof/>
          <w:sz w:val="20"/>
        </w:rPr>
        <w:t xml:space="preserve"> </w:t>
      </w:r>
      <w:r>
        <w:rPr>
          <w:noProof/>
          <w:sz w:val="24"/>
        </w:rPr>
        <w:t>000</w:t>
      </w:r>
      <w:r>
        <w:rPr>
          <w:noProof/>
          <w:sz w:val="20"/>
        </w:rPr>
        <w:t xml:space="preserve"> </w:t>
      </w:r>
      <w:r>
        <w:rPr>
          <w:noProof/>
          <w:sz w:val="24"/>
        </w:rPr>
        <w:t xml:space="preserve">000 EUR. </w:t>
      </w:r>
    </w:p>
    <w:p w14:paraId="5FCE1BD7" w14:textId="77777777" w:rsidR="00FA40E8" w:rsidRDefault="00E74AE8">
      <w:pPr>
        <w:pStyle w:val="P68B1DB1-Normal4"/>
        <w:jc w:val="both"/>
        <w:textAlignment w:val="baseline"/>
        <w:rPr>
          <w:rFonts w:eastAsia="Times New Roman" w:cs="Times New Roman"/>
          <w:noProof/>
        </w:rPr>
      </w:pPr>
      <w:r>
        <w:rPr>
          <w:noProof/>
        </w:rPr>
        <w:t>INVE</w:t>
      </w:r>
      <w:r>
        <w:rPr>
          <w:noProof/>
        </w:rPr>
        <w:t xml:space="preserve">GA adopte une nouvelle politique d’investissement, couvrant notamment l’utilisation des fonds propres supplémentaires conformément aux objectifs et aux critères d’éligibilité de la FRR. La politique d’investissement comprend: </w:t>
      </w:r>
    </w:p>
    <w:p w14:paraId="010EE0F3" w14:textId="77777777" w:rsidR="00FA40E8" w:rsidRDefault="00E74AE8">
      <w:pPr>
        <w:pStyle w:val="P68B1DB1-ListParagraph16"/>
        <w:numPr>
          <w:ilvl w:val="0"/>
          <w:numId w:val="51"/>
        </w:numPr>
        <w:spacing w:after="200" w:line="276" w:lineRule="auto"/>
        <w:jc w:val="both"/>
        <w:rPr>
          <w:rFonts w:cs="Times New Roman"/>
          <w:noProof/>
        </w:rPr>
      </w:pPr>
      <w:bookmarkStart w:id="15" w:name="_Hlk146554012"/>
      <w:r>
        <w:rPr>
          <w:noProof/>
        </w:rPr>
        <w:t>L’exigence, applicable au moi</w:t>
      </w:r>
      <w:r>
        <w:rPr>
          <w:noProof/>
        </w:rPr>
        <w:t>ns à la part des nouveaux investissements d’INVEGA que le nouveau capital représente dans le capital total d’INVEGA, selon laquelle les investissements d’INVEGA sont conformes aux objectifs du règlement FRR.</w:t>
      </w:r>
    </w:p>
    <w:p w14:paraId="32D87596" w14:textId="77777777" w:rsidR="00FA40E8" w:rsidRDefault="00E74AE8">
      <w:pPr>
        <w:pStyle w:val="P68B1DB1-ListParagraph16"/>
        <w:numPr>
          <w:ilvl w:val="0"/>
          <w:numId w:val="51"/>
        </w:numPr>
        <w:spacing w:after="200" w:line="276" w:lineRule="auto"/>
        <w:jc w:val="both"/>
        <w:rPr>
          <w:rFonts w:cs="Times New Roman"/>
          <w:noProof/>
        </w:rPr>
      </w:pPr>
      <w:r>
        <w:rPr>
          <w:noProof/>
        </w:rPr>
        <w:t>L’exigence, applicable au moins à la part des no</w:t>
      </w:r>
      <w:r>
        <w:rPr>
          <w:noProof/>
        </w:rPr>
        <w:t>uveaux investissements d’INVEGA que le nouveau capital représente dans le capital total d’INVEGA, de se conformer au principe consistant à «ne pas causer de préjudice important» énoncé dans les orientations techniques DNSH (2021/C58/01) lorsque, en particu</w:t>
      </w:r>
      <w:r>
        <w:rPr>
          <w:noProof/>
        </w:rPr>
        <w:t>lier, la politique d’investissement:</w:t>
      </w:r>
    </w:p>
    <w:p w14:paraId="3523D4E2" w14:textId="77777777" w:rsidR="00FA40E8" w:rsidRDefault="00E74AE8">
      <w:pPr>
        <w:pStyle w:val="ListParagraph"/>
        <w:numPr>
          <w:ilvl w:val="1"/>
          <w:numId w:val="51"/>
        </w:numPr>
        <w:spacing w:after="200" w:line="276" w:lineRule="auto"/>
        <w:jc w:val="both"/>
        <w:rPr>
          <w:rFonts w:ascii="Times New Roman" w:eastAsiaTheme="minorEastAsia" w:hAnsi="Times New Roman" w:cs="Times New Roman"/>
          <w:noProof/>
          <w:sz w:val="24"/>
        </w:rPr>
      </w:pPr>
      <w:r>
        <w:rPr>
          <w:rFonts w:ascii="Times New Roman" w:hAnsi="Times New Roman"/>
          <w:noProof/>
          <w:sz w:val="24"/>
        </w:rPr>
        <w:t>exclure la liste d’activités suivante: I) les activités liées aux combustibles fossiles, y compris leur utilisation en aval</w:t>
      </w:r>
      <w:r>
        <w:rPr>
          <w:rStyle w:val="FootnoteReference"/>
          <w:rFonts w:ascii="Times New Roman" w:eastAsiaTheme="minorEastAsia" w:hAnsi="Times New Roman" w:cs="Times New Roman"/>
          <w:noProof/>
          <w:sz w:val="24"/>
        </w:rPr>
        <w:footnoteReference w:id="15"/>
      </w:r>
      <w:r>
        <w:rPr>
          <w:rFonts w:ascii="Times New Roman" w:hAnsi="Times New Roman"/>
          <w:noProof/>
          <w:sz w:val="24"/>
        </w:rPr>
        <w:t>; II) les activités relevant du système d’échange de quotas d’émission de l’UE (SEQE) permettan</w:t>
      </w:r>
      <w:r>
        <w:rPr>
          <w:rFonts w:ascii="Times New Roman" w:hAnsi="Times New Roman"/>
          <w:noProof/>
          <w:sz w:val="24"/>
        </w:rPr>
        <w:t>t d’atteindre les émissions de gaz à effet de serre prévues qui ne sont pas inférieures aux référentiels pertinents</w:t>
      </w:r>
      <w:r>
        <w:rPr>
          <w:rStyle w:val="FootnoteReference"/>
          <w:rFonts w:ascii="Times New Roman" w:eastAsiaTheme="minorEastAsia" w:hAnsi="Times New Roman" w:cs="Times New Roman"/>
          <w:noProof/>
          <w:sz w:val="24"/>
        </w:rPr>
        <w:footnoteReference w:id="16"/>
      </w:r>
      <w:r>
        <w:rPr>
          <w:rFonts w:ascii="Times New Roman" w:hAnsi="Times New Roman"/>
          <w:noProof/>
          <w:sz w:val="24"/>
        </w:rPr>
        <w:t>; et iii) les activités liées aux décharges de déchets, aux incinérateurs</w:t>
      </w:r>
      <w:r>
        <w:rPr>
          <w:rStyle w:val="FootnoteReference"/>
          <w:rFonts w:ascii="Times New Roman" w:eastAsiaTheme="minorEastAsia" w:hAnsi="Times New Roman" w:cs="Times New Roman"/>
          <w:noProof/>
          <w:sz w:val="24"/>
        </w:rPr>
        <w:footnoteReference w:id="17"/>
      </w:r>
      <w:r>
        <w:rPr>
          <w:rFonts w:ascii="Times New Roman" w:hAnsi="Times New Roman"/>
          <w:noProof/>
          <w:sz w:val="24"/>
        </w:rPr>
        <w:t xml:space="preserve"> et aux installations de traitement biomécanique</w:t>
      </w:r>
      <w:r>
        <w:rPr>
          <w:rStyle w:val="FootnoteReference"/>
          <w:rFonts w:ascii="Times New Roman" w:eastAsiaTheme="minorEastAsia" w:hAnsi="Times New Roman" w:cs="Times New Roman"/>
          <w:noProof/>
          <w:sz w:val="24"/>
        </w:rPr>
        <w:footnoteReference w:id="18"/>
      </w:r>
      <w:r>
        <w:rPr>
          <w:rFonts w:ascii="Times New Roman" w:hAnsi="Times New Roman"/>
          <w:noProof/>
          <w:sz w:val="24"/>
        </w:rPr>
        <w:t>;</w:t>
      </w:r>
    </w:p>
    <w:bookmarkEnd w:id="15"/>
    <w:p w14:paraId="3AAABBD4" w14:textId="77777777" w:rsidR="00FA40E8" w:rsidRDefault="00E74AE8">
      <w:pPr>
        <w:pStyle w:val="ListParagraph"/>
        <w:numPr>
          <w:ilvl w:val="1"/>
          <w:numId w:val="51"/>
        </w:numPr>
        <w:spacing w:after="200" w:line="276" w:lineRule="auto"/>
        <w:jc w:val="both"/>
        <w:rPr>
          <w:rFonts w:ascii="Times New Roman" w:eastAsiaTheme="minorEastAsia" w:hAnsi="Times New Roman" w:cs="Times New Roman"/>
          <w:noProof/>
          <w:sz w:val="24"/>
        </w:rPr>
      </w:pPr>
      <w:r>
        <w:rPr>
          <w:rFonts w:ascii="Times New Roman" w:hAnsi="Times New Roman"/>
          <w:noProof/>
          <w:sz w:val="24"/>
        </w:rPr>
        <w:t>dans le cas d’u</w:t>
      </w:r>
      <w:r>
        <w:rPr>
          <w:rFonts w:ascii="Times New Roman" w:hAnsi="Times New Roman"/>
          <w:noProof/>
          <w:sz w:val="24"/>
        </w:rPr>
        <w:t>n soutien général aux entreprises, exclure les entreprises qui se concentrent essentiellement sur</w:t>
      </w:r>
      <w:r>
        <w:rPr>
          <w:rStyle w:val="FootnoteReference"/>
          <w:rFonts w:ascii="Times New Roman" w:eastAsiaTheme="minorEastAsia" w:hAnsi="Times New Roman" w:cs="Times New Roman"/>
          <w:noProof/>
          <w:sz w:val="24"/>
        </w:rPr>
        <w:footnoteReference w:id="19"/>
      </w:r>
      <w:r>
        <w:rPr>
          <w:rFonts w:ascii="Times New Roman" w:hAnsi="Times New Roman"/>
          <w:noProof/>
          <w:sz w:val="24"/>
        </w:rPr>
        <w:t xml:space="preserve"> les secteurs suivants: I) la production d’énergie à partir de combustibles fossiles et les activités connexes</w:t>
      </w:r>
      <w:r>
        <w:rPr>
          <w:rStyle w:val="FootnoteReference"/>
          <w:rFonts w:ascii="Times New Roman" w:eastAsiaTheme="minorEastAsia" w:hAnsi="Times New Roman" w:cs="Times New Roman"/>
          <w:noProof/>
          <w:sz w:val="24"/>
        </w:rPr>
        <w:footnoteReference w:id="20"/>
      </w:r>
      <w:r>
        <w:rPr>
          <w:rFonts w:ascii="Times New Roman" w:hAnsi="Times New Roman"/>
          <w:noProof/>
          <w:sz w:val="24"/>
        </w:rPr>
        <w:t>; II) les industries à forte intensité énergéti</w:t>
      </w:r>
      <w:r>
        <w:rPr>
          <w:rFonts w:ascii="Times New Roman" w:hAnsi="Times New Roman"/>
          <w:noProof/>
          <w:sz w:val="24"/>
        </w:rPr>
        <w:t>que et/ou à fortes émissions de CO2</w:t>
      </w:r>
      <w:r>
        <w:rPr>
          <w:rStyle w:val="FootnoteReference"/>
          <w:rFonts w:ascii="Times New Roman" w:eastAsiaTheme="minorEastAsia" w:hAnsi="Times New Roman" w:cs="Times New Roman"/>
          <w:noProof/>
          <w:sz w:val="24"/>
        </w:rPr>
        <w:footnoteReference w:id="21"/>
      </w:r>
      <w:r>
        <w:rPr>
          <w:rFonts w:ascii="Times New Roman" w:hAnsi="Times New Roman"/>
          <w:noProof/>
          <w:sz w:val="24"/>
        </w:rPr>
        <w:t>; III) la production, la location ou la vente de véhicules polluants</w:t>
      </w:r>
      <w:r>
        <w:rPr>
          <w:rStyle w:val="FootnoteReference"/>
          <w:rFonts w:ascii="Times New Roman" w:eastAsiaTheme="minorEastAsia" w:hAnsi="Times New Roman" w:cs="Times New Roman"/>
          <w:noProof/>
          <w:sz w:val="24"/>
        </w:rPr>
        <w:footnoteReference w:id="22"/>
      </w:r>
      <w:r>
        <w:rPr>
          <w:rFonts w:ascii="Times New Roman" w:hAnsi="Times New Roman"/>
          <w:noProof/>
          <w:sz w:val="24"/>
        </w:rPr>
        <w:t>; IV) la collecte, le traitement et l’élimination des déchets</w:t>
      </w:r>
      <w:r>
        <w:rPr>
          <w:rStyle w:val="FootnoteReference"/>
          <w:rFonts w:ascii="Times New Roman" w:eastAsiaTheme="minorEastAsia" w:hAnsi="Times New Roman" w:cs="Times New Roman"/>
          <w:noProof/>
          <w:sz w:val="24"/>
        </w:rPr>
        <w:footnoteReference w:id="23"/>
      </w:r>
      <w:r>
        <w:rPr>
          <w:rFonts w:ascii="Times New Roman" w:hAnsi="Times New Roman"/>
          <w:noProof/>
          <w:sz w:val="24"/>
        </w:rPr>
        <w:t>, v) le traitement du combustible nucléaire, la production d’énergie nucléaire;</w:t>
      </w:r>
    </w:p>
    <w:p w14:paraId="42F48E6B" w14:textId="6EC11426" w:rsidR="00FA40E8" w:rsidRDefault="00E74AE8">
      <w:pPr>
        <w:pStyle w:val="P68B1DB1-ListParagraph16"/>
        <w:numPr>
          <w:ilvl w:val="1"/>
          <w:numId w:val="51"/>
        </w:numPr>
        <w:spacing w:after="200" w:line="276" w:lineRule="auto"/>
        <w:jc w:val="both"/>
        <w:rPr>
          <w:rFonts w:eastAsiaTheme="minorEastAsia" w:cs="Times New Roman"/>
          <w:noProof/>
        </w:rPr>
      </w:pPr>
      <w:r>
        <w:rPr>
          <w:noProof/>
        </w:rPr>
        <w:t>exiger le</w:t>
      </w:r>
      <w:r>
        <w:rPr>
          <w:noProof/>
        </w:rPr>
        <w:t xml:space="preserve"> respect de la législation environnementale nationale et de l’Union applicable aux investissements bénéficiant d’un soutien.</w:t>
      </w:r>
    </w:p>
    <w:p w14:paraId="3B086B4C" w14:textId="603D89B5" w:rsidR="00FA40E8" w:rsidRDefault="00E74AE8">
      <w:pPr>
        <w:pStyle w:val="P68B1DB1-ListParagraph16"/>
        <w:numPr>
          <w:ilvl w:val="0"/>
          <w:numId w:val="51"/>
        </w:numPr>
        <w:spacing w:after="200" w:line="276" w:lineRule="auto"/>
        <w:jc w:val="both"/>
        <w:rPr>
          <w:rFonts w:eastAsiaTheme="minorEastAsia" w:cs="Times New Roman"/>
          <w:noProof/>
        </w:rPr>
      </w:pPr>
      <w:r>
        <w:rPr>
          <w:noProof/>
        </w:rPr>
        <w:t xml:space="preserve">L’exigence selon laquelle les décisions finales d’investissement d’INVEGA doivent être prises par un comité de crédit, le conseil </w:t>
      </w:r>
      <w:r>
        <w:rPr>
          <w:noProof/>
        </w:rPr>
        <w:t xml:space="preserve">d’administration d’INVEGA ou un autre organe de direction équivalent pertinent et approuvées à la majorité des voix des membres indépendants du gouvernement. </w:t>
      </w:r>
    </w:p>
    <w:p w14:paraId="4D0926F0" w14:textId="0500B838" w:rsidR="00FA40E8" w:rsidRDefault="00FA40E8">
      <w:pPr>
        <w:jc w:val="both"/>
        <w:rPr>
          <w:rFonts w:ascii="Times New Roman" w:hAnsi="Times New Roman" w:cs="Times New Roman"/>
          <w:noProof/>
          <w:sz w:val="24"/>
          <w:szCs w:val="24"/>
        </w:rPr>
      </w:pPr>
    </w:p>
    <w:p w14:paraId="79B3EBD9" w14:textId="0F68A3DC" w:rsidR="00FA40E8" w:rsidRDefault="00FA40E8">
      <w:pPr>
        <w:spacing w:after="0" w:line="257" w:lineRule="auto"/>
        <w:jc w:val="both"/>
        <w:textAlignment w:val="baseline"/>
        <w:rPr>
          <w:rFonts w:ascii="Calibri" w:eastAsia="Calibri" w:hAnsi="Calibri" w:cs="Calibri"/>
          <w:noProof/>
          <w:sz w:val="20"/>
        </w:rPr>
        <w:sectPr w:rsidR="00FA40E8" w:rsidSect="0074650A">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p>
    <w:p w14:paraId="639B6515" w14:textId="7F949129" w:rsidR="00FA40E8" w:rsidRDefault="00E74AE8">
      <w:pPr>
        <w:pStyle w:val="P68B1DB1-Text15"/>
        <w:keepNext/>
        <w:keepLines/>
        <w:spacing w:before="0" w:after="200" w:line="276" w:lineRule="auto"/>
        <w:ind w:left="0"/>
        <w:outlineLvl w:val="1"/>
        <w:rPr>
          <w:noProof/>
        </w:rPr>
      </w:pPr>
      <w:r>
        <w:rPr>
          <w:noProof/>
        </w:rPr>
        <w:t xml:space="preserve">F.4. Valeurs intermédiaires, valeurs </w:t>
      </w:r>
      <w:r>
        <w:rPr>
          <w:noProof/>
        </w:rPr>
        <w:t>cibles, indicateurs et calendrier de suivi et de mise en œuvre du prêt</w:t>
      </w:r>
    </w:p>
    <w:tbl>
      <w:tblPr>
        <w:tblW w:w="51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1693"/>
        <w:gridCol w:w="1172"/>
        <w:gridCol w:w="1607"/>
        <w:gridCol w:w="1620"/>
        <w:gridCol w:w="872"/>
        <w:gridCol w:w="1025"/>
        <w:gridCol w:w="1283"/>
        <w:gridCol w:w="1125"/>
        <w:gridCol w:w="802"/>
        <w:gridCol w:w="3273"/>
      </w:tblGrid>
      <w:tr w:rsidR="00FA40E8" w14:paraId="213FC7FB" w14:textId="77777777">
        <w:trPr>
          <w:tblHeader/>
        </w:trPr>
        <w:tc>
          <w:tcPr>
            <w:tcW w:w="65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E2FE28F" w14:textId="0131576B" w:rsidR="00FA40E8" w:rsidRDefault="00E74AE8">
            <w:pPr>
              <w:pStyle w:val="P68B1DB1-Normal9"/>
              <w:spacing w:before="60" w:after="60"/>
              <w:jc w:val="center"/>
              <w:rPr>
                <w:rFonts w:cs="Times New Roman"/>
                <w:noProof/>
              </w:rPr>
            </w:pPr>
            <w:r>
              <w:rPr>
                <w:noProof/>
              </w:rPr>
              <w:t>Non.</w:t>
            </w:r>
          </w:p>
        </w:tc>
        <w:tc>
          <w:tcPr>
            <w:tcW w:w="169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8CA9DE" w14:textId="77777777" w:rsidR="00FA40E8" w:rsidRDefault="00E74AE8">
            <w:pPr>
              <w:pStyle w:val="P68B1DB1-Normal9"/>
              <w:spacing w:before="60" w:after="60"/>
              <w:jc w:val="center"/>
              <w:rPr>
                <w:rFonts w:cs="Times New Roman"/>
                <w:noProof/>
              </w:rPr>
            </w:pPr>
            <w:r>
              <w:rPr>
                <w:noProof/>
              </w:rPr>
              <w:t>Mesure connexe (réforme ou investissement)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B0AEAA9" w14:textId="7AB98692" w:rsidR="00FA40E8" w:rsidRDefault="00E74AE8">
            <w:pPr>
              <w:pStyle w:val="P68B1DB1-Normal9"/>
              <w:spacing w:before="60" w:after="60"/>
              <w:jc w:val="center"/>
              <w:rPr>
                <w:rFonts w:cs="Times New Roman"/>
                <w:noProof/>
              </w:rPr>
            </w:pPr>
            <w:r>
              <w:rPr>
                <w:noProof/>
              </w:rPr>
              <w:t>Étape/cible</w:t>
            </w:r>
          </w:p>
        </w:tc>
        <w:tc>
          <w:tcPr>
            <w:tcW w:w="160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FA14D61" w14:textId="77777777" w:rsidR="00FA40E8" w:rsidRDefault="00E74AE8">
            <w:pPr>
              <w:pStyle w:val="P68B1DB1-Normal9"/>
              <w:spacing w:before="60" w:after="60"/>
              <w:jc w:val="center"/>
              <w:rPr>
                <w:rFonts w:cs="Times New Roman"/>
                <w:noProof/>
              </w:rPr>
            </w:pPr>
            <w:r>
              <w:rPr>
                <w:noProof/>
              </w:rPr>
              <w:t>Titre</w:t>
            </w:r>
          </w:p>
        </w:tc>
        <w:tc>
          <w:tcPr>
            <w:tcW w:w="162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25907AA" w14:textId="58DA9CAB"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étapes)</w:t>
            </w:r>
          </w:p>
        </w:tc>
        <w:tc>
          <w:tcPr>
            <w:tcW w:w="3181"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A828250" w14:textId="55B93492"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929"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52FC485" w14:textId="4F69E65B" w:rsidR="00FA40E8" w:rsidRDefault="00E74AE8">
            <w:pPr>
              <w:pStyle w:val="P68B1DB1-Normal9"/>
              <w:spacing w:before="60" w:after="60"/>
              <w:jc w:val="center"/>
              <w:rPr>
                <w:rFonts w:cs="Times New Roman"/>
                <w:noProof/>
              </w:rPr>
            </w:pPr>
            <w:r>
              <w:rPr>
                <w:noProof/>
              </w:rPr>
              <w:t xml:space="preserve">Calendrier indicatif </w:t>
            </w:r>
            <w:r>
              <w:rPr>
                <w:noProof/>
              </w:rPr>
              <w:t>d’achèvement</w:t>
            </w:r>
          </w:p>
        </w:tc>
        <w:tc>
          <w:tcPr>
            <w:tcW w:w="330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0E1B109" w14:textId="77777777" w:rsidR="00FA40E8" w:rsidRDefault="00E74AE8">
            <w:pPr>
              <w:pStyle w:val="P68B1DB1-Normal9"/>
              <w:spacing w:before="60" w:after="60"/>
              <w:jc w:val="center"/>
              <w:rPr>
                <w:rFonts w:cs="Times New Roman"/>
                <w:noProof/>
              </w:rPr>
            </w:pPr>
            <w:r>
              <w:rPr>
                <w:noProof/>
              </w:rPr>
              <w:t>Description et définition claire de chaque jalon et cible</w:t>
            </w:r>
          </w:p>
        </w:tc>
      </w:tr>
      <w:tr w:rsidR="00FA40E8" w14:paraId="35D8DFED" w14:textId="77777777">
        <w:tc>
          <w:tcPr>
            <w:tcW w:w="656" w:type="dxa"/>
            <w:vMerge/>
            <w:tcBorders>
              <w:top w:val="single" w:sz="4" w:space="0" w:color="auto"/>
              <w:left w:val="single" w:sz="4" w:space="0" w:color="auto"/>
              <w:bottom w:val="single" w:sz="4" w:space="0" w:color="auto"/>
              <w:right w:val="single" w:sz="4" w:space="0" w:color="auto"/>
            </w:tcBorders>
          </w:tcPr>
          <w:p w14:paraId="3680CD93" w14:textId="77777777" w:rsidR="00FA40E8" w:rsidRDefault="00FA40E8">
            <w:pPr>
              <w:spacing w:before="60" w:after="60"/>
              <w:jc w:val="center"/>
              <w:rPr>
                <w:rFonts w:ascii="Times New Roman" w:hAnsi="Times New Roman" w:cs="Times New Roman"/>
                <w:noProof/>
                <w:sz w:val="20"/>
              </w:rPr>
            </w:pPr>
          </w:p>
        </w:tc>
        <w:tc>
          <w:tcPr>
            <w:tcW w:w="1698" w:type="dxa"/>
            <w:vMerge/>
            <w:tcBorders>
              <w:top w:val="single" w:sz="4" w:space="0" w:color="auto"/>
              <w:left w:val="single" w:sz="4" w:space="0" w:color="auto"/>
              <w:bottom w:val="single" w:sz="4" w:space="0" w:color="auto"/>
              <w:right w:val="single" w:sz="4" w:space="0" w:color="auto"/>
            </w:tcBorders>
          </w:tcPr>
          <w:p w14:paraId="294E6570" w14:textId="77777777" w:rsidR="00FA40E8" w:rsidRDefault="00FA40E8">
            <w:pPr>
              <w:spacing w:before="60" w:after="60"/>
              <w:rPr>
                <w:rFonts w:ascii="Times New Roman" w:hAnsi="Times New Roman" w:cs="Times New Roman"/>
                <w:noProof/>
                <w:sz w:val="20"/>
              </w:rPr>
            </w:pPr>
          </w:p>
        </w:tc>
        <w:tc>
          <w:tcPr>
            <w:tcW w:w="1133" w:type="dxa"/>
            <w:vMerge/>
            <w:tcBorders>
              <w:top w:val="single" w:sz="4" w:space="0" w:color="auto"/>
              <w:left w:val="single" w:sz="4" w:space="0" w:color="auto"/>
              <w:bottom w:val="single" w:sz="4" w:space="0" w:color="auto"/>
              <w:right w:val="single" w:sz="4" w:space="0" w:color="auto"/>
            </w:tcBorders>
          </w:tcPr>
          <w:p w14:paraId="6AF3ABFD" w14:textId="77777777" w:rsidR="00FA40E8" w:rsidRDefault="00FA40E8">
            <w:pPr>
              <w:spacing w:before="60" w:after="60"/>
              <w:jc w:val="center"/>
              <w:rPr>
                <w:rFonts w:ascii="Times New Roman" w:hAnsi="Times New Roman" w:cs="Times New Roman"/>
                <w:noProof/>
                <w:sz w:val="20"/>
              </w:rPr>
            </w:pPr>
          </w:p>
        </w:tc>
        <w:tc>
          <w:tcPr>
            <w:tcW w:w="1608" w:type="dxa"/>
            <w:vMerge/>
            <w:tcBorders>
              <w:top w:val="single" w:sz="4" w:space="0" w:color="auto"/>
              <w:left w:val="single" w:sz="4" w:space="0" w:color="auto"/>
              <w:bottom w:val="single" w:sz="4" w:space="0" w:color="auto"/>
              <w:right w:val="single" w:sz="4" w:space="0" w:color="auto"/>
            </w:tcBorders>
          </w:tcPr>
          <w:p w14:paraId="0869D0A2" w14:textId="77777777" w:rsidR="00FA40E8" w:rsidRDefault="00FA40E8">
            <w:pPr>
              <w:spacing w:before="60" w:after="60"/>
              <w:rPr>
                <w:rFonts w:ascii="Times New Roman" w:hAnsi="Times New Roman" w:cs="Times New Roman"/>
                <w:noProof/>
                <w:sz w:val="20"/>
              </w:rPr>
            </w:pPr>
          </w:p>
        </w:tc>
        <w:tc>
          <w:tcPr>
            <w:tcW w:w="1621" w:type="dxa"/>
            <w:vMerge/>
            <w:tcBorders>
              <w:top w:val="single" w:sz="4" w:space="0" w:color="auto"/>
              <w:left w:val="single" w:sz="4" w:space="0" w:color="auto"/>
              <w:bottom w:val="single" w:sz="4" w:space="0" w:color="auto"/>
              <w:right w:val="single" w:sz="4" w:space="0" w:color="auto"/>
            </w:tcBorders>
          </w:tcPr>
          <w:p w14:paraId="3F740683" w14:textId="77777777" w:rsidR="00FA40E8" w:rsidRDefault="00FA40E8">
            <w:pPr>
              <w:spacing w:before="60" w:after="60"/>
              <w:rPr>
                <w:rFonts w:ascii="Times New Roman" w:hAnsi="Times New Roman" w:cs="Times New Roman"/>
                <w:noProof/>
                <w:sz w:val="20"/>
              </w:rPr>
            </w:pPr>
          </w:p>
        </w:tc>
        <w:tc>
          <w:tcPr>
            <w:tcW w:w="87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A2A349" w14:textId="77777777" w:rsidR="00FA40E8" w:rsidRDefault="00E74AE8">
            <w:pPr>
              <w:pStyle w:val="P68B1DB1-Normal9"/>
              <w:spacing w:before="60" w:after="60"/>
              <w:jc w:val="center"/>
              <w:rPr>
                <w:rFonts w:cs="Times New Roman"/>
                <w:noProof/>
              </w:rPr>
            </w:pPr>
            <w:r>
              <w:rPr>
                <w:noProof/>
              </w:rPr>
              <w:t>Unité</w:t>
            </w:r>
          </w:p>
        </w:tc>
        <w:tc>
          <w:tcPr>
            <w:tcW w:w="102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6C1F7D3" w14:textId="77777777" w:rsidR="00FA40E8" w:rsidRDefault="00E74AE8">
            <w:pPr>
              <w:pStyle w:val="P68B1DB1-Normal9"/>
              <w:spacing w:before="60" w:after="60"/>
              <w:jc w:val="center"/>
              <w:rPr>
                <w:rFonts w:cs="Times New Roman"/>
                <w:noProof/>
              </w:rPr>
            </w:pPr>
            <w:r>
              <w:rPr>
                <w:noProof/>
              </w:rPr>
              <w:t>Niveau de référence</w:t>
            </w:r>
          </w:p>
        </w:tc>
        <w:tc>
          <w:tcPr>
            <w:tcW w:w="12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9686C44" w14:textId="77777777" w:rsidR="00FA40E8" w:rsidRDefault="00E74AE8">
            <w:pPr>
              <w:pStyle w:val="P68B1DB1-Normal9"/>
              <w:spacing w:before="60" w:after="60"/>
              <w:jc w:val="center"/>
              <w:rPr>
                <w:rFonts w:cs="Times New Roman"/>
                <w:noProof/>
              </w:rPr>
            </w:pPr>
            <w:r>
              <w:rPr>
                <w:noProof/>
              </w:rPr>
              <w:t>Objectif</w:t>
            </w:r>
          </w:p>
        </w:tc>
        <w:tc>
          <w:tcPr>
            <w:tcW w:w="112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533684" w14:textId="77777777" w:rsidR="00FA40E8" w:rsidRDefault="00E74AE8">
            <w:pPr>
              <w:pStyle w:val="P68B1DB1-Normal9"/>
              <w:spacing w:before="60" w:after="60"/>
              <w:jc w:val="center"/>
              <w:rPr>
                <w:rFonts w:cs="Times New Roman"/>
                <w:noProof/>
              </w:rPr>
            </w:pPr>
            <w:r>
              <w:rPr>
                <w:noProof/>
              </w:rPr>
              <w:t>Trimestre</w:t>
            </w:r>
          </w:p>
        </w:tc>
        <w:tc>
          <w:tcPr>
            <w:tcW w:w="80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C693AEC" w14:textId="77777777" w:rsidR="00FA40E8" w:rsidRDefault="00E74AE8">
            <w:pPr>
              <w:pStyle w:val="P68B1DB1-Normal9"/>
              <w:spacing w:before="60" w:after="60"/>
              <w:jc w:val="center"/>
              <w:rPr>
                <w:rFonts w:cs="Times New Roman"/>
                <w:noProof/>
              </w:rPr>
            </w:pPr>
            <w:r>
              <w:rPr>
                <w:noProof/>
              </w:rPr>
              <w:t>Année</w:t>
            </w:r>
          </w:p>
        </w:tc>
        <w:tc>
          <w:tcPr>
            <w:tcW w:w="3307" w:type="dxa"/>
            <w:vMerge/>
            <w:tcBorders>
              <w:top w:val="single" w:sz="4" w:space="0" w:color="auto"/>
              <w:left w:val="single" w:sz="4" w:space="0" w:color="auto"/>
              <w:bottom w:val="single" w:sz="4" w:space="0" w:color="auto"/>
              <w:right w:val="single" w:sz="4" w:space="0" w:color="auto"/>
            </w:tcBorders>
          </w:tcPr>
          <w:p w14:paraId="65B4B5B3" w14:textId="77777777" w:rsidR="00FA40E8" w:rsidRDefault="00FA40E8">
            <w:pPr>
              <w:spacing w:before="60" w:after="60"/>
              <w:rPr>
                <w:rFonts w:ascii="Times New Roman" w:hAnsi="Times New Roman" w:cs="Times New Roman"/>
                <w:noProof/>
                <w:sz w:val="20"/>
              </w:rPr>
            </w:pPr>
          </w:p>
        </w:tc>
      </w:tr>
      <w:tr w:rsidR="00FA40E8" w14:paraId="7B9715AF" w14:textId="77777777">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69FFC9" w14:textId="54968E97" w:rsidR="00FA40E8" w:rsidRDefault="00E74AE8">
            <w:pPr>
              <w:pStyle w:val="P68B1DB1-Normal12"/>
              <w:spacing w:before="60" w:after="60"/>
              <w:jc w:val="center"/>
              <w:rPr>
                <w:rFonts w:cs="Times New Roman"/>
                <w:noProof/>
              </w:rPr>
            </w:pPr>
            <w:r>
              <w:rPr>
                <w:noProof/>
              </w:rPr>
              <w:t>180a</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E3430" w14:textId="7408C108" w:rsidR="00FA40E8" w:rsidRDefault="00E74AE8">
            <w:pPr>
              <w:pStyle w:val="P68B1DB1-paragraph23"/>
              <w:spacing w:before="60" w:beforeAutospacing="0" w:after="60" w:afterAutospacing="0" w:line="276" w:lineRule="auto"/>
              <w:textAlignment w:val="baseline"/>
              <w:rPr>
                <w:noProof/>
              </w:rPr>
            </w:pPr>
            <w:r>
              <w:rPr>
                <w:noProof/>
              </w:rPr>
              <w:t>F.3.1. Accroître le recours aux marchés publics centralisés</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1FB9FB" w14:textId="0A975F20" w:rsidR="00FA40E8" w:rsidRDefault="00E74AE8">
            <w:pPr>
              <w:pStyle w:val="P68B1DB1-Normal12"/>
              <w:spacing w:before="60" w:after="60"/>
              <w:jc w:val="center"/>
              <w:rPr>
                <w:rFonts w:cs="Times New Roman"/>
                <w:noProof/>
              </w:rPr>
            </w:pPr>
            <w:r>
              <w:rPr>
                <w:noProof/>
              </w:rPr>
              <w:t>Étape</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9B5E39" w14:textId="1E533A82" w:rsidR="00FA40E8" w:rsidRDefault="00E74AE8">
            <w:pPr>
              <w:pStyle w:val="P68B1DB1-Normal12"/>
              <w:spacing w:before="60" w:after="60"/>
              <w:rPr>
                <w:rFonts w:eastAsia="Times New Roman" w:cs="Times New Roman"/>
                <w:noProof/>
              </w:rPr>
            </w:pPr>
            <w:r>
              <w:rPr>
                <w:noProof/>
              </w:rPr>
              <w:t>Adoption d’un plan de centralisation des achats publics</w:t>
            </w:r>
            <w:r>
              <w:rPr>
                <w:noProof/>
              </w:rPr>
              <w:t xml:space="preserve"> des institutions et agences de santé</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6251DB" w14:textId="1136F5DD" w:rsidR="00FA40E8" w:rsidRDefault="00E74AE8">
            <w:pPr>
              <w:pStyle w:val="P68B1DB1-Normal12"/>
              <w:spacing w:before="60" w:after="60"/>
              <w:rPr>
                <w:rFonts w:eastAsia="Times New Roman" w:cs="Times New Roman"/>
                <w:noProof/>
              </w:rPr>
            </w:pPr>
            <w:r>
              <w:rPr>
                <w:noProof/>
              </w:rPr>
              <w:t>Un plan de centralisation des achats publics des établissements et agences de santé élaboré et adopté par le ministre de la santé</w:t>
            </w: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C13E78" w14:textId="71E6E3D7" w:rsidR="00FA40E8" w:rsidRDefault="00FA40E8">
            <w:pPr>
              <w:spacing w:before="60" w:after="60"/>
              <w:jc w:val="center"/>
              <w:rPr>
                <w:rFonts w:ascii="Times New Roman" w:hAnsi="Times New Roman" w:cs="Times New Roman"/>
                <w:noProof/>
                <w:sz w:val="20"/>
              </w:rPr>
            </w:pP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DA394" w14:textId="634BE6EC" w:rsidR="00FA40E8" w:rsidRDefault="00FA40E8">
            <w:pPr>
              <w:spacing w:before="60" w:after="60"/>
              <w:jc w:val="center"/>
              <w:rPr>
                <w:rFonts w:ascii="Times New Roman" w:hAnsi="Times New Roman" w:cs="Times New Roman"/>
                <w:noProof/>
                <w:sz w:val="20"/>
              </w:rPr>
            </w:pP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E90CEA" w14:textId="582374FD" w:rsidR="00FA40E8" w:rsidRDefault="00FA40E8">
            <w:pPr>
              <w:spacing w:before="60" w:after="60"/>
              <w:jc w:val="center"/>
              <w:rPr>
                <w:rFonts w:ascii="Times New Roman" w:hAnsi="Times New Roman" w:cs="Times New Roman"/>
                <w:noProof/>
                <w:sz w:val="20"/>
              </w:rPr>
            </w:pP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445BDE" w14:textId="78E09E47" w:rsidR="00FA40E8" w:rsidRDefault="00E74AE8">
            <w:pPr>
              <w:pStyle w:val="P68B1DB1-Normal12"/>
              <w:spacing w:before="60" w:after="60"/>
              <w:jc w:val="center"/>
              <w:rPr>
                <w:rFonts w:cs="Times New Roman"/>
                <w:noProof/>
              </w:rPr>
            </w:pPr>
            <w:r>
              <w:rPr>
                <w:noProof/>
              </w:rPr>
              <w:t>T2</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2F2C0C" w14:textId="76DDC84C" w:rsidR="00FA40E8" w:rsidRDefault="00E74AE8">
            <w:pPr>
              <w:pStyle w:val="P68B1DB1-Normal12"/>
              <w:spacing w:before="60" w:after="60"/>
              <w:jc w:val="center"/>
              <w:rPr>
                <w:rFonts w:cs="Times New Roman"/>
                <w:noProof/>
              </w:rPr>
            </w:pPr>
            <w:r>
              <w:rPr>
                <w:noProof/>
              </w:rPr>
              <w:t>2023</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221CC" w14:textId="110CB919" w:rsidR="00FA40E8" w:rsidRDefault="00E74AE8">
            <w:pPr>
              <w:pStyle w:val="P68B1DB1-Normal12"/>
              <w:spacing w:before="60" w:after="60"/>
              <w:jc w:val="both"/>
              <w:rPr>
                <w:rFonts w:cs="Times New Roman"/>
                <w:noProof/>
              </w:rPr>
            </w:pPr>
            <w:r>
              <w:rPr>
                <w:noProof/>
              </w:rPr>
              <w:t>Un plan de centralisation des achats publics des établissements et agences de</w:t>
            </w:r>
            <w:r>
              <w:rPr>
                <w:noProof/>
              </w:rPr>
              <w:t xml:space="preserve"> santé est élaboré et adopté par le ministre de la santé. La centralisation des achats publics des établissements et agences de santé comprend les organismes d’achat relevant du ministère de la santé et les organismes d’achat dont le ministère de la santé </w:t>
            </w:r>
            <w:r>
              <w:rPr>
                <w:noProof/>
              </w:rPr>
              <w:t>et les conseils municipaux, l’université de Vilnius, l’université de Klaipėda ou l’université lituanienne des sciences de la santé sont actionnaires majoritaires.</w:t>
            </w:r>
          </w:p>
        </w:tc>
      </w:tr>
      <w:tr w:rsidR="00FA40E8" w14:paraId="4E6660A4" w14:textId="77777777">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9E997E" w14:textId="4DEC8529" w:rsidR="00FA40E8" w:rsidRDefault="00E74AE8">
            <w:pPr>
              <w:pStyle w:val="P68B1DB1-Normal12"/>
              <w:spacing w:before="60" w:after="60"/>
              <w:jc w:val="center"/>
              <w:rPr>
                <w:rFonts w:cs="Times New Roman"/>
                <w:noProof/>
              </w:rPr>
            </w:pPr>
            <w:r>
              <w:rPr>
                <w:noProof/>
              </w:rPr>
              <w:t>180b</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734BE4" w14:textId="10AA07F5" w:rsidR="00FA40E8" w:rsidRDefault="00E74AE8">
            <w:pPr>
              <w:pStyle w:val="P68B1DB1-Normal12"/>
              <w:spacing w:before="60" w:after="60"/>
              <w:rPr>
                <w:rFonts w:cs="Times New Roman"/>
                <w:noProof/>
              </w:rPr>
            </w:pPr>
            <w:r>
              <w:rPr>
                <w:noProof/>
              </w:rPr>
              <w:t>F.3.1. Accroître le recours aux marchés publics centralisés</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3350DB" w14:textId="4F4E22FE" w:rsidR="00FA40E8" w:rsidRDefault="00E74AE8">
            <w:pPr>
              <w:pStyle w:val="P68B1DB1-Normal12"/>
              <w:spacing w:before="60" w:after="60"/>
              <w:jc w:val="center"/>
              <w:rPr>
                <w:rFonts w:cs="Times New Roman"/>
                <w:noProof/>
              </w:rPr>
            </w:pPr>
            <w:r>
              <w:rPr>
                <w:noProof/>
              </w:rPr>
              <w:t>Objectif</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B1B21B" w14:textId="40D25A09" w:rsidR="00FA40E8" w:rsidRDefault="00E74AE8">
            <w:pPr>
              <w:pStyle w:val="P68B1DB1-Normal12"/>
              <w:spacing w:before="60" w:after="60"/>
              <w:rPr>
                <w:rFonts w:cs="Times New Roman"/>
                <w:noProof/>
              </w:rPr>
            </w:pPr>
            <w:r>
              <w:rPr>
                <w:noProof/>
              </w:rPr>
              <w:t xml:space="preserve">Extension du </w:t>
            </w:r>
            <w:r>
              <w:rPr>
                <w:noProof/>
              </w:rPr>
              <w:t>catalogue de l’organisation centrale d’achat (HPB LT)</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A99C4" w14:textId="5CFB3E97" w:rsidR="00FA40E8" w:rsidRDefault="00FA40E8">
            <w:pPr>
              <w:spacing w:before="60" w:after="60"/>
              <w:rPr>
                <w:rFonts w:ascii="Times New Roman" w:eastAsia="Times New Roman" w:hAnsi="Times New Roman" w:cs="Times New Roman"/>
                <w:noProof/>
                <w:sz w:val="20"/>
              </w:rPr>
            </w:pP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B9B384" w14:textId="7F3A404F" w:rsidR="00FA40E8" w:rsidRDefault="00E74AE8">
            <w:pPr>
              <w:pStyle w:val="P68B1DB1-Normal12"/>
              <w:spacing w:before="60" w:after="60"/>
              <w:jc w:val="center"/>
              <w:rPr>
                <w:rFonts w:cs="Times New Roman"/>
                <w:noProof/>
              </w:rPr>
            </w:pPr>
            <w:r>
              <w:rPr>
                <w:noProof/>
              </w:rPr>
              <w:t>Nombre</w:t>
            </w: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8BB73" w14:textId="76D54772" w:rsidR="00FA40E8" w:rsidRDefault="00E74AE8">
            <w:pPr>
              <w:pStyle w:val="P68B1DB1-Normal12"/>
              <w:spacing w:before="60" w:after="60"/>
              <w:jc w:val="center"/>
              <w:rPr>
                <w:rFonts w:cs="Times New Roman"/>
                <w:noProof/>
              </w:rPr>
            </w:pPr>
            <w:r>
              <w:rPr>
                <w:noProof/>
              </w:rPr>
              <w:t>83</w:t>
            </w: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AC0537" w14:textId="408A16FB" w:rsidR="00FA40E8" w:rsidRDefault="00E74AE8">
            <w:pPr>
              <w:pStyle w:val="P68B1DB1-Normal12"/>
              <w:spacing w:before="60" w:after="60"/>
              <w:jc w:val="center"/>
              <w:rPr>
                <w:rFonts w:cs="Times New Roman"/>
                <w:noProof/>
              </w:rPr>
            </w:pPr>
            <w:r>
              <w:rPr>
                <w:noProof/>
              </w:rPr>
              <w:t>105</w:t>
            </w: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50F20A" w14:textId="4B2D3449" w:rsidR="00FA40E8" w:rsidRDefault="00E74AE8">
            <w:pPr>
              <w:pStyle w:val="P68B1DB1-Normal12"/>
              <w:spacing w:before="60" w:after="60"/>
              <w:jc w:val="center"/>
              <w:rPr>
                <w:rFonts w:cs="Times New Roman"/>
                <w:noProof/>
              </w:rPr>
            </w:pPr>
            <w:r>
              <w:rPr>
                <w:noProof/>
              </w:rPr>
              <w:t>T4</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62220E" w14:textId="33B6594E" w:rsidR="00FA40E8" w:rsidRDefault="00E74AE8">
            <w:pPr>
              <w:pStyle w:val="P68B1DB1-Normal12"/>
              <w:spacing w:before="60" w:after="60"/>
              <w:jc w:val="center"/>
              <w:rPr>
                <w:rFonts w:cs="Times New Roman"/>
                <w:noProof/>
              </w:rPr>
            </w:pPr>
            <w:r>
              <w:rPr>
                <w:noProof/>
              </w:rPr>
              <w:t>2025</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C1444E" w14:textId="4742E616" w:rsidR="00FA40E8" w:rsidRDefault="00E74AE8">
            <w:pPr>
              <w:pStyle w:val="P68B1DB1-Normal12"/>
              <w:spacing w:before="60" w:after="60"/>
              <w:jc w:val="both"/>
              <w:rPr>
                <w:rFonts w:eastAsia="Times New Roman" w:cs="Times New Roman"/>
                <w:noProof/>
              </w:rPr>
            </w:pPr>
            <w:r>
              <w:rPr>
                <w:noProof/>
              </w:rPr>
              <w:t xml:space="preserve">Le catalogue électronique de l’organisation centrale d’achat (HPB LT) sera étendu d’au moins 22 nouveaux modules pour les articles qui peuvent être achetés par l’intermédiaire de </w:t>
            </w:r>
            <w:r>
              <w:rPr>
                <w:noProof/>
              </w:rPr>
              <w:t>l’HPB LT, par rapport à la fin de 2022.</w:t>
            </w:r>
          </w:p>
        </w:tc>
      </w:tr>
      <w:tr w:rsidR="00FA40E8" w14:paraId="1A0E9704" w14:textId="77777777">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12CB02" w14:textId="4B465440" w:rsidR="00FA40E8" w:rsidRDefault="00E74AE8">
            <w:pPr>
              <w:pStyle w:val="P68B1DB1-Normal12"/>
              <w:spacing w:before="60" w:after="60"/>
              <w:jc w:val="center"/>
              <w:rPr>
                <w:rFonts w:eastAsia="Times New Roman" w:cs="Times New Roman"/>
                <w:noProof/>
              </w:rPr>
            </w:pPr>
            <w:r>
              <w:rPr>
                <w:noProof/>
              </w:rPr>
              <w:t>180c</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02FB4C" w14:textId="1DFF38B5" w:rsidR="00FA40E8" w:rsidRDefault="00E74AE8">
            <w:pPr>
              <w:pStyle w:val="P68B1DB1-Normal12"/>
              <w:spacing w:before="60" w:after="60"/>
              <w:rPr>
                <w:rFonts w:eastAsia="Times New Roman" w:cs="Times New Roman"/>
                <w:noProof/>
              </w:rPr>
            </w:pPr>
            <w:r>
              <w:rPr>
                <w:noProof/>
              </w:rPr>
              <w:t>F.3.2. Capitalisation et résilience financière de l’institution nationale de développement</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6F57D7" w14:textId="77777777" w:rsidR="00FA40E8" w:rsidRDefault="00E74AE8">
            <w:pPr>
              <w:pStyle w:val="P68B1DB1-Normal12"/>
              <w:spacing w:before="60" w:after="60"/>
              <w:jc w:val="center"/>
              <w:rPr>
                <w:rFonts w:eastAsia="Times New Roman" w:cs="Times New Roman"/>
                <w:noProof/>
              </w:rPr>
            </w:pPr>
            <w:r>
              <w:rPr>
                <w:noProof/>
              </w:rPr>
              <w:t>Objectif</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89CD03" w14:textId="57468E87" w:rsidR="00FA40E8" w:rsidRDefault="00E74AE8">
            <w:pPr>
              <w:pStyle w:val="P68B1DB1-Normal12"/>
              <w:spacing w:before="60" w:after="60"/>
              <w:rPr>
                <w:rFonts w:eastAsia="Times New Roman" w:cs="Times New Roman"/>
                <w:noProof/>
              </w:rPr>
            </w:pPr>
            <w:r>
              <w:rPr>
                <w:noProof/>
              </w:rPr>
              <w:t>Transfert en capital du gouvernement lituanien à INVEGA</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8ADA4F" w14:textId="77777777" w:rsidR="00FA40E8" w:rsidRDefault="00FA40E8">
            <w:pPr>
              <w:spacing w:before="60" w:after="60"/>
              <w:rPr>
                <w:rFonts w:ascii="Times New Roman" w:eastAsia="Times New Roman" w:hAnsi="Times New Roman" w:cs="Times New Roman"/>
                <w:noProof/>
                <w:sz w:val="20"/>
              </w:rPr>
            </w:pP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E5E9F5" w14:textId="77777777" w:rsidR="00FA40E8" w:rsidRDefault="00E74AE8">
            <w:pPr>
              <w:pStyle w:val="P68B1DB1-Normal12"/>
              <w:spacing w:before="60" w:after="60"/>
              <w:jc w:val="center"/>
              <w:rPr>
                <w:rFonts w:eastAsia="Times New Roman" w:cs="Times New Roman"/>
                <w:noProof/>
              </w:rPr>
            </w:pPr>
            <w:r>
              <w:rPr>
                <w:noProof/>
              </w:rPr>
              <w:t>EUR</w:t>
            </w: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4D2D00" w14:textId="77777777" w:rsidR="00FA40E8" w:rsidRDefault="00E74AE8">
            <w:pPr>
              <w:pStyle w:val="P68B1DB1-Normal12"/>
              <w:spacing w:before="60" w:after="60"/>
              <w:jc w:val="center"/>
              <w:rPr>
                <w:rFonts w:eastAsia="Times New Roman" w:cs="Times New Roman"/>
                <w:noProof/>
              </w:rPr>
            </w:pPr>
            <w:r>
              <w:rPr>
                <w:noProof/>
              </w:rPr>
              <w:t>0</w:t>
            </w: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C44066" w14:textId="3E16B149" w:rsidR="00FA40E8" w:rsidRDefault="00E74AE8">
            <w:pPr>
              <w:pStyle w:val="P68B1DB1-Normal12"/>
              <w:spacing w:before="60" w:after="60"/>
              <w:jc w:val="center"/>
              <w:rPr>
                <w:rFonts w:eastAsia="Times New Roman" w:cs="Times New Roman"/>
                <w:noProof/>
              </w:rPr>
            </w:pPr>
            <w:r>
              <w:rPr>
                <w:noProof/>
              </w:rPr>
              <w:t>150 000 000</w:t>
            </w: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E77C5F" w14:textId="72F92FFB" w:rsidR="00FA40E8" w:rsidRDefault="00E74AE8">
            <w:pPr>
              <w:pStyle w:val="P68B1DB1-Normal12"/>
              <w:spacing w:before="60" w:after="60"/>
              <w:jc w:val="center"/>
              <w:rPr>
                <w:rFonts w:eastAsia="Times New Roman" w:cs="Times New Roman"/>
                <w:noProof/>
              </w:rPr>
            </w:pPr>
            <w:r>
              <w:rPr>
                <w:noProof/>
              </w:rPr>
              <w:t>T2</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9B10E4" w14:textId="77777777" w:rsidR="00FA40E8" w:rsidRDefault="00E74AE8">
            <w:pPr>
              <w:pStyle w:val="P68B1DB1-Normal12"/>
              <w:spacing w:before="60" w:after="60"/>
              <w:jc w:val="center"/>
              <w:rPr>
                <w:rFonts w:eastAsia="Times New Roman" w:cs="Times New Roman"/>
                <w:noProof/>
              </w:rPr>
            </w:pPr>
            <w:r>
              <w:rPr>
                <w:noProof/>
              </w:rPr>
              <w:t>2024</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E3E680" w14:textId="76D54E3D" w:rsidR="00FA40E8" w:rsidRDefault="00E74AE8">
            <w:pPr>
              <w:pStyle w:val="P68B1DB1-Normal12"/>
              <w:spacing w:before="60" w:after="60"/>
              <w:jc w:val="both"/>
              <w:rPr>
                <w:rFonts w:eastAsia="Times New Roman" w:cs="Times New Roman"/>
                <w:noProof/>
              </w:rPr>
            </w:pPr>
            <w:r>
              <w:rPr>
                <w:noProof/>
              </w:rPr>
              <w:t xml:space="preserve">La Lituanie transfère </w:t>
            </w:r>
            <w:r>
              <w:rPr>
                <w:noProof/>
              </w:rPr>
              <w:t>150 000 000 EUR à INVEGA pour augmenter sa capitalisation.</w:t>
            </w:r>
          </w:p>
        </w:tc>
      </w:tr>
      <w:tr w:rsidR="00FA40E8" w14:paraId="7489A86B" w14:textId="77777777">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81E962" w14:textId="16CEB39E" w:rsidR="00FA40E8" w:rsidRDefault="00E74AE8">
            <w:pPr>
              <w:pStyle w:val="P68B1DB1-Normal12"/>
              <w:spacing w:before="60" w:after="60"/>
              <w:jc w:val="center"/>
              <w:rPr>
                <w:rFonts w:eastAsia="Times New Roman" w:cs="Times New Roman"/>
                <w:noProof/>
              </w:rPr>
            </w:pPr>
            <w:r>
              <w:rPr>
                <w:noProof/>
              </w:rPr>
              <w:t>180D</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E32753" w14:textId="623AE1CA" w:rsidR="00FA40E8" w:rsidRDefault="00E74AE8">
            <w:pPr>
              <w:pStyle w:val="P68B1DB1-Normal12"/>
              <w:spacing w:before="60" w:after="60"/>
              <w:rPr>
                <w:rFonts w:eastAsia="Times New Roman" w:cs="Times New Roman"/>
                <w:noProof/>
              </w:rPr>
            </w:pPr>
            <w:r>
              <w:rPr>
                <w:noProof/>
              </w:rPr>
              <w:t>F.3.2. Capitalisation et résilience financière de l’institution nationale de développement</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87A03" w14:textId="2CDBBDF2" w:rsidR="00FA40E8" w:rsidRDefault="00E74AE8">
            <w:pPr>
              <w:pStyle w:val="P68B1DB1-Normal12"/>
              <w:spacing w:before="60" w:after="60"/>
              <w:jc w:val="center"/>
              <w:rPr>
                <w:rFonts w:eastAsia="Times New Roman" w:cs="Times New Roman"/>
                <w:noProof/>
              </w:rPr>
            </w:pPr>
            <w:r>
              <w:rPr>
                <w:noProof/>
              </w:rPr>
              <w:t>Étape</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1D9D48" w14:textId="48F11194" w:rsidR="00FA40E8" w:rsidRDefault="00E74AE8">
            <w:pPr>
              <w:pStyle w:val="P68B1DB1-Normal12"/>
              <w:spacing w:before="60" w:after="60"/>
              <w:rPr>
                <w:rFonts w:eastAsia="Times New Roman" w:cs="Times New Roman"/>
                <w:noProof/>
              </w:rPr>
            </w:pPr>
            <w:r>
              <w:rPr>
                <w:noProof/>
              </w:rPr>
              <w:t>Politique d’investissement pour INVEGA</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27A4FA" w14:textId="633C4756" w:rsidR="00FA40E8" w:rsidRDefault="00E74AE8">
            <w:pPr>
              <w:pStyle w:val="P68B1DB1-Normal12"/>
              <w:spacing w:before="60" w:after="60"/>
              <w:rPr>
                <w:rFonts w:eastAsia="Times New Roman" w:cs="Times New Roman"/>
                <w:noProof/>
              </w:rPr>
            </w:pPr>
            <w:r>
              <w:rPr>
                <w:noProof/>
              </w:rPr>
              <w:t>Adoption d’une politique d’investissement</w:t>
            </w: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F0F226" w14:textId="3D67D1A2" w:rsidR="00FA40E8" w:rsidRDefault="00FA40E8">
            <w:pPr>
              <w:spacing w:before="60" w:after="60"/>
              <w:jc w:val="center"/>
              <w:rPr>
                <w:rFonts w:ascii="Times New Roman" w:eastAsia="Times New Roman" w:hAnsi="Times New Roman" w:cs="Times New Roman"/>
                <w:noProof/>
                <w:sz w:val="20"/>
              </w:rPr>
            </w:pP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8661C9" w14:textId="6B412651" w:rsidR="00FA40E8" w:rsidRDefault="00FA40E8">
            <w:pPr>
              <w:spacing w:before="60" w:after="60"/>
              <w:jc w:val="center"/>
              <w:rPr>
                <w:rFonts w:ascii="Times New Roman" w:eastAsia="Times New Roman" w:hAnsi="Times New Roman" w:cs="Times New Roman"/>
                <w:noProof/>
                <w:sz w:val="20"/>
              </w:rPr>
            </w:pP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624EE3" w14:textId="531517DC" w:rsidR="00FA40E8" w:rsidRDefault="00FA40E8">
            <w:pPr>
              <w:spacing w:before="60" w:after="60"/>
              <w:jc w:val="center"/>
              <w:rPr>
                <w:rFonts w:ascii="Times New Roman" w:eastAsia="Times New Roman" w:hAnsi="Times New Roman" w:cs="Times New Roman"/>
                <w:noProof/>
                <w:sz w:val="20"/>
              </w:rPr>
            </w:pP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791F65" w14:textId="20521231" w:rsidR="00FA40E8" w:rsidRDefault="00E74AE8">
            <w:pPr>
              <w:pStyle w:val="P68B1DB1-Normal12"/>
              <w:spacing w:before="60" w:after="60"/>
              <w:jc w:val="center"/>
              <w:rPr>
                <w:rFonts w:eastAsia="Times New Roman" w:cs="Times New Roman"/>
                <w:noProof/>
              </w:rPr>
            </w:pPr>
            <w:r>
              <w:rPr>
                <w:noProof/>
              </w:rPr>
              <w:t>T1</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B66A18" w14:textId="57692B58" w:rsidR="00FA40E8" w:rsidRDefault="00E74AE8">
            <w:pPr>
              <w:pStyle w:val="P68B1DB1-Normal12"/>
              <w:spacing w:before="60" w:after="60"/>
              <w:jc w:val="center"/>
              <w:rPr>
                <w:rFonts w:eastAsia="Times New Roman" w:cs="Times New Roman"/>
                <w:noProof/>
              </w:rPr>
            </w:pPr>
            <w:r>
              <w:rPr>
                <w:noProof/>
              </w:rPr>
              <w:t>2025</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10CCB2" w14:textId="7CE60B5C" w:rsidR="00FA40E8" w:rsidRDefault="00E74AE8">
            <w:pPr>
              <w:pStyle w:val="P68B1DB1-Normal12"/>
              <w:spacing w:before="60" w:after="60"/>
              <w:jc w:val="both"/>
              <w:rPr>
                <w:rFonts w:eastAsia="Times New Roman" w:cs="Times New Roman"/>
                <w:noProof/>
              </w:rPr>
            </w:pPr>
            <w:r>
              <w:rPr>
                <w:noProof/>
              </w:rPr>
              <w:t>Adoption d’une nouvelle politique d’investissement pour INVEGA, couvrant notamment l’utilisation des fonds propres supplémentaires conformément aux dispositions de la description de la mesure.</w:t>
            </w:r>
          </w:p>
        </w:tc>
      </w:tr>
    </w:tbl>
    <w:p w14:paraId="4DD3EA53" w14:textId="49EA316B" w:rsidR="00FA40E8" w:rsidRDefault="00FA40E8">
      <w:pPr>
        <w:rPr>
          <w:noProof/>
        </w:rPr>
      </w:pPr>
    </w:p>
    <w:p w14:paraId="1CBD88D2" w14:textId="77777777" w:rsidR="00FA40E8" w:rsidRDefault="00FA40E8">
      <w:pPr>
        <w:pStyle w:val="ManualHeading1"/>
        <w:tabs>
          <w:tab w:val="clear" w:pos="850"/>
        </w:tabs>
        <w:spacing w:after="200"/>
        <w:ind w:left="0" w:firstLine="0"/>
        <w:rPr>
          <w:noProof/>
        </w:rPr>
        <w:sectPr w:rsidR="00FA40E8" w:rsidSect="0074650A">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519F86B1" w14:textId="77777777" w:rsidR="00FA40E8" w:rsidRDefault="00E74AE8">
      <w:pPr>
        <w:pStyle w:val="ManualHeading1"/>
        <w:tabs>
          <w:tab w:val="clear" w:pos="850"/>
        </w:tabs>
        <w:spacing w:before="0" w:after="200"/>
        <w:ind w:left="0" w:firstLine="0"/>
        <w:rPr>
          <w:noProof/>
        </w:rPr>
      </w:pPr>
      <w:r>
        <w:rPr>
          <w:noProof/>
        </w:rPr>
        <w:t>G. COMPOSANTE 7: Davantage de possibilités pour tous de construire activement le bien-être national</w:t>
      </w:r>
    </w:p>
    <w:p w14:paraId="6FFF272A" w14:textId="77777777" w:rsidR="00FA40E8" w:rsidRDefault="00E74AE8">
      <w:pPr>
        <w:pStyle w:val="Text1"/>
        <w:spacing w:before="0" w:after="200" w:line="276" w:lineRule="auto"/>
        <w:ind w:left="0"/>
        <w:rPr>
          <w:noProof/>
        </w:rPr>
      </w:pPr>
      <w:r>
        <w:rPr>
          <w:noProof/>
        </w:rPr>
        <w:t>L’objectif général de ce volet est de contribuer à la mise en œuvre du socle européen des droits sociaux et de relever certains des défis de longue date lié</w:t>
      </w:r>
      <w:r>
        <w:rPr>
          <w:noProof/>
        </w:rPr>
        <w:t>s à l’exclusion sociale, à la pauvreté et aux inégalités de revenus, ainsi qu’à la faible couverture des mesures actives du marché du travail. Les réformes et les investissements inclus dans ce volet visent à accroître l’emploi et à assurer l’intégration d</w:t>
      </w:r>
      <w:r>
        <w:rPr>
          <w:noProof/>
        </w:rPr>
        <w:t>urable des personnes sur le marché du travail, ainsi qu’à améliorer l’adéquation du filet de sécurité sociale grâce à des augmentations ciblées de certaines prestations, à améliorer le mécanisme d’indexation des retraites, à accroître la couverture de l’as</w:t>
      </w:r>
      <w:r>
        <w:rPr>
          <w:noProof/>
        </w:rPr>
        <w:t>surance sociale contre le chômage et à modifier la fourniture de soins sociaux agréés.</w:t>
      </w:r>
    </w:p>
    <w:p w14:paraId="2A8E618F" w14:textId="77777777" w:rsidR="00FA40E8" w:rsidRDefault="00E74AE8">
      <w:pPr>
        <w:pStyle w:val="Text1"/>
        <w:spacing w:before="0" w:after="200" w:line="276" w:lineRule="auto"/>
        <w:ind w:left="0"/>
        <w:rPr>
          <w:noProof/>
        </w:rPr>
      </w:pPr>
      <w:r>
        <w:rPr>
          <w:noProof/>
        </w:rPr>
        <w:t>Ce volet se compose de deux grandes mesures: la protection du revenu minimum garanti et l’aide à l’emploi axée sur le client.</w:t>
      </w:r>
    </w:p>
    <w:p w14:paraId="3341629F" w14:textId="77777777" w:rsidR="00FA40E8" w:rsidRDefault="00E74AE8">
      <w:pPr>
        <w:pStyle w:val="Text1"/>
        <w:spacing w:before="0" w:after="200" w:line="276" w:lineRule="auto"/>
        <w:ind w:left="0"/>
        <w:rPr>
          <w:noProof/>
        </w:rPr>
      </w:pPr>
      <w:r>
        <w:rPr>
          <w:noProof/>
        </w:rPr>
        <w:t xml:space="preserve">Ce volet devrait contribuer à réaliser des </w:t>
      </w:r>
      <w:r>
        <w:rPr>
          <w:noProof/>
        </w:rPr>
        <w:t>progrès substantiels</w:t>
      </w:r>
      <w:r>
        <w:rPr>
          <w:b/>
          <w:noProof/>
        </w:rPr>
        <w:t xml:space="preserve"> </w:t>
      </w:r>
      <w:r>
        <w:rPr>
          <w:noProof/>
        </w:rPr>
        <w:t>dans la mise en œuvre des recommandations par pays visant à atténuer les effets de la crise sur l’emploi, à accroître</w:t>
      </w:r>
      <w:r>
        <w:rPr>
          <w:noProof/>
        </w:rPr>
        <w:t xml:space="preserve"> le financement et la couverture des mesures actives du marché du travail et à promouvoir les compétences (recommandations par pays 2 et 2020). Cela s’applique également à la recommandation par pays visant à améliorer la qualité et l’efficacité à tous les </w:t>
      </w:r>
      <w:r>
        <w:rPr>
          <w:noProof/>
        </w:rPr>
        <w:t>niveaux d’éducation et de formation, y compris l’éducation et la formation des adultes (recommandations par pays 2 et 2019). Le volet contribue également à donner suite à la recommandation par pays visant à lutter contre les inégalités de revenus, la pauvr</w:t>
      </w:r>
      <w:r>
        <w:rPr>
          <w:noProof/>
        </w:rPr>
        <w:t xml:space="preserve">eté et l’exclusion sociale, notamment en améliorant la conception du système d’imposition et de prestations sociales (recommandations par pays 1 et 2019), à garantir la couverture et l’adéquation du filet de sécurité sociale et à améliorer l’efficacité du </w:t>
      </w:r>
      <w:r>
        <w:rPr>
          <w:noProof/>
        </w:rPr>
        <w:t>système d’imposition et de prestations sociales pour protéger contre la pauvreté (recommandations par pays 2 et 2020).</w:t>
      </w:r>
    </w:p>
    <w:p w14:paraId="6E714606" w14:textId="0191CCB5" w:rsidR="00FA40E8" w:rsidRDefault="00E74AE8">
      <w:pPr>
        <w:pStyle w:val="P68B1DB1-Text15"/>
        <w:keepNext/>
        <w:keepLines/>
        <w:spacing w:before="0" w:after="200" w:line="276" w:lineRule="auto"/>
        <w:ind w:left="0"/>
        <w:outlineLvl w:val="1"/>
        <w:rPr>
          <w:noProof/>
        </w:rPr>
      </w:pPr>
      <w:r>
        <w:rPr>
          <w:noProof/>
        </w:rPr>
        <w:t>G.1. Description des réformes et des investissements en vue d’un soutien financier non remboursable</w:t>
      </w:r>
    </w:p>
    <w:p w14:paraId="0A985356" w14:textId="77777777" w:rsidR="00FA40E8" w:rsidRDefault="00E74AE8">
      <w:pPr>
        <w:pStyle w:val="P68B1DB1-Normal6"/>
        <w:keepNext/>
        <w:keepLines/>
        <w:jc w:val="both"/>
        <w:rPr>
          <w:rFonts w:cs="Times New Roman"/>
          <w:noProof/>
        </w:rPr>
      </w:pPr>
      <w:r>
        <w:rPr>
          <w:noProof/>
        </w:rPr>
        <w:t>G.1.1. Réforme 1 «Protection garantie</w:t>
      </w:r>
      <w:r>
        <w:rPr>
          <w:noProof/>
        </w:rPr>
        <w:t xml:space="preserve"> du revenu minimum»</w:t>
      </w:r>
    </w:p>
    <w:p w14:paraId="10C1C729" w14:textId="52574990" w:rsidR="00FA40E8" w:rsidRDefault="00E74AE8">
      <w:pPr>
        <w:pStyle w:val="Text1"/>
        <w:spacing w:before="0" w:after="200" w:line="276" w:lineRule="auto"/>
        <w:ind w:left="0"/>
        <w:rPr>
          <w:noProof/>
        </w:rPr>
      </w:pPr>
      <w:r>
        <w:rPr>
          <w:noProof/>
        </w:rPr>
        <w:t xml:space="preserve">L’objectif de cette réforme est d’accroître le bien-être social des groupes les plus vulnérables et de réduire la pauvreté. Il comprend 3 sous-mesures: (1) étude sur le régime de revenu minimum et les modifications connexes apportées à </w:t>
      </w:r>
      <w:r>
        <w:rPr>
          <w:noProof/>
        </w:rPr>
        <w:t>la législation (sous-mesure 1), (2) mesures supplémentaires visant à accroître l’adéquation et la viabilité des prestations sociales (sous-mesure 2); et (3) l’accréditation de l’aide sociale (sous-mesure 3).</w:t>
      </w:r>
    </w:p>
    <w:p w14:paraId="75023D38" w14:textId="77777777" w:rsidR="00FA40E8" w:rsidRDefault="00E74AE8">
      <w:pPr>
        <w:pStyle w:val="P68B1DB1-Normal6"/>
        <w:keepNext/>
        <w:keepLines/>
        <w:jc w:val="both"/>
        <w:rPr>
          <w:rFonts w:cs="Times New Roman"/>
          <w:noProof/>
        </w:rPr>
      </w:pPr>
      <w:r>
        <w:rPr>
          <w:noProof/>
        </w:rPr>
        <w:t>G.1.1.1. Sous-mesure 1: Étude sur le régime de r</w:t>
      </w:r>
      <w:r>
        <w:rPr>
          <w:noProof/>
        </w:rPr>
        <w:t>evenu minimum et les modifications connexes apportées à la législation</w:t>
      </w:r>
    </w:p>
    <w:p w14:paraId="242BDBB0" w14:textId="06D5960A" w:rsidR="00FA40E8" w:rsidRDefault="00E74AE8">
      <w:pPr>
        <w:pStyle w:val="Text1"/>
        <w:spacing w:before="0" w:after="200" w:line="276" w:lineRule="auto"/>
        <w:ind w:left="0"/>
        <w:rPr>
          <w:rStyle w:val="normaltextrun"/>
          <w:noProof/>
        </w:rPr>
      </w:pPr>
      <w:r>
        <w:rPr>
          <w:noProof/>
        </w:rPr>
        <w:t>L’objectif de la sous-mesure</w:t>
      </w:r>
      <w:r>
        <w:rPr>
          <w:rStyle w:val="normaltextrun"/>
          <w:noProof/>
          <w:shd w:val="clear" w:color="auto" w:fill="FFFFFF"/>
        </w:rPr>
        <w:t xml:space="preserve"> est d’accroître l’efficacité du régime de revenu minimum pour réduire la pauvreté. La sous-mesure consiste à effectuer une analyse du régime de revenu minim</w:t>
      </w:r>
      <w:r>
        <w:rPr>
          <w:rStyle w:val="normaltextrun"/>
          <w:noProof/>
          <w:shd w:val="clear" w:color="auto" w:fill="FFFFFF"/>
        </w:rPr>
        <w:t xml:space="preserve">um </w:t>
      </w:r>
      <w:r>
        <w:rPr>
          <w:noProof/>
        </w:rPr>
        <w:t>et de l’entrée en vigueur des modifications de la législation sur la base des recommandations de l’étude</w:t>
      </w:r>
      <w:r>
        <w:rPr>
          <w:rStyle w:val="normaltextrun"/>
          <w:noProof/>
          <w:shd w:val="clear" w:color="auto" w:fill="FFFFFF"/>
        </w:rPr>
        <w:t xml:space="preserve">. </w:t>
      </w:r>
    </w:p>
    <w:p w14:paraId="58021A5B" w14:textId="6B84481D" w:rsidR="00FA40E8" w:rsidRDefault="00E74AE8">
      <w:pPr>
        <w:pStyle w:val="P68B1DB1-Normal6"/>
        <w:keepNext/>
        <w:keepLines/>
        <w:jc w:val="both"/>
        <w:rPr>
          <w:rFonts w:cs="Times New Roman"/>
          <w:noProof/>
        </w:rPr>
      </w:pPr>
      <w:r>
        <w:rPr>
          <w:noProof/>
        </w:rPr>
        <w:t>G.1.1.2. Sous-mesure 2: Mesures supplémentaires visant à accroître l’adéquation et la viabilité des prestations sociales</w:t>
      </w:r>
    </w:p>
    <w:p w14:paraId="63B9F052" w14:textId="2B9E0E52" w:rsidR="00FA40E8" w:rsidRDefault="00E74AE8">
      <w:pPr>
        <w:pStyle w:val="Text1"/>
        <w:spacing w:before="0" w:after="200" w:line="276" w:lineRule="auto"/>
        <w:ind w:left="0"/>
        <w:rPr>
          <w:rStyle w:val="normaltextrun"/>
          <w:noProof/>
        </w:rPr>
      </w:pPr>
      <w:r>
        <w:rPr>
          <w:rStyle w:val="normaltextrun"/>
          <w:noProof/>
          <w:shd w:val="clear" w:color="auto" w:fill="FFFFFF"/>
        </w:rPr>
        <w:t>L’objectif de cette sous-</w:t>
      </w:r>
      <w:r>
        <w:rPr>
          <w:rStyle w:val="normaltextrun"/>
          <w:noProof/>
          <w:shd w:val="clear" w:color="auto" w:fill="FFFFFF"/>
        </w:rPr>
        <w:t xml:space="preserve">mesure est de mettre en œuvre certaines modifications </w:t>
      </w:r>
      <w:r>
        <w:rPr>
          <w:noProof/>
        </w:rPr>
        <w:t>visant à accroître l’adéquation et la viabilité des prestations sociales</w:t>
      </w:r>
      <w:r>
        <w:rPr>
          <w:rStyle w:val="normaltextrun"/>
          <w:noProof/>
          <w:shd w:val="clear" w:color="auto" w:fill="FFFFFF"/>
        </w:rPr>
        <w:t xml:space="preserve"> indépendamment d’une étude. Elles concernent des modifications de la législation visant à accroître la </w:t>
      </w:r>
      <w:r>
        <w:rPr>
          <w:rStyle w:val="normaltextrun"/>
          <w:noProof/>
        </w:rPr>
        <w:t>couverture et l’adéquation</w:t>
      </w:r>
      <w:r>
        <w:rPr>
          <w:rStyle w:val="normaltextrun"/>
          <w:noProof/>
        </w:rPr>
        <w:t xml:space="preserve"> </w:t>
      </w:r>
      <w:r>
        <w:rPr>
          <w:rStyle w:val="normaltextrun"/>
          <w:noProof/>
          <w:shd w:val="clear" w:color="auto" w:fill="FFFFFF"/>
        </w:rPr>
        <w:t>du régime d’assurance chômage, à introduire des prestations supplémentaires pour les personnes âgées célibataires et les personnes handicapées</w:t>
      </w:r>
      <w:r>
        <w:rPr>
          <w:rStyle w:val="normaltextrun"/>
          <w:noProof/>
        </w:rPr>
        <w:t>, ainsi qu’à améliorer le mécanisme d’indexation des pensions afin de réduire la pauvreté des personnes âgées.</w:t>
      </w:r>
    </w:p>
    <w:p w14:paraId="5304C962" w14:textId="77777777" w:rsidR="00FA40E8" w:rsidRDefault="00E74AE8">
      <w:pPr>
        <w:pStyle w:val="P68B1DB1-Normal6"/>
        <w:keepNext/>
        <w:keepLines/>
        <w:jc w:val="both"/>
        <w:rPr>
          <w:rFonts w:cs="Times New Roman"/>
          <w:noProof/>
          <w:szCs w:val="24"/>
        </w:rPr>
      </w:pPr>
      <w:r>
        <w:rPr>
          <w:noProof/>
        </w:rPr>
        <w:t>G.</w:t>
      </w:r>
      <w:r>
        <w:rPr>
          <w:noProof/>
        </w:rPr>
        <w:t>1.1.3. Sous-mesure 3: Accréditation de l’aide sociale</w:t>
      </w:r>
    </w:p>
    <w:p w14:paraId="79AE89F1" w14:textId="77777777" w:rsidR="00FA40E8" w:rsidRDefault="00E74AE8">
      <w:pPr>
        <w:pStyle w:val="Text1"/>
        <w:spacing w:before="0" w:after="200" w:line="276" w:lineRule="auto"/>
        <w:ind w:left="0"/>
        <w:rPr>
          <w:noProof/>
        </w:rPr>
      </w:pPr>
      <w:r>
        <w:rPr>
          <w:rStyle w:val="normaltextrun"/>
          <w:noProof/>
          <w:shd w:val="clear" w:color="auto" w:fill="FFFFFF"/>
        </w:rPr>
        <w:t>L’objectif de cette sous-mesure est d’améliorer la qualité des services d’aide sociale. À cette fin,</w:t>
      </w:r>
      <w:r>
        <w:rPr>
          <w:noProof/>
        </w:rPr>
        <w:t xml:space="preserve"> </w:t>
      </w:r>
      <w:r>
        <w:rPr>
          <w:rStyle w:val="normaltextrun"/>
          <w:noProof/>
          <w:shd w:val="clear" w:color="auto" w:fill="FFFFFF"/>
        </w:rPr>
        <w:t>un système d’accréditation est mis en place et</w:t>
      </w:r>
      <w:r>
        <w:rPr>
          <w:noProof/>
        </w:rPr>
        <w:t>, à partir du 1 janvier 2022, seuls des services sociau</w:t>
      </w:r>
      <w:r>
        <w:rPr>
          <w:noProof/>
        </w:rPr>
        <w:t xml:space="preserve">x accrédités sont fournis. </w:t>
      </w:r>
    </w:p>
    <w:p w14:paraId="61D9FF4E" w14:textId="77777777" w:rsidR="00FA40E8" w:rsidRDefault="00E74AE8">
      <w:pPr>
        <w:pStyle w:val="P68B1DB1-Normal6"/>
        <w:keepNext/>
        <w:keepLines/>
        <w:jc w:val="both"/>
        <w:rPr>
          <w:rFonts w:cs="Times New Roman"/>
          <w:noProof/>
        </w:rPr>
      </w:pPr>
      <w:r>
        <w:rPr>
          <w:noProof/>
        </w:rPr>
        <w:t>G.1.2. Investissement 2: «Aide à l’emploi axée sur le client»</w:t>
      </w:r>
    </w:p>
    <w:p w14:paraId="03243F63" w14:textId="69BD7A87" w:rsidR="00FA40E8" w:rsidRDefault="00E74AE8">
      <w:pPr>
        <w:pStyle w:val="Text1"/>
        <w:spacing w:before="0" w:after="200" w:line="276" w:lineRule="auto"/>
        <w:ind w:left="0"/>
        <w:rPr>
          <w:noProof/>
        </w:rPr>
      </w:pPr>
      <w:r>
        <w:rPr>
          <w:noProof/>
        </w:rPr>
        <w:t xml:space="preserve">L’objectif de cette mesure est d’optimiser les processus opérationnels et le soutien apporté par le service public de l’emploi, d’encourager l’esprit d’entreprise et </w:t>
      </w:r>
      <w:r>
        <w:rPr>
          <w:noProof/>
        </w:rPr>
        <w:t xml:space="preserve">la reconversion/le perfectionnement professionnel dans des domaines à forte valeur ajoutée, et de fournir un soutien à l’emploi. L’investissement se compose de deux sous-mesures: (1) optimisation et numérisation des processus opérationnels des services de </w:t>
      </w:r>
      <w:r>
        <w:rPr>
          <w:noProof/>
        </w:rPr>
        <w:t>l’emploi, garantissant une orientation systématique vers la clientèle (sous-mesure 1); et (2) accroître la portée et la diversité des mesures de soutien à l’emploi (sous-mesure 2).</w:t>
      </w:r>
    </w:p>
    <w:p w14:paraId="20A06998" w14:textId="25127E1D" w:rsidR="00FA40E8" w:rsidRDefault="00E74AE8">
      <w:pPr>
        <w:pStyle w:val="P68B1DB1-Normal6"/>
        <w:keepNext/>
        <w:keepLines/>
        <w:jc w:val="both"/>
        <w:rPr>
          <w:rFonts w:cs="Times New Roman"/>
          <w:noProof/>
        </w:rPr>
      </w:pPr>
      <w:r>
        <w:rPr>
          <w:noProof/>
        </w:rPr>
        <w:t>G.1.2.1. Sous-mesure 1: Optimisation et numérisation des processus opératio</w:t>
      </w:r>
      <w:r>
        <w:rPr>
          <w:noProof/>
        </w:rPr>
        <w:t>nnels des services de l’emploi, en garantissant une orientation systématique vers les clients</w:t>
      </w:r>
    </w:p>
    <w:p w14:paraId="7C8F4BCB" w14:textId="687C6DE2" w:rsidR="00FA40E8" w:rsidRDefault="00E74AE8">
      <w:pPr>
        <w:pStyle w:val="Text1"/>
        <w:spacing w:before="0" w:after="200" w:line="276" w:lineRule="auto"/>
        <w:ind w:left="0"/>
        <w:rPr>
          <w:noProof/>
        </w:rPr>
      </w:pPr>
      <w:r>
        <w:rPr>
          <w:noProof/>
        </w:rPr>
        <w:t xml:space="preserve">L’objectif de la sous-mesure est de numériser les processus opérationnels du service de l’emploi et de garantir l’orientation vers le client. La sous-mesure </w:t>
      </w:r>
      <w:r>
        <w:rPr>
          <w:noProof/>
        </w:rPr>
        <w:t>consiste en la mise en service de la plateforme des services de l’emploi.</w:t>
      </w:r>
    </w:p>
    <w:p w14:paraId="01493267" w14:textId="1BCA505F" w:rsidR="00FA40E8" w:rsidRDefault="00E74AE8">
      <w:pPr>
        <w:pStyle w:val="P68B1DB1-Normal6"/>
        <w:keepNext/>
        <w:keepLines/>
        <w:jc w:val="both"/>
        <w:rPr>
          <w:rFonts w:cs="Times New Roman"/>
          <w:noProof/>
        </w:rPr>
      </w:pPr>
      <w:r>
        <w:rPr>
          <w:noProof/>
        </w:rPr>
        <w:t>G.1.2.2. Sous-mesure 2: Accroître la portée et la diversité des mesures de soutien à l’emploi</w:t>
      </w:r>
    </w:p>
    <w:p w14:paraId="441C3B4F" w14:textId="0EB7DC85" w:rsidR="00FA40E8" w:rsidRDefault="00E74AE8">
      <w:pPr>
        <w:pStyle w:val="Text1"/>
        <w:spacing w:before="0" w:after="200" w:line="276" w:lineRule="auto"/>
        <w:ind w:left="0"/>
        <w:rPr>
          <w:noProof/>
        </w:rPr>
        <w:sectPr w:rsidR="00FA40E8" w:rsidSect="0074650A">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Pr>
          <w:noProof/>
        </w:rPr>
        <w:t>L’objectif de cette sous-mesur</w:t>
      </w:r>
      <w:r>
        <w:rPr>
          <w:noProof/>
        </w:rPr>
        <w:t>e est d’accroître la portée et la diversité des mesures de soutien à l’emploi. La sous-mesure consiste en l’entrée en vigueur de la législation établissant deux programmes pilotes de soutien à la formation et à l’entrepreneuriat et de soutien aux participa</w:t>
      </w:r>
      <w:r>
        <w:rPr>
          <w:noProof/>
        </w:rPr>
        <w:t>nts dans le cadre de ces programmes</w:t>
      </w:r>
      <w:r>
        <w:rPr>
          <w:rFonts w:eastAsia="Times New Roman"/>
          <w:noProof/>
        </w:rPr>
        <w:t>, ainsi qu’en l’octroi de subventions pour soutenir l’emploi.</w:t>
      </w:r>
    </w:p>
    <w:p w14:paraId="0A1C0EE8" w14:textId="5166E424" w:rsidR="00FA40E8" w:rsidRDefault="00E74AE8">
      <w:pPr>
        <w:pStyle w:val="P68B1DB1-Text15"/>
        <w:keepNext/>
        <w:keepLines/>
        <w:spacing w:before="0" w:after="200" w:line="276" w:lineRule="auto"/>
        <w:ind w:left="0"/>
        <w:outlineLvl w:val="1"/>
        <w:rPr>
          <w:noProof/>
        </w:rPr>
      </w:pPr>
      <w:r>
        <w:rPr>
          <w:noProof/>
        </w:rPr>
        <w:t>G.2. Jalons, cibles, indicateurs et calendrier de suivi et de mise en œuvre du soutien financier non remboursable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727"/>
        <w:gridCol w:w="1611"/>
        <w:gridCol w:w="1092"/>
        <w:gridCol w:w="1560"/>
        <w:gridCol w:w="1560"/>
        <w:gridCol w:w="1080"/>
        <w:gridCol w:w="919"/>
        <w:gridCol w:w="778"/>
        <w:gridCol w:w="1091"/>
        <w:gridCol w:w="709"/>
        <w:gridCol w:w="3584"/>
      </w:tblGrid>
      <w:tr w:rsidR="00FA40E8" w14:paraId="6094B5FF" w14:textId="77777777">
        <w:trPr>
          <w:tblHeader/>
        </w:trPr>
        <w:tc>
          <w:tcPr>
            <w:tcW w:w="7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1749F83" w14:textId="22BBE2BD" w:rsidR="00FA40E8" w:rsidRDefault="00E74AE8">
            <w:pPr>
              <w:pStyle w:val="P68B1DB1-Normal9"/>
              <w:spacing w:before="60" w:after="60"/>
              <w:jc w:val="center"/>
              <w:rPr>
                <w:rFonts w:cs="Times New Roman"/>
                <w:noProof/>
              </w:rPr>
            </w:pPr>
            <w:r>
              <w:rPr>
                <w:noProof/>
              </w:rPr>
              <w:t>Non.</w:t>
            </w:r>
          </w:p>
        </w:tc>
        <w:tc>
          <w:tcPr>
            <w:tcW w:w="161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2185E80" w14:textId="77777777" w:rsidR="00FA40E8" w:rsidRDefault="00E74AE8">
            <w:pPr>
              <w:pStyle w:val="P68B1DB1-Normal9"/>
              <w:spacing w:before="60" w:after="60"/>
              <w:jc w:val="center"/>
              <w:rPr>
                <w:rFonts w:cs="Times New Roman"/>
                <w:noProof/>
              </w:rPr>
            </w:pPr>
            <w:r>
              <w:rPr>
                <w:noProof/>
              </w:rPr>
              <w:t>Mesure connexe (réforme ou investissemen</w:t>
            </w:r>
            <w:r>
              <w:rPr>
                <w:noProof/>
              </w:rPr>
              <w:t>t)</w:t>
            </w:r>
          </w:p>
        </w:tc>
        <w:tc>
          <w:tcPr>
            <w:tcW w:w="109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8C2B051" w14:textId="7DFDF221" w:rsidR="00FA40E8" w:rsidRDefault="00E74AE8">
            <w:pPr>
              <w:pStyle w:val="P68B1DB1-Normal9"/>
              <w:spacing w:before="60" w:after="60"/>
              <w:jc w:val="center"/>
              <w:rPr>
                <w:rFonts w:cs="Times New Roman"/>
                <w:noProof/>
              </w:rPr>
            </w:pPr>
            <w:r>
              <w:rPr>
                <w:noProof/>
              </w:rPr>
              <w:t>Étape/cible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FF2E46B" w14:textId="77777777" w:rsidR="00FA40E8" w:rsidRDefault="00E74AE8">
            <w:pPr>
              <w:pStyle w:val="P68B1DB1-Normal9"/>
              <w:spacing w:before="60" w:after="60"/>
              <w:jc w:val="center"/>
              <w:rPr>
                <w:rFonts w:cs="Times New Roman"/>
                <w:noProof/>
              </w:rPr>
            </w:pPr>
            <w:r>
              <w:rPr>
                <w:noProof/>
              </w:rPr>
              <w:t>Titre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31EAA3" w14:textId="656B8A37"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étapes)</w:t>
            </w:r>
          </w:p>
        </w:tc>
        <w:tc>
          <w:tcPr>
            <w:tcW w:w="2777"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033C2B" w14:textId="69A24282"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80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280600" w14:textId="72D8C062" w:rsidR="00FA40E8" w:rsidRDefault="00E74AE8">
            <w:pPr>
              <w:pStyle w:val="P68B1DB1-Normal9"/>
              <w:spacing w:before="60" w:after="60"/>
              <w:jc w:val="center"/>
              <w:rPr>
                <w:rFonts w:cs="Times New Roman"/>
                <w:noProof/>
              </w:rPr>
            </w:pPr>
            <w:r>
              <w:rPr>
                <w:noProof/>
              </w:rPr>
              <w:t>Calendrier indicatif d’achèvement</w:t>
            </w:r>
          </w:p>
        </w:tc>
        <w:tc>
          <w:tcPr>
            <w:tcW w:w="358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F7B19AB" w14:textId="77777777" w:rsidR="00FA40E8" w:rsidRDefault="00E74AE8">
            <w:pPr>
              <w:pStyle w:val="P68B1DB1-Normal9"/>
              <w:spacing w:before="60" w:after="60"/>
              <w:jc w:val="center"/>
              <w:rPr>
                <w:rFonts w:cs="Times New Roman"/>
                <w:noProof/>
              </w:rPr>
            </w:pPr>
            <w:r>
              <w:rPr>
                <w:noProof/>
              </w:rPr>
              <w:t>Description et définition claire de chaque jalon et cible</w:t>
            </w:r>
          </w:p>
        </w:tc>
      </w:tr>
      <w:tr w:rsidR="00FA40E8" w14:paraId="39022484" w14:textId="77777777">
        <w:trPr>
          <w:tblHeader/>
        </w:trPr>
        <w:tc>
          <w:tcPr>
            <w:tcW w:w="727" w:type="dxa"/>
            <w:vMerge/>
            <w:tcBorders>
              <w:top w:val="single" w:sz="4" w:space="0" w:color="auto"/>
              <w:left w:val="single" w:sz="4" w:space="0" w:color="auto"/>
              <w:bottom w:val="single" w:sz="4" w:space="0" w:color="auto"/>
              <w:right w:val="single" w:sz="4" w:space="0" w:color="auto"/>
            </w:tcBorders>
            <w:vAlign w:val="center"/>
          </w:tcPr>
          <w:p w14:paraId="4416E1A9" w14:textId="77777777" w:rsidR="00FA40E8" w:rsidRDefault="00FA40E8">
            <w:pPr>
              <w:spacing w:before="60" w:after="60"/>
              <w:jc w:val="center"/>
              <w:rPr>
                <w:rFonts w:ascii="Times New Roman" w:hAnsi="Times New Roman" w:cs="Times New Roman"/>
                <w:b/>
                <w:noProof/>
                <w:sz w:val="20"/>
              </w:rPr>
            </w:pPr>
          </w:p>
        </w:tc>
        <w:tc>
          <w:tcPr>
            <w:tcW w:w="1611" w:type="dxa"/>
            <w:vMerge/>
            <w:tcBorders>
              <w:top w:val="single" w:sz="4" w:space="0" w:color="auto"/>
              <w:left w:val="single" w:sz="4" w:space="0" w:color="auto"/>
              <w:bottom w:val="single" w:sz="4" w:space="0" w:color="auto"/>
              <w:right w:val="single" w:sz="4" w:space="0" w:color="auto"/>
            </w:tcBorders>
            <w:vAlign w:val="center"/>
          </w:tcPr>
          <w:p w14:paraId="3CDBEB0F" w14:textId="77777777" w:rsidR="00FA40E8" w:rsidRDefault="00FA40E8">
            <w:pPr>
              <w:spacing w:before="60" w:after="60"/>
              <w:rPr>
                <w:rFonts w:ascii="Times New Roman" w:hAnsi="Times New Roman" w:cs="Times New Roman"/>
                <w:b/>
                <w:noProof/>
                <w:sz w:val="20"/>
              </w:rPr>
            </w:pPr>
          </w:p>
        </w:tc>
        <w:tc>
          <w:tcPr>
            <w:tcW w:w="1092" w:type="dxa"/>
            <w:vMerge/>
            <w:tcBorders>
              <w:top w:val="single" w:sz="4" w:space="0" w:color="auto"/>
              <w:left w:val="single" w:sz="4" w:space="0" w:color="auto"/>
              <w:bottom w:val="single" w:sz="4" w:space="0" w:color="auto"/>
              <w:right w:val="single" w:sz="4" w:space="0" w:color="auto"/>
            </w:tcBorders>
            <w:vAlign w:val="center"/>
          </w:tcPr>
          <w:p w14:paraId="5BD5700B" w14:textId="77777777" w:rsidR="00FA40E8" w:rsidRDefault="00FA40E8">
            <w:pPr>
              <w:spacing w:before="60" w:after="60"/>
              <w:jc w:val="center"/>
              <w:rPr>
                <w:rFonts w:ascii="Times New Roman" w:hAnsi="Times New Roman" w:cs="Times New Roman"/>
                <w:b/>
                <w:noProof/>
                <w:sz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26384EC8" w14:textId="77777777" w:rsidR="00FA40E8" w:rsidRDefault="00FA40E8">
            <w:pPr>
              <w:spacing w:before="60" w:after="60"/>
              <w:rPr>
                <w:rFonts w:ascii="Times New Roman" w:hAnsi="Times New Roman" w:cs="Times New Roman"/>
                <w:b/>
                <w:noProof/>
                <w:sz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59332100" w14:textId="77777777" w:rsidR="00FA40E8" w:rsidRDefault="00FA40E8">
            <w:pPr>
              <w:spacing w:before="60" w:after="60"/>
              <w:rPr>
                <w:rFonts w:ascii="Times New Roman" w:hAnsi="Times New Roman" w:cs="Times New Roman"/>
                <w:b/>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985EEBE" w14:textId="77777777" w:rsidR="00FA40E8" w:rsidRDefault="00E74AE8">
            <w:pPr>
              <w:pStyle w:val="P68B1DB1-Normal9"/>
              <w:spacing w:before="60" w:after="60"/>
              <w:jc w:val="center"/>
              <w:rPr>
                <w:rFonts w:cs="Times New Roman"/>
                <w:noProof/>
              </w:rPr>
            </w:pPr>
            <w:r>
              <w:rPr>
                <w:noProof/>
              </w:rPr>
              <w:t>Unité</w:t>
            </w:r>
          </w:p>
        </w:tc>
        <w:tc>
          <w:tcPr>
            <w:tcW w:w="91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224BE86" w14:textId="77777777" w:rsidR="00FA40E8" w:rsidRDefault="00E74AE8">
            <w:pPr>
              <w:pStyle w:val="P68B1DB1-Normal9"/>
              <w:spacing w:before="60" w:after="60"/>
              <w:jc w:val="center"/>
              <w:rPr>
                <w:rFonts w:cs="Times New Roman"/>
                <w:noProof/>
              </w:rPr>
            </w:pPr>
            <w:r>
              <w:rPr>
                <w:noProof/>
              </w:rPr>
              <w:t>Niveau de référence</w:t>
            </w:r>
          </w:p>
        </w:tc>
        <w:tc>
          <w:tcPr>
            <w:tcW w:w="77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6ADE9CF" w14:textId="77777777" w:rsidR="00FA40E8" w:rsidRDefault="00E74AE8">
            <w:pPr>
              <w:pStyle w:val="P68B1DB1-Normal9"/>
              <w:spacing w:before="60" w:after="60"/>
              <w:jc w:val="center"/>
              <w:rPr>
                <w:rFonts w:cs="Times New Roman"/>
                <w:noProof/>
              </w:rPr>
            </w:pPr>
            <w:r>
              <w:rPr>
                <w:noProof/>
              </w:rPr>
              <w:t>Objectif</w:t>
            </w:r>
          </w:p>
        </w:tc>
        <w:tc>
          <w:tcPr>
            <w:tcW w:w="109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8EF567C" w14:textId="77777777" w:rsidR="00FA40E8" w:rsidRDefault="00E74AE8">
            <w:pPr>
              <w:pStyle w:val="P68B1DB1-Normal9"/>
              <w:spacing w:before="60" w:after="60"/>
              <w:jc w:val="center"/>
              <w:rPr>
                <w:rFonts w:cs="Times New Roman"/>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0D593F0" w14:textId="77777777" w:rsidR="00FA40E8" w:rsidRDefault="00E74AE8">
            <w:pPr>
              <w:pStyle w:val="P68B1DB1-Normal9"/>
              <w:spacing w:before="60" w:after="60"/>
              <w:jc w:val="center"/>
              <w:rPr>
                <w:rFonts w:cs="Times New Roman"/>
                <w:noProof/>
              </w:rPr>
            </w:pPr>
            <w:r>
              <w:rPr>
                <w:noProof/>
              </w:rPr>
              <w:t>Année</w:t>
            </w:r>
          </w:p>
        </w:tc>
        <w:tc>
          <w:tcPr>
            <w:tcW w:w="3584" w:type="dxa"/>
            <w:vMerge/>
            <w:tcBorders>
              <w:top w:val="single" w:sz="4" w:space="0" w:color="auto"/>
              <w:left w:val="single" w:sz="4" w:space="0" w:color="auto"/>
              <w:bottom w:val="single" w:sz="4" w:space="0" w:color="auto"/>
              <w:right w:val="single" w:sz="4" w:space="0" w:color="auto"/>
            </w:tcBorders>
            <w:vAlign w:val="center"/>
          </w:tcPr>
          <w:p w14:paraId="1C991D34" w14:textId="77777777" w:rsidR="00FA40E8" w:rsidRDefault="00FA40E8">
            <w:pPr>
              <w:spacing w:before="60" w:after="60"/>
              <w:rPr>
                <w:rFonts w:ascii="Times New Roman" w:hAnsi="Times New Roman" w:cs="Times New Roman"/>
                <w:b/>
                <w:noProof/>
                <w:sz w:val="20"/>
              </w:rPr>
            </w:pPr>
          </w:p>
        </w:tc>
      </w:tr>
      <w:tr w:rsidR="00FA40E8" w14:paraId="0937A006" w14:textId="7777777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3FAC04" w14:textId="77777777" w:rsidR="00FA40E8" w:rsidRDefault="00E74AE8">
            <w:pPr>
              <w:pStyle w:val="P68B1DB1-Normal12"/>
              <w:spacing w:before="60" w:after="60"/>
              <w:jc w:val="center"/>
              <w:rPr>
                <w:rFonts w:cs="Times New Roman"/>
                <w:noProof/>
              </w:rPr>
            </w:pPr>
            <w:r>
              <w:rPr>
                <w:noProof/>
              </w:rPr>
              <w:t>180</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927042" w14:textId="23805B1F" w:rsidR="00FA40E8" w:rsidRDefault="00E74AE8">
            <w:pPr>
              <w:pStyle w:val="P68B1DB1-Normal12"/>
              <w:spacing w:before="60" w:after="60"/>
              <w:rPr>
                <w:noProof/>
              </w:rPr>
            </w:pPr>
            <w:r>
              <w:rPr>
                <w:noProof/>
              </w:rPr>
              <w:t xml:space="preserve">G.1.1. Protection du revenu minimum garanti — </w:t>
            </w:r>
          </w:p>
          <w:p w14:paraId="7FB6DF54" w14:textId="6FC5DBE9" w:rsidR="00FA40E8" w:rsidRDefault="00E74AE8">
            <w:pPr>
              <w:pStyle w:val="P68B1DB1-Normal12"/>
              <w:spacing w:before="60" w:after="60"/>
              <w:rPr>
                <w:rFonts w:cs="Times New Roman"/>
                <w:noProof/>
              </w:rPr>
            </w:pPr>
            <w:r>
              <w:rPr>
                <w:noProof/>
              </w:rPr>
              <w:t>G.1.1.1. Étude sur le régime de revenu minimum et les modifications connexes apportées à la législation</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A29D77"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7FB31F" w14:textId="77777777" w:rsidR="00FA40E8" w:rsidRDefault="00E74AE8">
            <w:pPr>
              <w:pStyle w:val="P68B1DB1-Normal12"/>
              <w:spacing w:before="60" w:after="60"/>
              <w:rPr>
                <w:rFonts w:eastAsia="Times New Roman" w:cs="Times New Roman"/>
                <w:noProof/>
              </w:rPr>
            </w:pPr>
            <w:r>
              <w:rPr>
                <w:noProof/>
              </w:rPr>
              <w:t xml:space="preserve">Finalisation d’une étude sur l’adéquation du régime de revenu minimum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07A4BF" w14:textId="77777777" w:rsidR="00FA40E8" w:rsidRDefault="00E74AE8">
            <w:pPr>
              <w:pStyle w:val="P68B1DB1-Normal12"/>
              <w:spacing w:before="60" w:after="60"/>
              <w:rPr>
                <w:rFonts w:eastAsia="Times New Roman" w:cs="Times New Roman"/>
                <w:noProof/>
              </w:rPr>
            </w:pPr>
            <w:r>
              <w:rPr>
                <w:noProof/>
              </w:rPr>
              <w:t xml:space="preserve">Rapport final </w:t>
            </w:r>
            <w:r>
              <w:rPr>
                <w:noProof/>
              </w:rPr>
              <w:t>publié</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48103A" w14:textId="77777777" w:rsidR="00FA40E8" w:rsidRDefault="00FA40E8">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A33691" w14:textId="77777777" w:rsidR="00FA40E8" w:rsidRDefault="00FA40E8">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714D0A" w14:textId="77777777" w:rsidR="00FA40E8" w:rsidRDefault="00FA40E8">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4A5643B" w14:textId="77777777" w:rsidR="00FA40E8" w:rsidRDefault="00E74AE8">
            <w:pPr>
              <w:pStyle w:val="P68B1DB1-Normal12"/>
              <w:spacing w:before="60" w:after="60"/>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02FEFB" w14:textId="77777777" w:rsidR="00FA40E8" w:rsidRDefault="00E74AE8">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FCAAF7" w14:textId="77777777" w:rsidR="00FA40E8" w:rsidRDefault="00E74AE8">
            <w:pPr>
              <w:pStyle w:val="P68B1DB1-Normal12"/>
              <w:spacing w:before="60" w:after="60"/>
              <w:jc w:val="both"/>
              <w:rPr>
                <w:rFonts w:eastAsia="Times New Roman" w:cs="Times New Roman"/>
                <w:noProof/>
              </w:rPr>
            </w:pPr>
            <w:r>
              <w:rPr>
                <w:noProof/>
              </w:rPr>
              <w:t>L’étude comprendra des recommandations visant à réformer le régime de revenu minimum ainsi qu’une analyse d’impact ex ante des réformes proposées.</w:t>
            </w:r>
          </w:p>
        </w:tc>
      </w:tr>
      <w:tr w:rsidR="00FA40E8" w14:paraId="4ABC20A0" w14:textId="7777777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02B4F0" w14:textId="77777777" w:rsidR="00FA40E8" w:rsidRDefault="00E74AE8">
            <w:pPr>
              <w:pStyle w:val="P68B1DB1-Normal12"/>
              <w:spacing w:before="60" w:after="60"/>
              <w:jc w:val="center"/>
              <w:rPr>
                <w:rFonts w:cs="Times New Roman"/>
                <w:noProof/>
              </w:rPr>
            </w:pPr>
            <w:r>
              <w:rPr>
                <w:noProof/>
              </w:rPr>
              <w:t>181</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70B8D5" w14:textId="28E46D93" w:rsidR="00FA40E8" w:rsidRDefault="00E74AE8">
            <w:pPr>
              <w:pStyle w:val="P68B1DB1-Normal12"/>
              <w:spacing w:before="60" w:after="60"/>
              <w:rPr>
                <w:noProof/>
              </w:rPr>
            </w:pPr>
            <w:r>
              <w:rPr>
                <w:noProof/>
              </w:rPr>
              <w:t xml:space="preserve">G.1.1. Protection du revenu minimum garanti — </w:t>
            </w:r>
          </w:p>
          <w:p w14:paraId="20E41BDA" w14:textId="0E3474C7" w:rsidR="00FA40E8" w:rsidRDefault="00E74AE8">
            <w:pPr>
              <w:pStyle w:val="P68B1DB1-Normal12"/>
              <w:spacing w:before="60" w:after="60"/>
              <w:rPr>
                <w:rFonts w:cs="Times New Roman"/>
                <w:noProof/>
              </w:rPr>
            </w:pPr>
            <w:r>
              <w:rPr>
                <w:noProof/>
              </w:rPr>
              <w:t xml:space="preserve">G.1.1.1. Étude sur le régime de revenu </w:t>
            </w:r>
            <w:r>
              <w:rPr>
                <w:noProof/>
              </w:rPr>
              <w:t>minimum et les modifications connexes apportées à la législation</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0D4AAB"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F65F1C" w14:textId="77777777" w:rsidR="00FA40E8" w:rsidRDefault="00E74AE8">
            <w:pPr>
              <w:pStyle w:val="P68B1DB1-Normal12"/>
              <w:spacing w:before="60" w:after="60"/>
              <w:rPr>
                <w:rFonts w:eastAsia="Times New Roman" w:cs="Times New Roman"/>
                <w:noProof/>
              </w:rPr>
            </w:pPr>
            <w:r>
              <w:rPr>
                <w:noProof/>
              </w:rPr>
              <w:t>Entrée en vigueur des modifications des lois pertinentes régissant la protection du revenu minimum</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AB789B" w14:textId="0501E5BD" w:rsidR="00FA40E8" w:rsidRDefault="00E74AE8">
            <w:pPr>
              <w:pStyle w:val="P68B1DB1-Normal12"/>
              <w:spacing w:before="60" w:after="60"/>
              <w:rPr>
                <w:rFonts w:eastAsia="Times New Roman" w:cs="Times New Roman"/>
                <w:noProof/>
              </w:rPr>
            </w:pPr>
            <w:r>
              <w:rPr>
                <w:noProof/>
              </w:rPr>
              <w:t>Disposition de la législation indiquant l’entrée en vigueur</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3EBE6E" w14:textId="3AE68A47" w:rsidR="00FA40E8" w:rsidRDefault="00FA40E8">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1C5FFF" w14:textId="27A6891B" w:rsidR="00FA40E8" w:rsidRDefault="00FA40E8">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9B91E7" w14:textId="743B728D" w:rsidR="00FA40E8" w:rsidRDefault="00FA40E8">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3923B6" w14:textId="5C8711EE" w:rsidR="00FA40E8" w:rsidRDefault="00E74AE8">
            <w:pPr>
              <w:pStyle w:val="P68B1DB1-Normal12"/>
              <w:spacing w:before="60" w:after="60"/>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1BB9F5" w14:textId="44C7D0EB" w:rsidR="00FA40E8" w:rsidRDefault="00E74AE8">
            <w:pPr>
              <w:pStyle w:val="P68B1DB1-Normal12"/>
              <w:spacing w:before="60" w:after="60"/>
              <w:jc w:val="center"/>
              <w:rPr>
                <w:rFonts w:cs="Times New Roman"/>
                <w:noProof/>
              </w:rPr>
            </w:pPr>
            <w:r>
              <w:rPr>
                <w:noProof/>
              </w:rPr>
              <w:t>2025</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B9D8B9" w14:textId="43961D32" w:rsidR="00FA40E8" w:rsidRDefault="00E74AE8">
            <w:pPr>
              <w:pStyle w:val="P68B1DB1-Normal12"/>
              <w:spacing w:before="60" w:after="60"/>
              <w:jc w:val="both"/>
              <w:rPr>
                <w:rFonts w:eastAsia="Times New Roman" w:cs="Times New Roman"/>
                <w:noProof/>
              </w:rPr>
            </w:pPr>
            <w:r>
              <w:rPr>
                <w:noProof/>
              </w:rPr>
              <w:t>Entrée en vigue</w:t>
            </w:r>
            <w:r>
              <w:rPr>
                <w:noProof/>
              </w:rPr>
              <w:t>ur des modifications apportées à la législation sur la base des recommandations de l’étude sur l’adéquation du régime de revenu minimum (au moins les modifications apportées à l’assistance sociale en espèces, aux prestations de congé de maladie et de mater</w:t>
            </w:r>
            <w:r>
              <w:rPr>
                <w:noProof/>
              </w:rPr>
              <w:t>nité, aux pensions d’assistance sociale, aux allocations familiales, aux prestations d’aide à l’enfance et à la méthode d’indexation des prestations sociales).</w:t>
            </w:r>
          </w:p>
        </w:tc>
      </w:tr>
      <w:tr w:rsidR="00FA40E8" w14:paraId="0712A87A" w14:textId="7777777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3C77C9" w14:textId="77777777" w:rsidR="00FA40E8" w:rsidRDefault="00E74AE8">
            <w:pPr>
              <w:pStyle w:val="P68B1DB1-Normal12"/>
              <w:spacing w:before="60" w:after="60"/>
              <w:jc w:val="center"/>
              <w:rPr>
                <w:rFonts w:cs="Times New Roman"/>
                <w:noProof/>
              </w:rPr>
            </w:pPr>
            <w:r>
              <w:rPr>
                <w:noProof/>
              </w:rPr>
              <w:t>182</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50644B3" w14:textId="58678B87" w:rsidR="00FA40E8" w:rsidRDefault="00E74AE8">
            <w:pPr>
              <w:pStyle w:val="P68B1DB1-Normal12"/>
              <w:spacing w:before="60" w:after="60"/>
              <w:rPr>
                <w:noProof/>
              </w:rPr>
            </w:pPr>
            <w:r>
              <w:rPr>
                <w:noProof/>
              </w:rPr>
              <w:t xml:space="preserve">G.1.1. Protection du revenu minimum garanti — </w:t>
            </w:r>
          </w:p>
          <w:p w14:paraId="60CC35CE" w14:textId="5E4C6D34" w:rsidR="00FA40E8" w:rsidRDefault="00E74AE8">
            <w:pPr>
              <w:pStyle w:val="P68B1DB1-Normal12"/>
              <w:spacing w:before="60" w:after="60"/>
              <w:rPr>
                <w:rFonts w:cs="Times New Roman"/>
                <w:noProof/>
              </w:rPr>
            </w:pPr>
            <w:r>
              <w:rPr>
                <w:noProof/>
              </w:rPr>
              <w:t xml:space="preserve">G.1.1.2. Mesures supplémentaires visant à </w:t>
            </w:r>
            <w:r>
              <w:rPr>
                <w:noProof/>
              </w:rPr>
              <w:t>accroître l’adéquation et la viabilité des prestations sociales</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390D3C"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8BD71C4" w14:textId="77777777" w:rsidR="00FA40E8" w:rsidRDefault="00E74AE8">
            <w:pPr>
              <w:pStyle w:val="P68B1DB1-Normal12"/>
              <w:spacing w:before="60" w:after="60"/>
              <w:rPr>
                <w:rFonts w:cs="Times New Roman"/>
                <w:noProof/>
              </w:rPr>
            </w:pPr>
            <w:r>
              <w:rPr>
                <w:noProof/>
              </w:rPr>
              <w:t>Entrée en vigueur de la législation introduisant une prestation supplémentaire pour les personnes handicapées et les personnes âgées célibataires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C2442C" w14:textId="77777777" w:rsidR="00FA40E8" w:rsidRDefault="00E74AE8">
            <w:pPr>
              <w:pStyle w:val="P68B1DB1-Normal12"/>
              <w:spacing w:before="60" w:after="60"/>
              <w:rPr>
                <w:rFonts w:cs="Times New Roman"/>
                <w:noProof/>
              </w:rPr>
            </w:pPr>
            <w:r>
              <w:rPr>
                <w:noProof/>
              </w:rPr>
              <w:t xml:space="preserve">Entrée en vigueur de la législation </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BE08E8" w14:textId="100AE940" w:rsidR="00FA40E8" w:rsidRDefault="00FA40E8">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68533E" w14:textId="59F46671" w:rsidR="00FA40E8" w:rsidRDefault="00FA40E8">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4E5CBF" w14:textId="3953ABD9" w:rsidR="00FA40E8" w:rsidRDefault="00FA40E8">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848E275" w14:textId="77777777" w:rsidR="00FA40E8" w:rsidRDefault="00E74AE8">
            <w:pPr>
              <w:pStyle w:val="P68B1DB1-Normal12"/>
              <w:spacing w:before="60" w:after="60"/>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245887" w14:textId="77777777" w:rsidR="00FA40E8" w:rsidRDefault="00E74AE8">
            <w:pPr>
              <w:pStyle w:val="P68B1DB1-Normal12"/>
              <w:spacing w:before="60" w:after="60"/>
              <w:jc w:val="center"/>
              <w:rPr>
                <w:rFonts w:cs="Times New Roman"/>
                <w:noProof/>
              </w:rPr>
            </w:pPr>
            <w:r>
              <w:rPr>
                <w:noProof/>
              </w:rPr>
              <w:t>2021</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F756E3A" w14:textId="5BD7F2E3" w:rsidR="00FA40E8" w:rsidRDefault="00E74AE8">
            <w:pPr>
              <w:pStyle w:val="P68B1DB1-Normal12"/>
              <w:spacing w:before="60" w:after="60"/>
              <w:jc w:val="both"/>
              <w:rPr>
                <w:rFonts w:cs="Times New Roman"/>
                <w:noProof/>
              </w:rPr>
            </w:pPr>
            <w:r>
              <w:rPr>
                <w:noProof/>
              </w:rPr>
              <w:t>Entrée en vigueur d’une législation garantissant l’octroi et le versement d’une prestation mensuelle supplémentaire (prestation unipersonnelle) aux personnes handicapées et âgées célibataires (non-conjoint).</w:t>
            </w:r>
          </w:p>
        </w:tc>
      </w:tr>
      <w:tr w:rsidR="00FA40E8" w14:paraId="527B8A32" w14:textId="7777777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D5F81B" w14:textId="3904953E" w:rsidR="00FA40E8" w:rsidRDefault="00E74AE8">
            <w:pPr>
              <w:pStyle w:val="P68B1DB1-Normal12"/>
              <w:spacing w:before="60" w:after="60"/>
              <w:jc w:val="center"/>
              <w:rPr>
                <w:rFonts w:cs="Times New Roman"/>
                <w:noProof/>
              </w:rPr>
            </w:pPr>
            <w:r>
              <w:rPr>
                <w:noProof/>
              </w:rPr>
              <w:t>183</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912EAE" w14:textId="3847CDF3" w:rsidR="00FA40E8" w:rsidRDefault="00E74AE8">
            <w:pPr>
              <w:pStyle w:val="P68B1DB1-Normal12"/>
              <w:spacing w:before="60" w:after="60"/>
              <w:rPr>
                <w:noProof/>
              </w:rPr>
            </w:pPr>
            <w:r>
              <w:rPr>
                <w:noProof/>
              </w:rPr>
              <w:t xml:space="preserve">G.1.1. Protection du revenu minimum garanti — </w:t>
            </w:r>
          </w:p>
          <w:p w14:paraId="389C0EF5" w14:textId="1760AB1D" w:rsidR="00FA40E8" w:rsidRDefault="00E74AE8">
            <w:pPr>
              <w:pStyle w:val="P68B1DB1-Normal12"/>
              <w:spacing w:before="60" w:after="60"/>
              <w:rPr>
                <w:rFonts w:cs="Times New Roman"/>
                <w:noProof/>
              </w:rPr>
            </w:pPr>
            <w:r>
              <w:rPr>
                <w:noProof/>
              </w:rPr>
              <w:t>G.1.1.2. Mesures supplémentaires visant à accroître l’adéquation et la viabilité des prestations sociales</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5F69D40"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FB8EB1" w14:textId="5D3DDF38" w:rsidR="00FA40E8" w:rsidRDefault="00E74AE8">
            <w:pPr>
              <w:pStyle w:val="P68B1DB1-Normal12"/>
              <w:spacing w:before="60" w:after="60"/>
              <w:rPr>
                <w:rFonts w:cs="Times New Roman"/>
                <w:noProof/>
              </w:rPr>
            </w:pPr>
            <w:r>
              <w:rPr>
                <w:noProof/>
              </w:rPr>
              <w:t>Entrée en vigueur de la modification de la loi sur l’assurance sociale chômage visant à accroître</w:t>
            </w:r>
            <w:r>
              <w:rPr>
                <w:noProof/>
              </w:rPr>
              <w:t xml:space="preserve"> la couverture et l’adéquation du système de sécurité sociale chômage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9E1276" w14:textId="0996A4BC" w:rsidR="00FA40E8" w:rsidRDefault="00E74AE8">
            <w:pPr>
              <w:pStyle w:val="P68B1DB1-Normal12"/>
              <w:spacing w:before="60" w:after="60"/>
              <w:rPr>
                <w:rFonts w:cs="Times New Roman"/>
                <w:noProof/>
              </w:rPr>
            </w:pPr>
            <w:r>
              <w:rPr>
                <w:noProof/>
              </w:rPr>
              <w:t>Disposition de la loi modificative sur l’assurance sociale chômage indiquant l’entrée en vigueur</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3723F1" w14:textId="1DCF29B0" w:rsidR="00FA40E8" w:rsidRDefault="00FA40E8">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6A9DC2" w14:textId="3392B24E" w:rsidR="00FA40E8" w:rsidRDefault="00FA40E8">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32E0B7" w14:textId="1779B7F3" w:rsidR="00FA40E8" w:rsidRDefault="00FA40E8">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DE379AA" w14:textId="1739664B" w:rsidR="00FA40E8" w:rsidRDefault="00E74AE8">
            <w:pPr>
              <w:pStyle w:val="P68B1DB1-Normal12"/>
              <w:spacing w:before="60" w:after="60"/>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ABF368B" w14:textId="5BA05C31" w:rsidR="00FA40E8" w:rsidRDefault="00E74AE8">
            <w:pPr>
              <w:pStyle w:val="P68B1DB1-Normal12"/>
              <w:spacing w:before="60" w:after="60"/>
              <w:jc w:val="center"/>
              <w:rPr>
                <w:rFonts w:cs="Times New Roman"/>
                <w:noProof/>
              </w:rPr>
            </w:pPr>
            <w:r>
              <w:rPr>
                <w:noProof/>
              </w:rPr>
              <w:t>2023</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43477C" w14:textId="64E64A8C" w:rsidR="00FA40E8" w:rsidRDefault="00E74AE8">
            <w:pPr>
              <w:pStyle w:val="P68B1DB1-Normal12"/>
              <w:spacing w:before="60" w:after="60"/>
              <w:jc w:val="both"/>
              <w:rPr>
                <w:rFonts w:eastAsia="Times New Roman" w:cs="Times New Roman"/>
                <w:noProof/>
              </w:rPr>
            </w:pPr>
            <w:r>
              <w:rPr>
                <w:noProof/>
              </w:rPr>
              <w:t>Entrée en vigueur de la modification de la loi sur l’assurance sociale chômage</w:t>
            </w:r>
            <w:r>
              <w:rPr>
                <w:noProof/>
              </w:rPr>
              <w:t xml:space="preserve"> qui:</w:t>
            </w:r>
          </w:p>
          <w:p w14:paraId="4E3124CA" w14:textId="10EB9F3A" w:rsidR="00FA40E8" w:rsidRDefault="00E74AE8">
            <w:pPr>
              <w:pStyle w:val="P68B1DB1-Normal12"/>
              <w:spacing w:before="60" w:after="60"/>
              <w:jc w:val="both"/>
              <w:rPr>
                <w:rFonts w:eastAsia="Times New Roman" w:cs="Times New Roman"/>
                <w:noProof/>
              </w:rPr>
            </w:pPr>
            <w:r>
              <w:rPr>
                <w:noProof/>
              </w:rPr>
              <w:t>— porter la prestation minimale d’assurance chômage au montant indexé égal ou supérieur à 5 prestations sociales de base;</w:t>
            </w:r>
          </w:p>
          <w:p w14:paraId="56E962AE" w14:textId="35C60567" w:rsidR="00FA40E8" w:rsidRDefault="00E74AE8">
            <w:pPr>
              <w:pStyle w:val="P68B1DB1-Normal13"/>
              <w:spacing w:before="60" w:after="60"/>
              <w:jc w:val="both"/>
              <w:rPr>
                <w:noProof/>
              </w:rPr>
            </w:pPr>
            <w:r>
              <w:rPr>
                <w:noProof/>
              </w:rPr>
              <w:t>— étendre la durée maximale de versement des prestations de l’assurance chômage aux personnes ayant atteint l’âge de la préretra</w:t>
            </w:r>
            <w:r>
              <w:rPr>
                <w:noProof/>
              </w:rPr>
              <w:t>ite.</w:t>
            </w:r>
          </w:p>
        </w:tc>
      </w:tr>
      <w:tr w:rsidR="00FA40E8" w14:paraId="63660C0C" w14:textId="7777777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7189F6" w14:textId="77777777" w:rsidR="00FA40E8" w:rsidRDefault="00E74AE8">
            <w:pPr>
              <w:pStyle w:val="P68B1DB1-Normal12"/>
              <w:spacing w:before="60" w:after="60"/>
              <w:jc w:val="center"/>
              <w:rPr>
                <w:rFonts w:cs="Times New Roman"/>
                <w:noProof/>
              </w:rPr>
            </w:pPr>
            <w:r>
              <w:rPr>
                <w:noProof/>
              </w:rPr>
              <w:t>184</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16441E" w14:textId="211B4A7A" w:rsidR="00FA40E8" w:rsidRDefault="00E74AE8">
            <w:pPr>
              <w:pStyle w:val="P68B1DB1-Normal12"/>
              <w:spacing w:before="60" w:after="60"/>
              <w:rPr>
                <w:noProof/>
              </w:rPr>
            </w:pPr>
            <w:r>
              <w:rPr>
                <w:noProof/>
              </w:rPr>
              <w:t xml:space="preserve">G.1.1. Protection du revenu minimum garanti — </w:t>
            </w:r>
          </w:p>
          <w:p w14:paraId="66C68E7D" w14:textId="35B4A477" w:rsidR="00FA40E8" w:rsidRDefault="00E74AE8">
            <w:pPr>
              <w:pStyle w:val="P68B1DB1-Normal12"/>
              <w:spacing w:before="60" w:after="60"/>
              <w:rPr>
                <w:rFonts w:cs="Times New Roman"/>
                <w:noProof/>
              </w:rPr>
            </w:pPr>
            <w:r>
              <w:rPr>
                <w:noProof/>
              </w:rPr>
              <w:t>G.1.1.2. Mesures supplémentaires visant à accroître l’adéquation et la viabilité des prestations sociales</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552F5E"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82821C" w14:textId="2C820466" w:rsidR="00FA40E8" w:rsidRDefault="00E74AE8">
            <w:pPr>
              <w:pStyle w:val="P68B1DB1-Normal12"/>
              <w:spacing w:before="60" w:after="60"/>
              <w:rPr>
                <w:rFonts w:eastAsia="Times New Roman" w:cs="Times New Roman"/>
                <w:noProof/>
              </w:rPr>
            </w:pPr>
            <w:r>
              <w:rPr>
                <w:noProof/>
              </w:rPr>
              <w:t>Entrée en vigueur de la législation sur les modifications du mécanisme d’indexation des</w:t>
            </w:r>
            <w:r>
              <w:rPr>
                <w:noProof/>
              </w:rPr>
              <w:t xml:space="preserve"> pensions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C64F00" w14:textId="77777777" w:rsidR="00FA40E8" w:rsidRDefault="00E74AE8">
            <w:pPr>
              <w:pStyle w:val="P68B1DB1-Normal12"/>
              <w:spacing w:before="60" w:after="60"/>
              <w:rPr>
                <w:rFonts w:eastAsia="Times New Roman" w:cs="Times New Roman"/>
                <w:noProof/>
              </w:rPr>
            </w:pPr>
            <w:r>
              <w:rPr>
                <w:noProof/>
              </w:rPr>
              <w:t>Entrée en vigueur de la législation</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D1A33F" w14:textId="1B578C18" w:rsidR="00FA40E8" w:rsidRDefault="00FA40E8">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705F1D" w14:textId="371AD484" w:rsidR="00FA40E8" w:rsidRDefault="00FA40E8">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FD89FE" w14:textId="2F7F0620" w:rsidR="00FA40E8" w:rsidRDefault="00FA40E8">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A3A06D" w14:textId="0F8EE247" w:rsidR="00FA40E8" w:rsidRDefault="00E74AE8">
            <w:pPr>
              <w:pStyle w:val="P68B1DB1-Normal12"/>
              <w:spacing w:before="60" w:after="60"/>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4E568E" w14:textId="778B8413" w:rsidR="00FA40E8" w:rsidRDefault="00E74AE8">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5B6112" w14:textId="77777777" w:rsidR="00FA40E8" w:rsidRDefault="00E74AE8">
            <w:pPr>
              <w:pStyle w:val="P68B1DB1-Normal12"/>
              <w:spacing w:before="60" w:after="60"/>
              <w:jc w:val="both"/>
              <w:rPr>
                <w:rFonts w:eastAsia="Times New Roman" w:cs="Times New Roman"/>
                <w:noProof/>
              </w:rPr>
            </w:pPr>
            <w:r>
              <w:rPr>
                <w:noProof/>
              </w:rPr>
              <w:t>Entrée en vigueur de la législation qui:</w:t>
            </w:r>
          </w:p>
          <w:p w14:paraId="2BA7E76D" w14:textId="77777777" w:rsidR="00FA40E8" w:rsidRDefault="00E74AE8">
            <w:pPr>
              <w:pStyle w:val="P68B1DB1-Normal12"/>
              <w:spacing w:before="60" w:after="60"/>
              <w:jc w:val="both"/>
              <w:rPr>
                <w:rFonts w:cs="Times New Roman"/>
                <w:noProof/>
              </w:rPr>
            </w:pPr>
            <w:r>
              <w:rPr>
                <w:noProof/>
              </w:rPr>
              <w:t>— revoir le mécanisme d’indexation des pensions afin de prévoir une augmentation plus rapide des pensions afin de réduire le taux de risque de pauvreté pour l</w:t>
            </w:r>
            <w:r>
              <w:rPr>
                <w:noProof/>
              </w:rPr>
              <w:t>es personnes âgées.</w:t>
            </w:r>
          </w:p>
        </w:tc>
      </w:tr>
      <w:tr w:rsidR="00FA40E8" w14:paraId="029E6292" w14:textId="7777777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CE92530" w14:textId="77777777" w:rsidR="00FA40E8" w:rsidRDefault="00E74AE8">
            <w:pPr>
              <w:pStyle w:val="P68B1DB1-Normal12"/>
              <w:spacing w:before="60" w:after="60"/>
              <w:jc w:val="center"/>
              <w:rPr>
                <w:rFonts w:cs="Times New Roman"/>
                <w:noProof/>
              </w:rPr>
            </w:pPr>
            <w:r>
              <w:rPr>
                <w:noProof/>
              </w:rPr>
              <w:t>185</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89158E" w14:textId="77777777" w:rsidR="00FA40E8" w:rsidRDefault="00E74AE8">
            <w:pPr>
              <w:pStyle w:val="P68B1DB1-Normal12"/>
              <w:spacing w:before="60" w:after="60"/>
              <w:rPr>
                <w:noProof/>
              </w:rPr>
            </w:pPr>
            <w:r>
              <w:rPr>
                <w:noProof/>
              </w:rPr>
              <w:t xml:space="preserve">G.1.1. Protection du revenu minimum garanti — </w:t>
            </w:r>
          </w:p>
          <w:p w14:paraId="774493CD" w14:textId="2F04FDCB" w:rsidR="00FA40E8" w:rsidRDefault="00E74AE8">
            <w:pPr>
              <w:pStyle w:val="P68B1DB1-Normal12"/>
              <w:spacing w:before="60" w:after="60"/>
              <w:rPr>
                <w:rFonts w:cs="Times New Roman"/>
                <w:noProof/>
              </w:rPr>
            </w:pPr>
            <w:r>
              <w:rPr>
                <w:noProof/>
              </w:rPr>
              <w:t>G.1.1.3. Accréditation de l’aide sociale</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E718DC"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E67F88" w14:textId="014A2819" w:rsidR="00FA40E8" w:rsidRDefault="00E74AE8">
            <w:pPr>
              <w:pStyle w:val="P68B1DB1-Normal12"/>
              <w:spacing w:before="60" w:after="60"/>
              <w:rPr>
                <w:rFonts w:cs="Times New Roman"/>
                <w:noProof/>
              </w:rPr>
            </w:pPr>
            <w:r>
              <w:rPr>
                <w:noProof/>
              </w:rPr>
              <w:t>Entrée en vigueur de la législation sur les exigences relatives à la fourniture de services sociaux agréés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B7376E" w14:textId="77777777" w:rsidR="00FA40E8" w:rsidRDefault="00E74AE8">
            <w:pPr>
              <w:pStyle w:val="P68B1DB1-Normal12"/>
              <w:spacing w:before="60" w:after="60"/>
              <w:rPr>
                <w:rFonts w:cs="Times New Roman"/>
                <w:noProof/>
              </w:rPr>
            </w:pPr>
            <w:r>
              <w:rPr>
                <w:noProof/>
              </w:rPr>
              <w:t xml:space="preserve">Entrée en vigueur de la </w:t>
            </w:r>
            <w:r>
              <w:rPr>
                <w:noProof/>
              </w:rPr>
              <w:t>législation</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2D66B8E" w14:textId="22213710" w:rsidR="00FA40E8" w:rsidRDefault="00FA40E8">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E8E2FA" w14:textId="6CD77E9D" w:rsidR="00FA40E8" w:rsidRDefault="00FA40E8">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587A18" w14:textId="5F737EE2" w:rsidR="00FA40E8" w:rsidRDefault="00FA40E8">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50CC6D" w14:textId="21FF479E" w:rsidR="00FA40E8" w:rsidRDefault="00E74AE8">
            <w:pPr>
              <w:pStyle w:val="P68B1DB1-Normal12"/>
              <w:spacing w:before="60" w:after="60"/>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BF460B" w14:textId="77777777" w:rsidR="00FA40E8" w:rsidRDefault="00E74AE8">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EEE2AD" w14:textId="77777777" w:rsidR="00FA40E8" w:rsidRDefault="00E74AE8">
            <w:pPr>
              <w:pStyle w:val="P68B1DB1-Normal12"/>
              <w:spacing w:before="60" w:after="60"/>
              <w:jc w:val="both"/>
              <w:rPr>
                <w:rFonts w:cs="Times New Roman"/>
                <w:noProof/>
              </w:rPr>
            </w:pPr>
            <w:r>
              <w:rPr>
                <w:noProof/>
              </w:rPr>
              <w:t>Entrée en vigueur de la législation qui:</w:t>
            </w:r>
          </w:p>
          <w:p w14:paraId="717AAFAE" w14:textId="5DD66E3A" w:rsidR="00FA40E8" w:rsidRDefault="00E74AE8">
            <w:pPr>
              <w:pStyle w:val="P68B1DB1-Normal12"/>
              <w:spacing w:before="60" w:after="60"/>
              <w:jc w:val="both"/>
              <w:rPr>
                <w:rFonts w:cs="Times New Roman"/>
                <w:noProof/>
              </w:rPr>
            </w:pPr>
            <w:r>
              <w:rPr>
                <w:noProof/>
              </w:rPr>
              <w:t>— établir des exigences uniformes (pour les locaux (si des locaux sont nécessaires à la prestation du service) et la qualification du personnel) pour la prestation de services sociaux agréés (</w:t>
            </w:r>
            <w:r>
              <w:rPr>
                <w:noProof/>
              </w:rPr>
              <w:t>10 services);</w:t>
            </w:r>
          </w:p>
          <w:p w14:paraId="0AB2A631" w14:textId="33D8CC15" w:rsidR="00FA40E8" w:rsidRDefault="00E74AE8">
            <w:pPr>
              <w:pStyle w:val="P68B1DB1-Normal12"/>
              <w:spacing w:before="60" w:after="60"/>
              <w:jc w:val="both"/>
              <w:rPr>
                <w:rFonts w:cs="Times New Roman"/>
                <w:noProof/>
              </w:rPr>
            </w:pPr>
            <w:r>
              <w:rPr>
                <w:noProof/>
              </w:rPr>
              <w:t xml:space="preserve">— prévoir que seules les prestations d’aide sociale agréées peuvent être fournies à partir du 1 janvier 2022. </w:t>
            </w:r>
          </w:p>
        </w:tc>
      </w:tr>
      <w:tr w:rsidR="00FA40E8" w14:paraId="0F2B0CA5" w14:textId="7777777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1383A6E" w14:textId="77777777" w:rsidR="00FA40E8" w:rsidRDefault="00E74AE8">
            <w:pPr>
              <w:pStyle w:val="P68B1DB1-Normal12"/>
              <w:spacing w:before="60" w:after="60"/>
              <w:jc w:val="center"/>
              <w:rPr>
                <w:rFonts w:cs="Times New Roman"/>
                <w:noProof/>
              </w:rPr>
            </w:pPr>
            <w:r>
              <w:rPr>
                <w:noProof/>
              </w:rPr>
              <w:t>186</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F8B410" w14:textId="77777777" w:rsidR="00FA40E8" w:rsidRDefault="00E74AE8">
            <w:pPr>
              <w:pStyle w:val="P68B1DB1-Normal12"/>
              <w:spacing w:before="60" w:after="60"/>
              <w:rPr>
                <w:noProof/>
              </w:rPr>
            </w:pPr>
            <w:r>
              <w:rPr>
                <w:noProof/>
              </w:rPr>
              <w:t xml:space="preserve">G.1.2. Soutien à l’emploi axé sur le client — </w:t>
            </w:r>
          </w:p>
          <w:p w14:paraId="35265B11" w14:textId="4651B0CE" w:rsidR="00FA40E8" w:rsidRDefault="00E74AE8">
            <w:pPr>
              <w:pStyle w:val="P68B1DB1-Normal12"/>
              <w:spacing w:before="60" w:after="60"/>
              <w:rPr>
                <w:rFonts w:cs="Times New Roman"/>
                <w:noProof/>
              </w:rPr>
            </w:pPr>
            <w:r>
              <w:rPr>
                <w:noProof/>
              </w:rPr>
              <w:t xml:space="preserve">G.1.2.1. Optimisation et numérisation des processus opérationnels des services </w:t>
            </w:r>
            <w:r>
              <w:rPr>
                <w:noProof/>
              </w:rPr>
              <w:t>de l’emploi, garantissant une orientation systématique vers le client</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B806223"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7418CB8" w14:textId="77777777" w:rsidR="00FA40E8" w:rsidRDefault="00E74AE8">
            <w:pPr>
              <w:pStyle w:val="P68B1DB1-Normal12"/>
              <w:spacing w:before="60" w:after="60"/>
              <w:rPr>
                <w:rFonts w:cs="Times New Roman"/>
                <w:noProof/>
              </w:rPr>
            </w:pPr>
            <w:r>
              <w:rPr>
                <w:noProof/>
              </w:rPr>
              <w:t xml:space="preserve">Entrée en vigueur de la législation régissant les processus opérationnels du service de l’emploi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47B195" w14:textId="2C6A1562" w:rsidR="00FA40E8" w:rsidRDefault="00E74AE8">
            <w:pPr>
              <w:pStyle w:val="P68B1DB1-Normal12"/>
              <w:spacing w:before="60" w:after="60"/>
              <w:rPr>
                <w:rFonts w:cs="Times New Roman"/>
                <w:noProof/>
              </w:rPr>
            </w:pPr>
            <w:r>
              <w:rPr>
                <w:noProof/>
              </w:rPr>
              <w:t>Entrée en vigueur de la législation</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7471FA" w14:textId="287C13D1" w:rsidR="00FA40E8" w:rsidRDefault="00FA40E8">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455D48" w14:textId="081BAB02" w:rsidR="00FA40E8" w:rsidRDefault="00FA40E8">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188EB7" w14:textId="6F4A152F" w:rsidR="00FA40E8" w:rsidRDefault="00FA40E8">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27CA31" w14:textId="77777777" w:rsidR="00FA40E8" w:rsidRDefault="00E74AE8">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B8466C2" w14:textId="77777777" w:rsidR="00FA40E8" w:rsidRDefault="00E74AE8">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86DF22" w14:textId="500C767A" w:rsidR="00FA40E8" w:rsidRDefault="00E74AE8">
            <w:pPr>
              <w:pStyle w:val="P68B1DB1-Normal12"/>
              <w:spacing w:before="60" w:after="60"/>
              <w:jc w:val="both"/>
              <w:rPr>
                <w:rFonts w:cs="Times New Roman"/>
                <w:noProof/>
              </w:rPr>
            </w:pPr>
            <w:r>
              <w:rPr>
                <w:noProof/>
              </w:rPr>
              <w:t>Entrée en vigueur de la législation</w:t>
            </w:r>
            <w:r>
              <w:rPr>
                <w:noProof/>
              </w:rPr>
              <w:t xml:space="preserve"> qui comprend des modifications des processus opérationnels du service de l’emploi afin de permettre sa transformation numérique. </w:t>
            </w:r>
          </w:p>
        </w:tc>
      </w:tr>
      <w:tr w:rsidR="00FA40E8" w14:paraId="396F2534" w14:textId="7777777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90E1FF" w14:textId="77777777" w:rsidR="00FA40E8" w:rsidRDefault="00E74AE8">
            <w:pPr>
              <w:pStyle w:val="P68B1DB1-Normal12"/>
              <w:spacing w:before="60" w:after="60"/>
              <w:jc w:val="center"/>
              <w:rPr>
                <w:rFonts w:cs="Times New Roman"/>
                <w:noProof/>
              </w:rPr>
            </w:pPr>
            <w:r>
              <w:rPr>
                <w:noProof/>
              </w:rPr>
              <w:t>187</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FAB72A" w14:textId="77777777" w:rsidR="00FA40E8" w:rsidRDefault="00E74AE8">
            <w:pPr>
              <w:pStyle w:val="P68B1DB1-Normal12"/>
              <w:spacing w:before="60" w:after="60"/>
              <w:rPr>
                <w:noProof/>
              </w:rPr>
            </w:pPr>
            <w:r>
              <w:rPr>
                <w:noProof/>
              </w:rPr>
              <w:t xml:space="preserve">G.1.2. Soutien à l’emploi axé sur le client — </w:t>
            </w:r>
          </w:p>
          <w:p w14:paraId="2E3AB520" w14:textId="3F0CED5C" w:rsidR="00FA40E8" w:rsidRDefault="00E74AE8">
            <w:pPr>
              <w:pStyle w:val="P68B1DB1-Normal12"/>
              <w:spacing w:before="60" w:after="60"/>
              <w:rPr>
                <w:rFonts w:cs="Times New Roman"/>
                <w:noProof/>
              </w:rPr>
            </w:pPr>
            <w:r>
              <w:rPr>
                <w:noProof/>
              </w:rPr>
              <w:t xml:space="preserve">G.1.2.1. Optimisation et numérisation des processus opérationnels des </w:t>
            </w:r>
            <w:r>
              <w:rPr>
                <w:noProof/>
              </w:rPr>
              <w:t>services de l’emploi, en garantissant une orientation systématique vers les clients</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D435D07" w14:textId="379A96BE"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3FF93C" w14:textId="4095D429" w:rsidR="00FA40E8" w:rsidRDefault="00E74AE8">
            <w:pPr>
              <w:pStyle w:val="P68B1DB1-Normal12"/>
              <w:spacing w:before="60" w:after="60"/>
              <w:rPr>
                <w:rFonts w:eastAsia="Times New Roman" w:cs="Times New Roman"/>
                <w:noProof/>
              </w:rPr>
            </w:pPr>
            <w:r>
              <w:rPr>
                <w:noProof/>
              </w:rPr>
              <w:t>Transformation numérique du service de l’emploi</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4938A2" w14:textId="75800E10" w:rsidR="00FA40E8" w:rsidRDefault="00E74AE8">
            <w:pPr>
              <w:pStyle w:val="P68B1DB1-Normal28"/>
              <w:spacing w:before="60" w:after="60"/>
              <w:rPr>
                <w:noProof/>
              </w:rPr>
            </w:pPr>
            <w:r>
              <w:rPr>
                <w:noProof/>
              </w:rPr>
              <w:t>Mise en service de la plateforme des services de l’emploi</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C0E5D6B" w14:textId="4EF8FA44" w:rsidR="00FA40E8" w:rsidRDefault="00FA40E8">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E229F0C" w14:textId="40A5E695" w:rsidR="00FA40E8" w:rsidRDefault="00FA40E8">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3C6CA4" w14:textId="378BC0D7" w:rsidR="00FA40E8" w:rsidRDefault="00FA40E8">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620D540" w14:textId="3E56B547" w:rsidR="00FA40E8" w:rsidRDefault="00E74AE8">
            <w:pPr>
              <w:pStyle w:val="P68B1DB1-Normal12"/>
              <w:spacing w:before="60" w:after="60"/>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A1D3E4" w14:textId="1F753FAF" w:rsidR="00FA40E8" w:rsidRDefault="00E74AE8">
            <w:pPr>
              <w:pStyle w:val="P68B1DB1-Normal12"/>
              <w:spacing w:before="60" w:after="60"/>
              <w:jc w:val="center"/>
              <w:rPr>
                <w:rFonts w:cs="Times New Roman"/>
                <w:noProof/>
              </w:rPr>
            </w:pPr>
            <w:r>
              <w:rPr>
                <w:noProof/>
              </w:rPr>
              <w:t>2025</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94D2FF" w14:textId="3F5722C6" w:rsidR="00FA40E8" w:rsidRDefault="00E74AE8">
            <w:pPr>
              <w:pStyle w:val="P68B1DB1-Normal28"/>
              <w:spacing w:before="60" w:after="60"/>
              <w:jc w:val="both"/>
              <w:rPr>
                <w:noProof/>
              </w:rPr>
            </w:pPr>
            <w:r>
              <w:rPr>
                <w:noProof/>
              </w:rPr>
              <w:t>Mise en service de la plateforme de services de l</w:t>
            </w:r>
            <w:r>
              <w:rPr>
                <w:noProof/>
              </w:rPr>
              <w:t>’emploi, qui fournit des services numériques.</w:t>
            </w:r>
          </w:p>
        </w:tc>
      </w:tr>
      <w:tr w:rsidR="00FA40E8" w14:paraId="3C3E698C" w14:textId="7777777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7F307F1" w14:textId="77777777" w:rsidR="00FA40E8" w:rsidRDefault="00E74AE8">
            <w:pPr>
              <w:pStyle w:val="P68B1DB1-Normal12"/>
              <w:spacing w:before="60" w:after="60"/>
              <w:jc w:val="center"/>
              <w:rPr>
                <w:rFonts w:cs="Times New Roman"/>
                <w:noProof/>
              </w:rPr>
            </w:pPr>
            <w:r>
              <w:rPr>
                <w:noProof/>
              </w:rPr>
              <w:t>188</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7A9516" w14:textId="77777777" w:rsidR="00FA40E8" w:rsidRDefault="00E74AE8">
            <w:pPr>
              <w:pStyle w:val="P68B1DB1-Normal12"/>
              <w:spacing w:before="60" w:after="60"/>
              <w:rPr>
                <w:noProof/>
              </w:rPr>
            </w:pPr>
            <w:r>
              <w:rPr>
                <w:noProof/>
              </w:rPr>
              <w:t xml:space="preserve">G.1.2. Soutien à l’emploi axé sur le client — </w:t>
            </w:r>
          </w:p>
          <w:p w14:paraId="41849067" w14:textId="4E20B2DD" w:rsidR="00FA40E8" w:rsidRDefault="00E74AE8">
            <w:pPr>
              <w:pStyle w:val="P68B1DB1-Normal12"/>
              <w:spacing w:before="60" w:after="60"/>
              <w:rPr>
                <w:rFonts w:cs="Times New Roman"/>
                <w:noProof/>
              </w:rPr>
            </w:pPr>
            <w:r>
              <w:rPr>
                <w:noProof/>
              </w:rPr>
              <w:t>G.1.2.2. Accroître la portée et la diversité des mesures de soutien à l’emploi</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A48FF8" w14:textId="77777777"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CBCE2F2" w14:textId="77777777" w:rsidR="00FA40E8" w:rsidRDefault="00E74AE8">
            <w:pPr>
              <w:pStyle w:val="P68B1DB1-Normal12"/>
              <w:spacing w:before="60" w:after="60"/>
              <w:rPr>
                <w:noProof/>
                <w:shd w:val="clear" w:color="auto" w:fill="E6E6E6"/>
              </w:rPr>
            </w:pPr>
            <w:r>
              <w:rPr>
                <w:noProof/>
              </w:rPr>
              <w:t>Entrée en vigueur de la législation régissant le régime d’aide à l’emploi</w:t>
            </w:r>
            <w:r>
              <w:rPr>
                <w:noProof/>
              </w:rPr>
              <w:t xml:space="preserve"> pour la mise en œuvre des mesures pilotes</w:t>
            </w:r>
            <w:r>
              <w:rPr>
                <w:noProof/>
                <w:shd w:val="clear" w:color="auto" w:fill="E6E6E6"/>
              </w:rPr>
              <w:t xml:space="preserve"> </w:t>
            </w:r>
          </w:p>
          <w:p w14:paraId="11595141" w14:textId="30D37F06" w:rsidR="00FA40E8" w:rsidRDefault="00E74AE8">
            <w:pPr>
              <w:pStyle w:val="P68B1DB1-Normal12"/>
              <w:spacing w:before="60" w:after="60"/>
              <w:rPr>
                <w:rFonts w:cs="Times New Roman"/>
                <w:noProof/>
              </w:rPr>
            </w:pPr>
            <w:r>
              <w:rPr>
                <w:noProof/>
              </w:rPr>
              <w:t>(Promouvoir l’esprit d’entreprise et soutenir l’apprentissage qui offre des qualifications et des compétences à haute valeur ajoutée, en mettant l’accent sur la transition numérique et écologique)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8EF0BF" w14:textId="77777777" w:rsidR="00FA40E8" w:rsidRDefault="00E74AE8">
            <w:pPr>
              <w:pStyle w:val="P68B1DB1-Normal12"/>
              <w:spacing w:before="60" w:after="60"/>
              <w:rPr>
                <w:rFonts w:cs="Times New Roman"/>
                <w:noProof/>
              </w:rPr>
            </w:pPr>
            <w:r>
              <w:rPr>
                <w:noProof/>
              </w:rPr>
              <w:t>Entrée en vigue</w:t>
            </w:r>
            <w:r>
              <w:rPr>
                <w:noProof/>
              </w:rPr>
              <w:t xml:space="preserve">ur de la législation </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B6A9D3" w14:textId="4A8161E4" w:rsidR="00FA40E8" w:rsidRDefault="00FA40E8">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9DE6B6" w14:textId="2446C85D" w:rsidR="00FA40E8" w:rsidRDefault="00FA40E8">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A88C8A" w14:textId="0D94E5F6" w:rsidR="00FA40E8" w:rsidRDefault="00FA40E8">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3245B5B" w14:textId="77777777" w:rsidR="00FA40E8" w:rsidRDefault="00E74AE8">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4D18800" w14:textId="77777777" w:rsidR="00FA40E8" w:rsidRDefault="00E74AE8">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5B4EF3" w14:textId="77777777" w:rsidR="00FA40E8" w:rsidRDefault="00E74AE8">
            <w:pPr>
              <w:pStyle w:val="P68B1DB1-Normal12"/>
              <w:spacing w:before="60" w:after="60"/>
              <w:jc w:val="both"/>
              <w:rPr>
                <w:rFonts w:eastAsia="Times New Roman" w:cs="Times New Roman"/>
                <w:noProof/>
              </w:rPr>
            </w:pPr>
            <w:r>
              <w:rPr>
                <w:noProof/>
              </w:rPr>
              <w:t>Entrée en vigueur d’une législation qui précise:</w:t>
            </w:r>
          </w:p>
          <w:p w14:paraId="2AF0B026" w14:textId="77777777" w:rsidR="00FA40E8" w:rsidRDefault="00E74AE8">
            <w:pPr>
              <w:pStyle w:val="P68B1DB1-Normal12"/>
              <w:spacing w:before="60" w:after="60"/>
              <w:jc w:val="both"/>
              <w:rPr>
                <w:rFonts w:eastAsia="Times New Roman" w:cs="Times New Roman"/>
                <w:noProof/>
              </w:rPr>
            </w:pPr>
            <w:r>
              <w:rPr>
                <w:noProof/>
              </w:rPr>
              <w:t>— le délai d’application des nouvelles mesures;</w:t>
            </w:r>
          </w:p>
          <w:p w14:paraId="6EA25C8C" w14:textId="77777777" w:rsidR="00FA40E8" w:rsidRDefault="00E74AE8">
            <w:pPr>
              <w:pStyle w:val="P68B1DB1-Normal12"/>
              <w:spacing w:before="60" w:after="60"/>
              <w:jc w:val="both"/>
              <w:rPr>
                <w:rFonts w:eastAsia="Times New Roman" w:cs="Times New Roman"/>
                <w:noProof/>
              </w:rPr>
            </w:pPr>
            <w:r>
              <w:rPr>
                <w:noProof/>
              </w:rPr>
              <w:t>— les groupes cibles;</w:t>
            </w:r>
          </w:p>
          <w:p w14:paraId="65C55048" w14:textId="77777777" w:rsidR="00FA40E8" w:rsidRDefault="00E74AE8">
            <w:pPr>
              <w:pStyle w:val="P68B1DB1-Normal12"/>
              <w:spacing w:before="60" w:after="60"/>
              <w:jc w:val="both"/>
              <w:rPr>
                <w:rFonts w:eastAsia="Times New Roman" w:cs="Times New Roman"/>
                <w:noProof/>
              </w:rPr>
            </w:pPr>
            <w:r>
              <w:rPr>
                <w:noProof/>
              </w:rPr>
              <w:t>— les critères et exigences de sélection pour se conformer aux objectifs de la transition numérique et é</w:t>
            </w:r>
            <w:r>
              <w:rPr>
                <w:noProof/>
              </w:rPr>
              <w:t>cologique et de l’économie circulaire;</w:t>
            </w:r>
          </w:p>
          <w:p w14:paraId="5DA5C9DF" w14:textId="77777777" w:rsidR="00FA40E8" w:rsidRDefault="00E74AE8">
            <w:pPr>
              <w:pStyle w:val="P68B1DB1-Normal12"/>
              <w:spacing w:before="60" w:after="60"/>
              <w:jc w:val="both"/>
              <w:rPr>
                <w:rFonts w:eastAsia="Times New Roman" w:cs="Times New Roman"/>
                <w:noProof/>
              </w:rPr>
            </w:pPr>
            <w:r>
              <w:rPr>
                <w:noProof/>
              </w:rPr>
              <w:t>— les exigences en matière de durabilité des emplois nouvellement créés.</w:t>
            </w:r>
          </w:p>
        </w:tc>
      </w:tr>
      <w:tr w:rsidR="00FA40E8" w14:paraId="1F492C7E" w14:textId="7777777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63EB2A" w14:textId="77777777" w:rsidR="00FA40E8" w:rsidRDefault="00E74AE8">
            <w:pPr>
              <w:pStyle w:val="P68B1DB1-Normal12"/>
              <w:spacing w:before="60" w:after="60"/>
              <w:jc w:val="center"/>
              <w:rPr>
                <w:rFonts w:cs="Times New Roman"/>
                <w:noProof/>
              </w:rPr>
            </w:pPr>
            <w:r>
              <w:rPr>
                <w:noProof/>
              </w:rPr>
              <w:t>189</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3212EA" w14:textId="77777777" w:rsidR="00FA40E8" w:rsidRDefault="00E74AE8">
            <w:pPr>
              <w:pStyle w:val="P68B1DB1-Normal12"/>
              <w:spacing w:before="60" w:after="60"/>
              <w:rPr>
                <w:noProof/>
              </w:rPr>
            </w:pPr>
            <w:r>
              <w:rPr>
                <w:noProof/>
              </w:rPr>
              <w:t xml:space="preserve">G.1.2. Soutien à l’emploi axé sur le client — </w:t>
            </w:r>
          </w:p>
          <w:p w14:paraId="314172CA" w14:textId="355B289E" w:rsidR="00FA40E8" w:rsidRDefault="00E74AE8">
            <w:pPr>
              <w:pStyle w:val="P68B1DB1-Normal12"/>
              <w:spacing w:before="60" w:after="60"/>
              <w:rPr>
                <w:rFonts w:cs="Times New Roman"/>
                <w:noProof/>
              </w:rPr>
            </w:pPr>
            <w:r>
              <w:rPr>
                <w:noProof/>
              </w:rPr>
              <w:t>G.1.2.2. Accroître la portée et la diversité des mesures de soutien à l’emploi</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6DD82A1" w14:textId="54539440"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AE92CC2" w14:textId="4092CBD1" w:rsidR="00FA40E8" w:rsidRDefault="00E74AE8">
            <w:pPr>
              <w:pStyle w:val="P68B1DB1-Normal12"/>
              <w:spacing w:before="60" w:after="60"/>
              <w:rPr>
                <w:rFonts w:cs="Times New Roman"/>
                <w:noProof/>
              </w:rPr>
            </w:pPr>
            <w:r>
              <w:rPr>
                <w:noProof/>
              </w:rPr>
              <w:t xml:space="preserve">Le </w:t>
            </w:r>
            <w:r>
              <w:rPr>
                <w:noProof/>
              </w:rPr>
              <w:t>projet pilote visant à soutenir l’esprit d’entreprise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E66F941" w14:textId="2F7D5874" w:rsidR="00FA40E8" w:rsidRDefault="00E74AE8">
            <w:pPr>
              <w:pStyle w:val="P68B1DB1-Normal12"/>
              <w:spacing w:before="60" w:after="60"/>
              <w:rPr>
                <w:rFonts w:cs="Times New Roman"/>
                <w:noProof/>
              </w:rPr>
            </w:pPr>
            <w:r>
              <w:rPr>
                <w:noProof/>
              </w:rPr>
              <w:t>Actes relatifs à la création de conditions matérielles et juridiques signés créant ou adaptant au moins 1 200 lieux de travail</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F74DFF2" w14:textId="5AA1EF56" w:rsidR="00FA40E8" w:rsidRDefault="00FA40E8">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C01CA1" w14:textId="11678AFD" w:rsidR="00FA40E8" w:rsidRDefault="00FA40E8">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21744E6" w14:textId="4C4BD018" w:rsidR="00FA40E8" w:rsidRDefault="00FA40E8">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BB016B" w14:textId="77777777" w:rsidR="00FA40E8" w:rsidRDefault="00E74AE8">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326C38" w14:textId="77777777" w:rsidR="00FA40E8" w:rsidRDefault="00E74AE8">
            <w:pPr>
              <w:pStyle w:val="P68B1DB1-Normal12"/>
              <w:spacing w:before="60" w:after="60"/>
              <w:jc w:val="center"/>
              <w:rPr>
                <w:rFonts w:cs="Times New Roman"/>
                <w:noProof/>
              </w:rPr>
            </w:pPr>
            <w:r>
              <w:rPr>
                <w:noProof/>
              </w:rPr>
              <w:t>2026</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8083B3" w14:textId="300574CA" w:rsidR="00FA40E8" w:rsidRDefault="00E74AE8">
            <w:pPr>
              <w:pStyle w:val="P68B1DB1-Normal12"/>
              <w:spacing w:before="60" w:after="60"/>
              <w:jc w:val="both"/>
              <w:rPr>
                <w:rFonts w:cs="Times New Roman"/>
                <w:noProof/>
              </w:rPr>
            </w:pPr>
            <w:r>
              <w:rPr>
                <w:noProof/>
              </w:rPr>
              <w:t>Actes relatifs à la création de conditions matérielles et juridi</w:t>
            </w:r>
            <w:r>
              <w:rPr>
                <w:noProof/>
              </w:rPr>
              <w:t xml:space="preserve">ques signés pour établir ou adapter au moins 1 200 lieux de travail (dont au moins 700 emplois soutenant la transition numérique et au moins 400 emplois soutenant la transition écologique et/ou l’économie circulaire) </w:t>
            </w:r>
            <w:bookmarkStart w:id="16" w:name="_Hlk73976611"/>
            <w:bookmarkEnd w:id="16"/>
          </w:p>
        </w:tc>
      </w:tr>
      <w:tr w:rsidR="00FA40E8" w14:paraId="5B3E5951" w14:textId="7777777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3C95AB" w14:textId="6969FFA9" w:rsidR="00FA40E8" w:rsidRDefault="00E74AE8">
            <w:pPr>
              <w:pStyle w:val="P68B1DB1-Normal12"/>
              <w:spacing w:before="60" w:after="60"/>
              <w:jc w:val="center"/>
              <w:rPr>
                <w:rFonts w:cs="Times New Roman"/>
                <w:noProof/>
              </w:rPr>
            </w:pPr>
            <w:r>
              <w:rPr>
                <w:noProof/>
              </w:rPr>
              <w:t>190</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5FD16A" w14:textId="77777777" w:rsidR="00FA40E8" w:rsidRDefault="00E74AE8">
            <w:pPr>
              <w:pStyle w:val="P68B1DB1-Normal12"/>
              <w:spacing w:before="60" w:after="60"/>
              <w:rPr>
                <w:noProof/>
              </w:rPr>
            </w:pPr>
            <w:r>
              <w:rPr>
                <w:noProof/>
              </w:rPr>
              <w:t xml:space="preserve">G.1.2. Soutien à l’emploi axé sur le client — </w:t>
            </w:r>
          </w:p>
          <w:p w14:paraId="1046AE4B" w14:textId="6D0C427E" w:rsidR="00FA40E8" w:rsidRDefault="00E74AE8">
            <w:pPr>
              <w:pStyle w:val="P68B1DB1-Normal12"/>
              <w:spacing w:before="60" w:after="60"/>
              <w:rPr>
                <w:rFonts w:eastAsia="Times New Roman" w:cs="Times New Roman"/>
                <w:noProof/>
              </w:rPr>
            </w:pPr>
            <w:r>
              <w:rPr>
                <w:noProof/>
              </w:rPr>
              <w:t>G.1.2.2. Accroître la portée et la diversité des mesures de soutien à l’emploi</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993FAD" w14:textId="3C1BF104" w:rsidR="00FA40E8" w:rsidRDefault="00E74AE8">
            <w:pPr>
              <w:pStyle w:val="P68B1DB1-Normal12"/>
              <w:spacing w:before="60" w:after="60"/>
              <w:jc w:val="center"/>
              <w:rPr>
                <w:rFonts w:cs="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2C8DD0" w14:textId="1DE70D32" w:rsidR="00FA40E8" w:rsidRDefault="00E74AE8">
            <w:pPr>
              <w:pStyle w:val="P68B1DB1-Normal13"/>
              <w:spacing w:before="60" w:after="60"/>
              <w:rPr>
                <w:noProof/>
              </w:rPr>
            </w:pPr>
            <w:r>
              <w:rPr>
                <w:noProof/>
              </w:rPr>
              <w:t>Personnes bénéficiant de la mesure en faveur de l’emploi subventionné</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4946B8" w14:textId="2FBC0191" w:rsidR="00FA40E8" w:rsidRDefault="00E74AE8">
            <w:pPr>
              <w:pStyle w:val="P68B1DB1-Normal12"/>
              <w:spacing w:before="60" w:after="60"/>
              <w:rPr>
                <w:rFonts w:cs="Times New Roman"/>
                <w:noProof/>
              </w:rPr>
            </w:pPr>
            <w:r>
              <w:rPr>
                <w:noProof/>
              </w:rPr>
              <w:t xml:space="preserve">1 000 personnes bénéficiant de la mesure en faveur de </w:t>
            </w:r>
            <w:r>
              <w:rPr>
                <w:noProof/>
              </w:rPr>
              <w:t>l’emploi subventionné.</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2AEFBC" w14:textId="34501567" w:rsidR="00FA40E8" w:rsidRDefault="00FA40E8">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3BF8E9" w14:textId="7F51F08C" w:rsidR="00FA40E8" w:rsidRDefault="00FA40E8">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C8AE8D" w14:textId="13406FAA" w:rsidR="00FA40E8" w:rsidRDefault="00FA40E8">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DD41FE" w14:textId="2A089B5C" w:rsidR="00FA40E8" w:rsidRDefault="00E74AE8">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39A754" w14:textId="273CE0A8" w:rsidR="00FA40E8" w:rsidRDefault="00E74AE8">
            <w:pPr>
              <w:pStyle w:val="P68B1DB1-Normal12"/>
              <w:spacing w:before="60" w:after="60"/>
              <w:jc w:val="center"/>
              <w:rPr>
                <w:rFonts w:cs="Times New Roman"/>
                <w:noProof/>
              </w:rPr>
            </w:pPr>
            <w:r>
              <w:rPr>
                <w:noProof/>
              </w:rPr>
              <w:t>2026</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37A83E" w14:textId="67F76831" w:rsidR="00FA40E8" w:rsidRDefault="00E74AE8">
            <w:pPr>
              <w:pStyle w:val="P68B1DB1-Normal12"/>
              <w:spacing w:before="60" w:after="60"/>
              <w:jc w:val="both"/>
              <w:rPr>
                <w:rFonts w:eastAsia="Times New Roman" w:cs="Times New Roman"/>
                <w:noProof/>
              </w:rPr>
            </w:pPr>
            <w:r>
              <w:rPr>
                <w:noProof/>
              </w:rPr>
              <w:t xml:space="preserve">1 000 personnes bénéficiant de la mesure en faveur de l’emploi subventionné. </w:t>
            </w:r>
          </w:p>
        </w:tc>
      </w:tr>
      <w:tr w:rsidR="00FA40E8" w14:paraId="22AB7AB6" w14:textId="77777777">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F56FF1" w14:textId="77777777" w:rsidR="00FA40E8" w:rsidRDefault="00E74AE8">
            <w:pPr>
              <w:pStyle w:val="P68B1DB1-Normal12"/>
              <w:spacing w:before="60" w:after="60"/>
              <w:jc w:val="center"/>
              <w:rPr>
                <w:rFonts w:cs="Times New Roman"/>
                <w:noProof/>
              </w:rPr>
            </w:pPr>
            <w:r>
              <w:rPr>
                <w:noProof/>
              </w:rPr>
              <w:t>191</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434353" w14:textId="77777777" w:rsidR="00FA40E8" w:rsidRDefault="00E74AE8">
            <w:pPr>
              <w:pStyle w:val="P68B1DB1-Normal12"/>
              <w:spacing w:before="60" w:after="60"/>
              <w:rPr>
                <w:noProof/>
              </w:rPr>
            </w:pPr>
            <w:r>
              <w:rPr>
                <w:noProof/>
              </w:rPr>
              <w:t xml:space="preserve">G.1.2. Soutien à l’emploi axé sur le client — </w:t>
            </w:r>
          </w:p>
          <w:p w14:paraId="3FD4192A" w14:textId="18F189E1" w:rsidR="00FA40E8" w:rsidRDefault="00E74AE8">
            <w:pPr>
              <w:pStyle w:val="P68B1DB1-Normal12"/>
              <w:spacing w:before="60" w:after="60"/>
              <w:rPr>
                <w:rFonts w:cs="Times New Roman"/>
                <w:noProof/>
              </w:rPr>
            </w:pPr>
            <w:r>
              <w:rPr>
                <w:noProof/>
              </w:rPr>
              <w:t>G.1.2.2. Accroître la portée et la diversité des mesures de soutien à l’emploi</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6D624F8" w14:textId="77777777" w:rsidR="00FA40E8" w:rsidRDefault="00E74AE8">
            <w:pPr>
              <w:pStyle w:val="P68B1DB1-Normal12"/>
              <w:spacing w:before="60" w:after="60"/>
              <w:jc w:val="center"/>
              <w:rPr>
                <w:rFonts w:cs="Times New Roman"/>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551E3B" w14:textId="1CFA0DE0" w:rsidR="00FA40E8" w:rsidRDefault="00E74AE8">
            <w:pPr>
              <w:pStyle w:val="P68B1DB1-Normal12"/>
              <w:spacing w:before="60" w:after="60"/>
              <w:rPr>
                <w:rFonts w:cs="Times New Roman"/>
                <w:noProof/>
              </w:rPr>
            </w:pPr>
            <w:r>
              <w:rPr>
                <w:noProof/>
              </w:rPr>
              <w:t>Formations pour acquérir des qualifications et/ou des compétences numériques et autres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C7572A1" w14:textId="20C02096" w:rsidR="00FA40E8" w:rsidRDefault="00FA40E8">
            <w:pPr>
              <w:spacing w:before="60" w:after="60"/>
              <w:rPr>
                <w:rFonts w:ascii="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BB8958" w14:textId="79C401B9" w:rsidR="00FA40E8" w:rsidRDefault="00E74AE8">
            <w:pPr>
              <w:pStyle w:val="P68B1DB1-Normal12"/>
              <w:spacing w:before="60" w:after="60"/>
              <w:rPr>
                <w:rFonts w:cs="Times New Roman"/>
                <w:noProof/>
              </w:rPr>
            </w:pPr>
            <w:r>
              <w:rPr>
                <w:noProof/>
              </w:rPr>
              <w:t>Certificats de formation délivrés</w:t>
            </w: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90BC5F" w14:textId="5199D7D5" w:rsidR="00FA40E8" w:rsidRDefault="00E74AE8">
            <w:pPr>
              <w:pStyle w:val="P68B1DB1-Normal12"/>
              <w:spacing w:before="60" w:after="60"/>
              <w:jc w:val="center"/>
              <w:rPr>
                <w:rFonts w:cs="Times New Roman"/>
                <w:noProof/>
              </w:rPr>
            </w:pPr>
            <w:r>
              <w:rPr>
                <w:noProof/>
              </w:rPr>
              <w:t>0</w:t>
            </w: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C978CAF" w14:textId="4B83CF98" w:rsidR="00FA40E8" w:rsidRDefault="00E74AE8">
            <w:pPr>
              <w:pStyle w:val="P68B1DB1-Normal12"/>
              <w:spacing w:before="60" w:after="60"/>
              <w:jc w:val="center"/>
              <w:rPr>
                <w:rFonts w:cs="Times New Roman"/>
                <w:noProof/>
              </w:rPr>
            </w:pPr>
            <w:r>
              <w:rPr>
                <w:noProof/>
              </w:rPr>
              <w:t>15 078</w:t>
            </w: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CFF4C" w14:textId="77777777" w:rsidR="00FA40E8" w:rsidRDefault="00E74AE8">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DAEBC3" w14:textId="77777777" w:rsidR="00FA40E8" w:rsidRDefault="00E74AE8">
            <w:pPr>
              <w:pStyle w:val="P68B1DB1-Normal12"/>
              <w:spacing w:before="60" w:after="60"/>
              <w:jc w:val="center"/>
              <w:rPr>
                <w:rFonts w:cs="Times New Roman"/>
                <w:noProof/>
              </w:rPr>
            </w:pPr>
            <w:r>
              <w:rPr>
                <w:noProof/>
              </w:rPr>
              <w:t>2026</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26983F" w14:textId="514366EB" w:rsidR="00FA40E8" w:rsidRDefault="00E74AE8">
            <w:pPr>
              <w:pStyle w:val="P68B1DB1-Normal12"/>
              <w:spacing w:before="60" w:after="60"/>
              <w:jc w:val="both"/>
              <w:rPr>
                <w:rFonts w:eastAsia="Times New Roman" w:cs="Times New Roman"/>
                <w:noProof/>
              </w:rPr>
            </w:pPr>
            <w:r>
              <w:rPr>
                <w:noProof/>
              </w:rPr>
              <w:t>15 078 certificats de formation délivrés pour obtenir des qualifications et/ou des compétences à haute valeur ajoutée</w:t>
            </w:r>
            <w:r>
              <w:rPr>
                <w:noProof/>
              </w:rPr>
              <w:t xml:space="preserve"> (dont au moins 10 000 pour acquérir des qualifications et/ou des compétences numériques)</w:t>
            </w:r>
          </w:p>
        </w:tc>
      </w:tr>
    </w:tbl>
    <w:p w14:paraId="278F5915" w14:textId="77777777" w:rsidR="00FA40E8" w:rsidRDefault="00FA40E8">
      <w:pPr>
        <w:pStyle w:val="Text1"/>
        <w:ind w:left="0"/>
        <w:rPr>
          <w:noProof/>
        </w:rPr>
      </w:pPr>
    </w:p>
    <w:p w14:paraId="0D657494" w14:textId="6FB4662E" w:rsidR="00FA40E8" w:rsidRDefault="00FA40E8">
      <w:pPr>
        <w:ind w:left="709"/>
        <w:jc w:val="both"/>
        <w:rPr>
          <w:rFonts w:ascii="Times New Roman" w:eastAsia="Calibri" w:hAnsi="Times New Roman" w:cs="Times New Roman"/>
          <w:noProof/>
        </w:rPr>
        <w:sectPr w:rsidR="00FA40E8" w:rsidSect="0074650A">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6431E3F9" w14:textId="734B0F3E" w:rsidR="00FA40E8" w:rsidRDefault="00E74AE8">
      <w:pPr>
        <w:pStyle w:val="P68B1DB1-Text15"/>
        <w:keepNext/>
        <w:keepLines/>
        <w:spacing w:before="0" w:after="200" w:line="276" w:lineRule="auto"/>
        <w:ind w:left="0"/>
        <w:outlineLvl w:val="1"/>
        <w:rPr>
          <w:noProof/>
        </w:rPr>
      </w:pPr>
      <w:r>
        <w:rPr>
          <w:noProof/>
        </w:rPr>
        <w:t>G.3. Description des réformes et des investissements pour le prêt</w:t>
      </w:r>
    </w:p>
    <w:p w14:paraId="59C6FFEA" w14:textId="149B4850" w:rsidR="00FA40E8" w:rsidRDefault="00E74AE8">
      <w:pPr>
        <w:pStyle w:val="P68B1DB1-Normal6"/>
        <w:keepNext/>
        <w:keepLines/>
        <w:jc w:val="both"/>
        <w:textAlignment w:val="baseline"/>
        <w:rPr>
          <w:rFonts w:eastAsia="Times New Roman" w:cs="Times New Roman"/>
          <w:noProof/>
        </w:rPr>
      </w:pPr>
      <w:bookmarkStart w:id="17" w:name="_Hlk145956153"/>
      <w:r>
        <w:rPr>
          <w:noProof/>
        </w:rPr>
        <w:t xml:space="preserve">G.3.1. Réforme: Améliorer la qualité </w:t>
      </w:r>
      <w:r>
        <w:rPr>
          <w:noProof/>
        </w:rPr>
        <w:t>des services sociaux et de l’emploi</w:t>
      </w:r>
    </w:p>
    <w:bookmarkEnd w:id="17"/>
    <w:p w14:paraId="5A18F4B3" w14:textId="5303759C" w:rsidR="00FA40E8" w:rsidRDefault="00E74AE8">
      <w:pPr>
        <w:pStyle w:val="P68B1DB1-Normal4"/>
        <w:widowControl w:val="0"/>
        <w:jc w:val="both"/>
        <w:rPr>
          <w:rFonts w:eastAsia="Times New Roman" w:cs="Times New Roman"/>
          <w:noProof/>
        </w:rPr>
      </w:pPr>
      <w:r>
        <w:rPr>
          <w:noProof/>
        </w:rPr>
        <w:t>L’objectif de la réforme est de réduire la fragmentation de la planification et de la fourniture des services sociaux, de l’emploi et d’autres services connexes, ainsi que de renforcer les compétences des travailleurs so</w:t>
      </w:r>
      <w:r>
        <w:rPr>
          <w:noProof/>
        </w:rPr>
        <w:t>ciaux. La réforme se compose de deux sous-mesures: 1) renforcer l’intégration des services de l’emploi, des services sociaux et autres; 2) renforcer les compétences des travailleurs sociaux.</w:t>
      </w:r>
    </w:p>
    <w:p w14:paraId="086FC4B0" w14:textId="46C3CEEB" w:rsidR="00FA40E8" w:rsidRDefault="00E74AE8">
      <w:pPr>
        <w:pStyle w:val="P68B1DB1-Normal6"/>
        <w:keepNext/>
        <w:keepLines/>
        <w:jc w:val="both"/>
        <w:textAlignment w:val="baseline"/>
        <w:rPr>
          <w:rFonts w:eastAsia="Times New Roman" w:cs="Times New Roman"/>
          <w:noProof/>
        </w:rPr>
      </w:pPr>
      <w:r>
        <w:rPr>
          <w:noProof/>
        </w:rPr>
        <w:t>G.3.1.1. Sous-mesure 1: Renforcer l’intégration des services de l</w:t>
      </w:r>
      <w:r>
        <w:rPr>
          <w:noProof/>
        </w:rPr>
        <w:t xml:space="preserve">’emploi, des services sociaux et autres </w:t>
      </w:r>
    </w:p>
    <w:p w14:paraId="144FEAAA" w14:textId="60E5E0C4" w:rsidR="00FA40E8" w:rsidRDefault="00E74AE8">
      <w:pPr>
        <w:pStyle w:val="P68B1DB1-Normal4"/>
        <w:jc w:val="both"/>
        <w:rPr>
          <w:rFonts w:eastAsia="Times New Roman" w:cs="Times New Roman"/>
          <w:noProof/>
          <w:szCs w:val="24"/>
        </w:rPr>
      </w:pPr>
      <w:r>
        <w:rPr>
          <w:noProof/>
        </w:rPr>
        <w:t xml:space="preserve">L’objectif de cette sous-mesure est de fournir des services intégrés en matière d’emploi, des services sociaux et autres aux personnes inscrites en tant que chômeurs et aux personnes inscrites en tant que personnes </w:t>
      </w:r>
      <w:r>
        <w:rPr>
          <w:noProof/>
        </w:rPr>
        <w:t xml:space="preserve">se préparant au marché du travail. La sous-mesure consiste en l’entrée en vigueur de la législation et l’approbation de programmes de renforcement de l’emploi. </w:t>
      </w:r>
    </w:p>
    <w:p w14:paraId="192A92CD" w14:textId="77777777" w:rsidR="00FA40E8" w:rsidRDefault="00E74AE8">
      <w:pPr>
        <w:pStyle w:val="P68B1DB1-Normal6"/>
        <w:jc w:val="both"/>
        <w:rPr>
          <w:rFonts w:eastAsia="Times New Roman" w:cs="Times New Roman"/>
          <w:noProof/>
          <w:szCs w:val="24"/>
        </w:rPr>
      </w:pPr>
      <w:r>
        <w:rPr>
          <w:noProof/>
        </w:rPr>
        <w:t>G.3.1.2. Sous-mesure 2: Renforcer les compétences des travailleurs sociaux</w:t>
      </w:r>
    </w:p>
    <w:p w14:paraId="2E5068EF" w14:textId="3F843F70" w:rsidR="00FA40E8" w:rsidRDefault="00E74AE8">
      <w:pPr>
        <w:pStyle w:val="P68B1DB1-Normal25"/>
        <w:widowControl w:val="0"/>
        <w:jc w:val="both"/>
        <w:rPr>
          <w:noProof/>
        </w:rPr>
        <w:sectPr w:rsidR="00FA40E8" w:rsidSect="0074650A">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r>
        <w:rPr>
          <w:noProof/>
          <w:sz w:val="24"/>
        </w:rPr>
        <w:t xml:space="preserve">L’objectif de cette sous-mesure est de renforcer les compétences des travailleurs sociaux. Le Centre pour l’amélioration des compétences professionnelles des employés des services sociaux est sélectionné dans le </w:t>
      </w:r>
      <w:r>
        <w:rPr>
          <w:noProof/>
        </w:rPr>
        <w:t xml:space="preserve">cadre </w:t>
      </w:r>
      <w:r>
        <w:rPr>
          <w:noProof/>
        </w:rPr>
        <w:t>de la procédure d’appel public à projets</w:t>
      </w:r>
      <w:r>
        <w:rPr>
          <w:noProof/>
          <w:sz w:val="24"/>
        </w:rPr>
        <w:t xml:space="preserve"> et organise et mène des formations régulières et gratuites, fournit une assistance méthodologique et apporte un soutien aux employés des services sociaux dans le cadre de leurs activités professionnelles.</w:t>
      </w:r>
    </w:p>
    <w:p w14:paraId="4E4695E4" w14:textId="53006A8F" w:rsidR="00FA40E8" w:rsidRDefault="00E74AE8">
      <w:pPr>
        <w:pStyle w:val="P68B1DB1-Text15"/>
        <w:keepNext/>
        <w:keepLines/>
        <w:spacing w:before="0" w:after="200" w:line="276" w:lineRule="auto"/>
        <w:ind w:left="0"/>
        <w:outlineLvl w:val="1"/>
        <w:rPr>
          <w:noProof/>
        </w:rPr>
      </w:pPr>
      <w:r>
        <w:rPr>
          <w:noProof/>
        </w:rPr>
        <w:t xml:space="preserve">G.4. </w:t>
      </w:r>
      <w:r>
        <w:rPr>
          <w:noProof/>
        </w:rPr>
        <w:t>Valeurs intermédiaires, valeurs cibles, indicateurs et calendrier de suivi et de mise en œuvre du prêt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34"/>
        <w:gridCol w:w="1816"/>
        <w:gridCol w:w="1118"/>
        <w:gridCol w:w="1440"/>
        <w:gridCol w:w="1560"/>
        <w:gridCol w:w="1037"/>
        <w:gridCol w:w="1054"/>
        <w:gridCol w:w="686"/>
        <w:gridCol w:w="925"/>
        <w:gridCol w:w="995"/>
        <w:gridCol w:w="3622"/>
      </w:tblGrid>
      <w:tr w:rsidR="00FA40E8" w14:paraId="7D5E6D3B" w14:textId="77777777">
        <w:trPr>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445AD32" w14:textId="2FC092FA" w:rsidR="00FA40E8" w:rsidRDefault="00E74AE8">
            <w:pPr>
              <w:pStyle w:val="P68B1DB1-Normal9"/>
              <w:spacing w:after="0"/>
              <w:jc w:val="center"/>
              <w:rPr>
                <w:rFonts w:cs="Times New Roman"/>
                <w:noProof/>
              </w:rPr>
            </w:pPr>
            <w:r>
              <w:rPr>
                <w:noProof/>
              </w:rPr>
              <w:t>Non.</w:t>
            </w:r>
          </w:p>
        </w:tc>
        <w:tc>
          <w:tcPr>
            <w:tcW w:w="181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125425" w14:textId="77777777" w:rsidR="00FA40E8" w:rsidRDefault="00E74AE8">
            <w:pPr>
              <w:pStyle w:val="P68B1DB1-Normal9"/>
              <w:spacing w:after="0"/>
              <w:jc w:val="center"/>
              <w:rPr>
                <w:rFonts w:cs="Times New Roman"/>
                <w:noProof/>
              </w:rPr>
            </w:pPr>
            <w:r>
              <w:rPr>
                <w:noProof/>
              </w:rPr>
              <w:t>Mesure connexe (réforme ou investissement)</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09C261" w14:textId="1B6DE340" w:rsidR="00FA40E8" w:rsidRDefault="00E74AE8">
            <w:pPr>
              <w:pStyle w:val="P68B1DB1-Normal9"/>
              <w:spacing w:after="0"/>
              <w:jc w:val="center"/>
              <w:rPr>
                <w:rFonts w:cs="Times New Roman"/>
                <w:noProof/>
              </w:rPr>
            </w:pPr>
            <w:r>
              <w:rPr>
                <w:noProof/>
              </w:rPr>
              <w:t>Étape/cible</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72E7B7" w14:textId="77777777" w:rsidR="00FA40E8" w:rsidRDefault="00E74AE8">
            <w:pPr>
              <w:pStyle w:val="P68B1DB1-Normal9"/>
              <w:spacing w:after="0"/>
              <w:jc w:val="center"/>
              <w:rPr>
                <w:rFonts w:cs="Times New Roman"/>
                <w:noProof/>
              </w:rPr>
            </w:pPr>
            <w:r>
              <w:rPr>
                <w:noProof/>
              </w:rPr>
              <w:t>Titre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304793" w14:textId="52A701EF" w:rsidR="00FA40E8" w:rsidRDefault="00E74AE8">
            <w:pPr>
              <w:pStyle w:val="P68B1DB1-Normal10"/>
              <w:spacing w:after="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étapes)</w:t>
            </w:r>
          </w:p>
        </w:tc>
        <w:tc>
          <w:tcPr>
            <w:tcW w:w="2777"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36A20D" w14:textId="77777777" w:rsidR="00FA40E8" w:rsidRDefault="00E74AE8">
            <w:pPr>
              <w:pStyle w:val="P68B1DB1-Normal10"/>
              <w:spacing w:after="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 xml:space="preserve">(pour les </w:t>
            </w:r>
            <w:r>
              <w:rPr>
                <w:rFonts w:ascii="Times New Roman" w:hAnsi="Times New Roman"/>
                <w:b/>
                <w:noProof/>
              </w:rPr>
              <w:t>objectifs)</w:t>
            </w:r>
          </w:p>
        </w:tc>
        <w:tc>
          <w:tcPr>
            <w:tcW w:w="19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3F3A9C9" w14:textId="6EBF3864" w:rsidR="00FA40E8" w:rsidRDefault="00E74AE8">
            <w:pPr>
              <w:pStyle w:val="P68B1DB1-Normal9"/>
              <w:spacing w:after="0"/>
              <w:jc w:val="center"/>
              <w:rPr>
                <w:rFonts w:cs="Times New Roman"/>
                <w:noProof/>
              </w:rPr>
            </w:pPr>
            <w:r>
              <w:rPr>
                <w:noProof/>
              </w:rPr>
              <w:t>Calendrier indicatif d’achèvement</w:t>
            </w:r>
          </w:p>
        </w:tc>
        <w:tc>
          <w:tcPr>
            <w:tcW w:w="362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C54E6D" w14:textId="77777777" w:rsidR="00FA40E8" w:rsidRDefault="00E74AE8">
            <w:pPr>
              <w:pStyle w:val="P68B1DB1-Normal9"/>
              <w:spacing w:after="0"/>
              <w:jc w:val="center"/>
              <w:rPr>
                <w:rFonts w:cs="Times New Roman"/>
                <w:noProof/>
              </w:rPr>
            </w:pPr>
            <w:r>
              <w:rPr>
                <w:noProof/>
              </w:rPr>
              <w:t>Description et définition claire de chaque jalon et cible</w:t>
            </w:r>
          </w:p>
        </w:tc>
      </w:tr>
      <w:tr w:rsidR="00FA40E8" w14:paraId="09496C1B" w14:textId="77777777">
        <w:trPr>
          <w:tblHeader/>
        </w:trPr>
        <w:tc>
          <w:tcPr>
            <w:tcW w:w="534" w:type="dxa"/>
            <w:vMerge/>
            <w:tcBorders>
              <w:top w:val="single" w:sz="4" w:space="0" w:color="auto"/>
              <w:left w:val="single" w:sz="4" w:space="0" w:color="auto"/>
              <w:bottom w:val="single" w:sz="4" w:space="0" w:color="auto"/>
              <w:right w:val="single" w:sz="4" w:space="0" w:color="auto"/>
            </w:tcBorders>
            <w:vAlign w:val="center"/>
          </w:tcPr>
          <w:p w14:paraId="2A917522" w14:textId="77777777" w:rsidR="00FA40E8" w:rsidRDefault="00FA40E8">
            <w:pPr>
              <w:spacing w:after="0"/>
              <w:jc w:val="center"/>
              <w:rPr>
                <w:rFonts w:ascii="Times New Roman" w:hAnsi="Times New Roman" w:cs="Times New Roman"/>
                <w:b/>
                <w:noProof/>
                <w:sz w:val="20"/>
              </w:rPr>
            </w:pPr>
          </w:p>
        </w:tc>
        <w:tc>
          <w:tcPr>
            <w:tcW w:w="1816" w:type="dxa"/>
            <w:vMerge/>
            <w:tcBorders>
              <w:top w:val="single" w:sz="4" w:space="0" w:color="auto"/>
              <w:left w:val="single" w:sz="4" w:space="0" w:color="auto"/>
              <w:bottom w:val="single" w:sz="4" w:space="0" w:color="auto"/>
              <w:right w:val="single" w:sz="4" w:space="0" w:color="auto"/>
            </w:tcBorders>
            <w:vAlign w:val="center"/>
          </w:tcPr>
          <w:p w14:paraId="29476734" w14:textId="77777777" w:rsidR="00FA40E8" w:rsidRDefault="00FA40E8">
            <w:pPr>
              <w:spacing w:after="0"/>
              <w:rPr>
                <w:rFonts w:ascii="Times New Roman" w:hAnsi="Times New Roman" w:cs="Times New Roman"/>
                <w:b/>
                <w:noProof/>
                <w:sz w:val="20"/>
              </w:rPr>
            </w:pPr>
          </w:p>
        </w:tc>
        <w:tc>
          <w:tcPr>
            <w:tcW w:w="1118" w:type="dxa"/>
            <w:vMerge/>
            <w:tcBorders>
              <w:top w:val="single" w:sz="4" w:space="0" w:color="auto"/>
              <w:left w:val="single" w:sz="4" w:space="0" w:color="auto"/>
              <w:bottom w:val="single" w:sz="4" w:space="0" w:color="auto"/>
              <w:right w:val="single" w:sz="4" w:space="0" w:color="auto"/>
            </w:tcBorders>
            <w:vAlign w:val="center"/>
          </w:tcPr>
          <w:p w14:paraId="334F052A" w14:textId="77777777" w:rsidR="00FA40E8" w:rsidRDefault="00FA40E8">
            <w:pPr>
              <w:spacing w:after="0"/>
              <w:jc w:val="center"/>
              <w:rPr>
                <w:rFonts w:ascii="Times New Roman" w:hAnsi="Times New Roman" w:cs="Times New Roman"/>
                <w:b/>
                <w:noProof/>
                <w:sz w:val="20"/>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7985FCD6" w14:textId="77777777" w:rsidR="00FA40E8" w:rsidRDefault="00FA40E8">
            <w:pPr>
              <w:spacing w:after="0"/>
              <w:rPr>
                <w:rFonts w:ascii="Times New Roman" w:hAnsi="Times New Roman" w:cs="Times New Roman"/>
                <w:b/>
                <w:noProof/>
                <w:sz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2441A31E" w14:textId="77777777" w:rsidR="00FA40E8" w:rsidRDefault="00FA40E8">
            <w:pPr>
              <w:spacing w:after="0"/>
              <w:rPr>
                <w:rFonts w:ascii="Times New Roman" w:hAnsi="Times New Roman" w:cs="Times New Roman"/>
                <w:b/>
                <w:noProof/>
                <w:sz w:val="20"/>
              </w:rPr>
            </w:pPr>
          </w:p>
        </w:tc>
        <w:tc>
          <w:tcPr>
            <w:tcW w:w="103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1B75AB" w14:textId="77777777" w:rsidR="00FA40E8" w:rsidRDefault="00E74AE8">
            <w:pPr>
              <w:pStyle w:val="P68B1DB1-Normal9"/>
              <w:spacing w:after="0"/>
              <w:jc w:val="center"/>
              <w:rPr>
                <w:rFonts w:cs="Times New Roman"/>
                <w:noProof/>
              </w:rPr>
            </w:pPr>
            <w:r>
              <w:rPr>
                <w:noProof/>
              </w:rPr>
              <w:t>Unité</w:t>
            </w:r>
          </w:p>
        </w:tc>
        <w:tc>
          <w:tcPr>
            <w:tcW w:w="105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97DC457" w14:textId="77777777" w:rsidR="00FA40E8" w:rsidRDefault="00E74AE8">
            <w:pPr>
              <w:pStyle w:val="P68B1DB1-Normal9"/>
              <w:spacing w:after="0"/>
              <w:jc w:val="center"/>
              <w:rPr>
                <w:rFonts w:cs="Times New Roman"/>
                <w:noProof/>
              </w:rPr>
            </w:pPr>
            <w:r>
              <w:rPr>
                <w:noProof/>
              </w:rPr>
              <w:t>Niveau de référence</w:t>
            </w:r>
          </w:p>
        </w:tc>
        <w:tc>
          <w:tcPr>
            <w:tcW w:w="68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8E1FF51" w14:textId="77777777" w:rsidR="00FA40E8" w:rsidRDefault="00E74AE8">
            <w:pPr>
              <w:pStyle w:val="P68B1DB1-Normal9"/>
              <w:spacing w:after="0"/>
              <w:jc w:val="center"/>
              <w:rPr>
                <w:rFonts w:cs="Times New Roman"/>
                <w:noProof/>
              </w:rPr>
            </w:pPr>
            <w:r>
              <w:rPr>
                <w:noProof/>
              </w:rPr>
              <w:t>Objectif</w:t>
            </w:r>
          </w:p>
        </w:tc>
        <w:tc>
          <w:tcPr>
            <w:tcW w:w="92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10CABBA" w14:textId="77777777" w:rsidR="00FA40E8" w:rsidRDefault="00E74AE8">
            <w:pPr>
              <w:pStyle w:val="P68B1DB1-Normal9"/>
              <w:spacing w:after="0"/>
              <w:jc w:val="center"/>
              <w:rPr>
                <w:rFonts w:cs="Times New Roman"/>
                <w:noProof/>
              </w:rPr>
            </w:pPr>
            <w:r>
              <w:rPr>
                <w:noProof/>
              </w:rPr>
              <w:t>Trimestre</w:t>
            </w:r>
          </w:p>
        </w:tc>
        <w:tc>
          <w:tcPr>
            <w:tcW w:w="99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E24EE96" w14:textId="77777777" w:rsidR="00FA40E8" w:rsidRDefault="00E74AE8">
            <w:pPr>
              <w:pStyle w:val="P68B1DB1-Normal9"/>
              <w:spacing w:after="0"/>
              <w:jc w:val="center"/>
              <w:rPr>
                <w:rFonts w:cs="Times New Roman"/>
                <w:noProof/>
              </w:rPr>
            </w:pPr>
            <w:r>
              <w:rPr>
                <w:noProof/>
              </w:rPr>
              <w:t>Année</w:t>
            </w:r>
          </w:p>
        </w:tc>
        <w:tc>
          <w:tcPr>
            <w:tcW w:w="3622" w:type="dxa"/>
            <w:vMerge/>
            <w:tcBorders>
              <w:top w:val="single" w:sz="4" w:space="0" w:color="auto"/>
              <w:left w:val="single" w:sz="4" w:space="0" w:color="auto"/>
              <w:bottom w:val="single" w:sz="4" w:space="0" w:color="auto"/>
              <w:right w:val="single" w:sz="4" w:space="0" w:color="auto"/>
            </w:tcBorders>
            <w:vAlign w:val="center"/>
          </w:tcPr>
          <w:p w14:paraId="19E1DF8A" w14:textId="77777777" w:rsidR="00FA40E8" w:rsidRDefault="00FA40E8">
            <w:pPr>
              <w:spacing w:after="0"/>
              <w:rPr>
                <w:rFonts w:ascii="Times New Roman" w:hAnsi="Times New Roman" w:cs="Times New Roman"/>
                <w:b/>
                <w:noProof/>
                <w:sz w:val="20"/>
              </w:rPr>
            </w:pPr>
          </w:p>
        </w:tc>
      </w:tr>
      <w:tr w:rsidR="00FA40E8" w14:paraId="105D4C35" w14:textId="77777777">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0C4F969" w14:textId="02EECB05" w:rsidR="00FA40E8" w:rsidRDefault="00E74AE8">
            <w:pPr>
              <w:pStyle w:val="P68B1DB1-Normal12"/>
              <w:spacing w:after="0"/>
              <w:jc w:val="center"/>
              <w:rPr>
                <w:rFonts w:cs="Times New Roman"/>
                <w:noProof/>
              </w:rPr>
            </w:pPr>
            <w:r>
              <w:rPr>
                <w:noProof/>
              </w:rPr>
              <w:t>192</w:t>
            </w:r>
          </w:p>
        </w:tc>
        <w:tc>
          <w:tcPr>
            <w:tcW w:w="181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954C11" w14:textId="4A6C18A7" w:rsidR="00FA40E8" w:rsidRDefault="00E74AE8">
            <w:pPr>
              <w:pStyle w:val="P68B1DB1-P68B1DB1-prastasis1233"/>
              <w:spacing w:line="276" w:lineRule="auto"/>
              <w:rPr>
                <w:noProof/>
              </w:rPr>
            </w:pPr>
            <w:r>
              <w:rPr>
                <w:noProof/>
              </w:rPr>
              <w:t xml:space="preserve">G.3.1. Améliorer la qualité des services sociaux et de l’emploi — </w:t>
            </w:r>
          </w:p>
          <w:p w14:paraId="619966EC" w14:textId="2149DC4D" w:rsidR="00FA40E8" w:rsidRDefault="00E74AE8">
            <w:pPr>
              <w:pStyle w:val="P68B1DB1-P68B1DB1-prastasis1233"/>
              <w:spacing w:line="276" w:lineRule="auto"/>
              <w:rPr>
                <w:rFonts w:cs="Times New Roman"/>
                <w:noProof/>
              </w:rPr>
            </w:pPr>
            <w:r>
              <w:rPr>
                <w:noProof/>
              </w:rPr>
              <w:t xml:space="preserve">G.3.1.1. Renforcer l’intégration des services de l’emploi, des services sociaux et autres </w:t>
            </w:r>
          </w:p>
        </w:tc>
        <w:tc>
          <w:tcPr>
            <w:tcW w:w="11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0E56F5" w14:textId="6011227B" w:rsidR="00FA40E8" w:rsidRDefault="00E74AE8">
            <w:pPr>
              <w:pStyle w:val="P68B1DB1-Normal12"/>
              <w:spacing w:after="0"/>
              <w:jc w:val="center"/>
              <w:rPr>
                <w:rFonts w:cs="Times New Roman"/>
                <w:noProof/>
              </w:rPr>
            </w:pPr>
            <w:r>
              <w:rPr>
                <w:noProof/>
              </w:rPr>
              <w:t>Étape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2ACC13" w14:textId="69883B53" w:rsidR="00FA40E8" w:rsidRDefault="00E74AE8">
            <w:pPr>
              <w:pStyle w:val="P68B1DB1-Normal12"/>
              <w:spacing w:after="0"/>
              <w:rPr>
                <w:rFonts w:eastAsiaTheme="minorEastAsia" w:cs="Times New Roman"/>
                <w:noProof/>
              </w:rPr>
            </w:pPr>
            <w:r>
              <w:rPr>
                <w:noProof/>
              </w:rPr>
              <w:t xml:space="preserve">Modifications de la législation sur les services personnalisés fournis par le service de l’emploi et les municipalités aux chômeurs et aux personnes inscrites </w:t>
            </w:r>
            <w:r>
              <w:rPr>
                <w:noProof/>
              </w:rPr>
              <w:t>en tant que personnes se préparant au marché du travail qui rencontrent des difficultés à accepter un emploi</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E3AAED" w14:textId="097F4A41" w:rsidR="00FA40E8" w:rsidRDefault="00E74AE8">
            <w:pPr>
              <w:pStyle w:val="P68B1DB1-Normal12"/>
              <w:spacing w:after="0"/>
              <w:rPr>
                <w:rFonts w:eastAsia="Times New Roman" w:cs="Times New Roman"/>
                <w:noProof/>
              </w:rPr>
            </w:pPr>
            <w:r>
              <w:rPr>
                <w:noProof/>
              </w:rPr>
              <w:t>Dispositions indiquant l’entrée en vigueur des modifications de la législation</w:t>
            </w:r>
          </w:p>
        </w:tc>
        <w:tc>
          <w:tcPr>
            <w:tcW w:w="103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211E83" w14:textId="77777777" w:rsidR="00FA40E8" w:rsidRDefault="00FA40E8">
            <w:pPr>
              <w:spacing w:after="0"/>
              <w:jc w:val="center"/>
              <w:rPr>
                <w:rFonts w:ascii="Times New Roman" w:hAnsi="Times New Roman" w:cs="Times New Roman"/>
                <w:noProof/>
                <w:sz w:val="20"/>
              </w:rPr>
            </w:pPr>
          </w:p>
        </w:tc>
        <w:tc>
          <w:tcPr>
            <w:tcW w:w="10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9C6E52" w14:textId="77777777" w:rsidR="00FA40E8" w:rsidRDefault="00FA40E8">
            <w:pPr>
              <w:spacing w:after="0"/>
              <w:jc w:val="center"/>
              <w:rPr>
                <w:rFonts w:ascii="Times New Roman" w:hAnsi="Times New Roman" w:cs="Times New Roman"/>
                <w:noProof/>
                <w:sz w:val="20"/>
              </w:rPr>
            </w:pPr>
          </w:p>
        </w:tc>
        <w:tc>
          <w:tcPr>
            <w:tcW w:w="6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40F463" w14:textId="77777777" w:rsidR="00FA40E8" w:rsidRDefault="00FA40E8">
            <w:pPr>
              <w:spacing w:after="0"/>
              <w:jc w:val="center"/>
              <w:rPr>
                <w:rFonts w:ascii="Times New Roman" w:hAnsi="Times New Roman" w:cs="Times New Roman"/>
                <w:noProof/>
                <w:sz w:val="20"/>
              </w:rPr>
            </w:pPr>
          </w:p>
        </w:tc>
        <w:tc>
          <w:tcPr>
            <w:tcW w:w="92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EC676F" w14:textId="3BE71793" w:rsidR="00FA40E8" w:rsidRDefault="00E74AE8">
            <w:pPr>
              <w:pStyle w:val="P68B1DB1-Normal12"/>
              <w:spacing w:after="0"/>
              <w:jc w:val="center"/>
              <w:rPr>
                <w:rFonts w:cs="Times New Roman"/>
                <w:noProof/>
              </w:rPr>
            </w:pPr>
            <w:r>
              <w:rPr>
                <w:noProof/>
              </w:rPr>
              <w:t>T3</w:t>
            </w:r>
          </w:p>
        </w:tc>
        <w:tc>
          <w:tcPr>
            <w:tcW w:w="9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48F5A1" w14:textId="2B802CA8" w:rsidR="00FA40E8" w:rsidRDefault="00E74AE8">
            <w:pPr>
              <w:pStyle w:val="P68B1DB1-Normal12"/>
              <w:spacing w:after="0"/>
              <w:jc w:val="center"/>
              <w:rPr>
                <w:rFonts w:cs="Times New Roman"/>
                <w:noProof/>
              </w:rPr>
            </w:pPr>
            <w:r>
              <w:rPr>
                <w:noProof/>
              </w:rPr>
              <w:t>2022</w:t>
            </w:r>
          </w:p>
        </w:tc>
        <w:tc>
          <w:tcPr>
            <w:tcW w:w="36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59068E" w14:textId="34DECA8D" w:rsidR="00FA40E8" w:rsidRDefault="00E74AE8">
            <w:pPr>
              <w:pStyle w:val="P68B1DB1-Normal12"/>
              <w:spacing w:after="0"/>
              <w:jc w:val="both"/>
              <w:rPr>
                <w:rFonts w:eastAsia="Times New Roman" w:cs="Times New Roman"/>
                <w:noProof/>
              </w:rPr>
            </w:pPr>
            <w:r>
              <w:rPr>
                <w:noProof/>
              </w:rPr>
              <w:t xml:space="preserve">La législation modifiée entre en vigueur et prévoit que </w:t>
            </w:r>
            <w:r>
              <w:rPr>
                <w:noProof/>
              </w:rPr>
              <w:t>le service de l’emploi fournit des services et des consultations personnalisés en appliquant une approche de gestion des dossiers aux chômeurs et aux personnes inscrites en tant que personnes se préparant au marché du travail qui rencontrent des difficulté</w:t>
            </w:r>
            <w:r>
              <w:rPr>
                <w:noProof/>
              </w:rPr>
              <w:t>s pour accepter un emploi. La législation prévoit que les municipalités, en coopération avec le service de l’emploi, mettent en œuvre des programmes de promotion de l’emploi en appliquant une approche de gestion des cas pour le groupe cible susmentionné.</w:t>
            </w:r>
          </w:p>
        </w:tc>
      </w:tr>
      <w:tr w:rsidR="00FA40E8" w14:paraId="32F5AD4A" w14:textId="77777777">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8CF7FF" w14:textId="025CB9E2" w:rsidR="00FA40E8" w:rsidRDefault="00E74AE8">
            <w:pPr>
              <w:pStyle w:val="P68B1DB1-Normal12"/>
              <w:spacing w:after="0"/>
              <w:jc w:val="center"/>
              <w:rPr>
                <w:rFonts w:cs="Times New Roman"/>
                <w:noProof/>
              </w:rPr>
            </w:pPr>
            <w:r>
              <w:rPr>
                <w:noProof/>
              </w:rPr>
              <w:t>193</w:t>
            </w:r>
          </w:p>
        </w:tc>
        <w:tc>
          <w:tcPr>
            <w:tcW w:w="181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ED1710" w14:textId="77777777" w:rsidR="00FA40E8" w:rsidRDefault="00E74AE8">
            <w:pPr>
              <w:pStyle w:val="P68B1DB1-Normal12"/>
              <w:spacing w:after="0"/>
              <w:rPr>
                <w:noProof/>
              </w:rPr>
            </w:pPr>
            <w:r>
              <w:rPr>
                <w:noProof/>
              </w:rPr>
              <w:t xml:space="preserve">G.3.1. Améliorer la qualité des services sociaux et de l’emploi — </w:t>
            </w:r>
          </w:p>
          <w:p w14:paraId="3D12CF99" w14:textId="2FFAA087" w:rsidR="00FA40E8" w:rsidRDefault="00E74AE8">
            <w:pPr>
              <w:pStyle w:val="P68B1DB1-Normal12"/>
              <w:spacing w:after="0"/>
              <w:rPr>
                <w:rFonts w:cs="Times New Roman"/>
                <w:noProof/>
              </w:rPr>
            </w:pPr>
            <w:r>
              <w:rPr>
                <w:noProof/>
              </w:rPr>
              <w:t xml:space="preserve">G.3.1.1. Renforcer l’intégration des services de l’emploi, des services sociaux et autres </w:t>
            </w:r>
          </w:p>
        </w:tc>
        <w:tc>
          <w:tcPr>
            <w:tcW w:w="11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B2F1E2" w14:textId="6446A9AB" w:rsidR="00FA40E8" w:rsidRDefault="00E74AE8">
            <w:pPr>
              <w:pStyle w:val="P68B1DB1-Normal12"/>
              <w:spacing w:after="0"/>
              <w:jc w:val="center"/>
              <w:rPr>
                <w:rFonts w:eastAsiaTheme="minorEastAsia" w:cs="Times New Roman"/>
                <w:noProof/>
              </w:rPr>
            </w:pPr>
            <w:r>
              <w:rPr>
                <w:noProof/>
              </w:rPr>
              <w:t>Objectif</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F621A7" w14:textId="4F828ED1" w:rsidR="00FA40E8" w:rsidRDefault="00E74AE8">
            <w:pPr>
              <w:pStyle w:val="P68B1DB1-Normal12"/>
              <w:spacing w:after="0"/>
              <w:rPr>
                <w:rFonts w:cs="Times New Roman"/>
                <w:noProof/>
              </w:rPr>
            </w:pPr>
            <w:r>
              <w:rPr>
                <w:noProof/>
              </w:rPr>
              <w:t>Approbation des programmes d’amélioration de l’emploi par les municipalités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75C022" w14:textId="77777777" w:rsidR="00FA40E8" w:rsidRDefault="00FA40E8">
            <w:pPr>
              <w:spacing w:after="0"/>
              <w:rPr>
                <w:rFonts w:ascii="Times New Roman" w:eastAsia="Times New Roman" w:hAnsi="Times New Roman" w:cs="Times New Roman"/>
                <w:noProof/>
                <w:sz w:val="20"/>
              </w:rPr>
            </w:pPr>
          </w:p>
        </w:tc>
        <w:tc>
          <w:tcPr>
            <w:tcW w:w="103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58C899" w14:textId="5EADCDAD" w:rsidR="00FA40E8" w:rsidRDefault="00E74AE8">
            <w:pPr>
              <w:pStyle w:val="P68B1DB1-Normal24"/>
              <w:spacing w:after="0"/>
              <w:jc w:val="center"/>
              <w:rPr>
                <w:rFonts w:cs="Times New Roman"/>
                <w:noProof/>
                <w:sz w:val="20"/>
              </w:rPr>
            </w:pPr>
            <w:r>
              <w:rPr>
                <w:noProof/>
              </w:rPr>
              <w:t>Nombre</w:t>
            </w:r>
          </w:p>
        </w:tc>
        <w:tc>
          <w:tcPr>
            <w:tcW w:w="10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144CCF" w14:textId="1AB19A02" w:rsidR="00FA40E8" w:rsidRDefault="00E74AE8">
            <w:pPr>
              <w:pStyle w:val="P68B1DB1-Normal12"/>
              <w:spacing w:after="0"/>
              <w:jc w:val="center"/>
              <w:rPr>
                <w:rFonts w:cs="Times New Roman"/>
                <w:noProof/>
              </w:rPr>
            </w:pPr>
            <w:r>
              <w:rPr>
                <w:noProof/>
              </w:rPr>
              <w:t>0</w:t>
            </w:r>
          </w:p>
        </w:tc>
        <w:tc>
          <w:tcPr>
            <w:tcW w:w="6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D34FA8" w14:textId="4CB85950" w:rsidR="00FA40E8" w:rsidRDefault="00E74AE8">
            <w:pPr>
              <w:pStyle w:val="P68B1DB1-Normal12"/>
              <w:spacing w:after="0"/>
              <w:jc w:val="center"/>
              <w:rPr>
                <w:rFonts w:cs="Times New Roman"/>
                <w:noProof/>
              </w:rPr>
            </w:pPr>
            <w:r>
              <w:rPr>
                <w:noProof/>
              </w:rPr>
              <w:t>48</w:t>
            </w:r>
          </w:p>
        </w:tc>
        <w:tc>
          <w:tcPr>
            <w:tcW w:w="92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A3AB30" w14:textId="5E6CD103" w:rsidR="00FA40E8" w:rsidRDefault="00E74AE8">
            <w:pPr>
              <w:pStyle w:val="P68B1DB1-Normal12"/>
              <w:spacing w:after="0"/>
              <w:jc w:val="center"/>
              <w:rPr>
                <w:rFonts w:eastAsiaTheme="minorEastAsia" w:cs="Times New Roman"/>
                <w:noProof/>
              </w:rPr>
            </w:pPr>
            <w:r>
              <w:rPr>
                <w:noProof/>
              </w:rPr>
              <w:t>T4</w:t>
            </w:r>
          </w:p>
        </w:tc>
        <w:tc>
          <w:tcPr>
            <w:tcW w:w="9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EB0B07" w14:textId="687074F5" w:rsidR="00FA40E8" w:rsidRDefault="00E74AE8">
            <w:pPr>
              <w:pStyle w:val="P68B1DB1-Normal12"/>
              <w:spacing w:after="0"/>
              <w:jc w:val="center"/>
              <w:rPr>
                <w:rFonts w:eastAsiaTheme="minorEastAsia" w:cs="Times New Roman"/>
                <w:noProof/>
              </w:rPr>
            </w:pPr>
            <w:r>
              <w:rPr>
                <w:noProof/>
              </w:rPr>
              <w:t>2025</w:t>
            </w:r>
          </w:p>
        </w:tc>
        <w:tc>
          <w:tcPr>
            <w:tcW w:w="36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130D64" w14:textId="6D8B1F62" w:rsidR="00FA40E8" w:rsidRDefault="00E74AE8">
            <w:pPr>
              <w:pStyle w:val="P68B1DB1-Normal12"/>
              <w:spacing w:after="0"/>
              <w:jc w:val="both"/>
              <w:rPr>
                <w:rFonts w:eastAsia="Times New Roman" w:cs="Times New Roman"/>
                <w:noProof/>
              </w:rPr>
            </w:pPr>
            <w:r>
              <w:rPr>
                <w:noProof/>
              </w:rPr>
              <w:t>Au moins 48 municipalités approuvent des programmes de renforcement de l’emploi qui comprennent l’application d’une approche de gestion de cas et/ou le fonctionnement d’un gestionnaire de cas.</w:t>
            </w:r>
          </w:p>
        </w:tc>
      </w:tr>
      <w:tr w:rsidR="00FA40E8" w14:paraId="61C893C6" w14:textId="77777777">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413FD4" w14:textId="574D6411" w:rsidR="00FA40E8" w:rsidRDefault="00E74AE8">
            <w:pPr>
              <w:pStyle w:val="P68B1DB1-Normal12"/>
              <w:spacing w:after="0"/>
              <w:jc w:val="center"/>
              <w:rPr>
                <w:rFonts w:cs="Times New Roman"/>
                <w:noProof/>
              </w:rPr>
            </w:pPr>
            <w:r>
              <w:rPr>
                <w:noProof/>
              </w:rPr>
              <w:t>194</w:t>
            </w:r>
          </w:p>
        </w:tc>
        <w:tc>
          <w:tcPr>
            <w:tcW w:w="181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434BD6" w14:textId="3D777437" w:rsidR="00FA40E8" w:rsidRDefault="00E74AE8">
            <w:pPr>
              <w:pStyle w:val="P68B1DB1-P68B1DB1-prastasis1233"/>
              <w:spacing w:line="276" w:lineRule="auto"/>
              <w:rPr>
                <w:noProof/>
              </w:rPr>
            </w:pPr>
            <w:r>
              <w:rPr>
                <w:noProof/>
              </w:rPr>
              <w:t xml:space="preserve">G.3.1. Améliorer la qualité des services sociaux et de l’emploi — </w:t>
            </w:r>
          </w:p>
          <w:p w14:paraId="13127803" w14:textId="6E9A873E" w:rsidR="00FA40E8" w:rsidRDefault="00E74AE8">
            <w:pPr>
              <w:pStyle w:val="P68B1DB1-P68B1DB1-prastasis1233"/>
              <w:spacing w:line="276" w:lineRule="auto"/>
              <w:rPr>
                <w:rFonts w:cs="Times New Roman"/>
                <w:noProof/>
              </w:rPr>
            </w:pPr>
            <w:r>
              <w:rPr>
                <w:noProof/>
              </w:rPr>
              <w:t>G.3.1.2. Renforcer les compétences des travailleurs sociaux</w:t>
            </w:r>
          </w:p>
        </w:tc>
        <w:tc>
          <w:tcPr>
            <w:tcW w:w="11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92D4E5" w14:textId="14FFFBB7" w:rsidR="00FA40E8" w:rsidRDefault="00E74AE8">
            <w:pPr>
              <w:pStyle w:val="P68B1DB1-Normal12"/>
              <w:spacing w:after="0"/>
              <w:jc w:val="center"/>
              <w:rPr>
                <w:rFonts w:cs="Times New Roman"/>
                <w:noProof/>
              </w:rPr>
            </w:pPr>
            <w:r>
              <w:rPr>
                <w:noProof/>
              </w:rPr>
              <w:t>Étape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FE2BD0" w14:textId="221579E0" w:rsidR="00FA40E8" w:rsidRDefault="00E74AE8">
            <w:pPr>
              <w:pStyle w:val="P68B1DB1-Normal12"/>
              <w:spacing w:after="0"/>
              <w:rPr>
                <w:rFonts w:eastAsia="Times New Roman" w:cs="Times New Roman"/>
                <w:noProof/>
              </w:rPr>
            </w:pPr>
            <w:r>
              <w:rPr>
                <w:noProof/>
              </w:rPr>
              <w:t xml:space="preserve">Création d’un centre d’amélioration des compétences professionnelles des salariés dans le domaine des services sociaux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E37D23" w14:textId="4FC55275" w:rsidR="00FA40E8" w:rsidRDefault="00E74AE8">
            <w:pPr>
              <w:pStyle w:val="P68B1DB1-Normal12"/>
              <w:spacing w:after="0"/>
              <w:rPr>
                <w:rFonts w:eastAsia="Times New Roman" w:cs="Times New Roman"/>
                <w:noProof/>
              </w:rPr>
            </w:pPr>
            <w:r>
              <w:rPr>
                <w:noProof/>
              </w:rPr>
              <w:t>Cré</w:t>
            </w:r>
            <w:r>
              <w:rPr>
                <w:noProof/>
              </w:rPr>
              <w:t>ation d’un centre d’amélioration des compétences professionnelles des salariés dans le domaine des services sociaux</w:t>
            </w:r>
          </w:p>
        </w:tc>
        <w:tc>
          <w:tcPr>
            <w:tcW w:w="103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4498DC" w14:textId="347418A1" w:rsidR="00FA40E8" w:rsidRDefault="00FA40E8">
            <w:pPr>
              <w:spacing w:after="0"/>
              <w:jc w:val="center"/>
              <w:rPr>
                <w:rFonts w:ascii="Times New Roman" w:hAnsi="Times New Roman" w:cs="Times New Roman"/>
                <w:noProof/>
                <w:sz w:val="20"/>
              </w:rPr>
            </w:pPr>
          </w:p>
        </w:tc>
        <w:tc>
          <w:tcPr>
            <w:tcW w:w="10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A8EE30" w14:textId="64E19807" w:rsidR="00FA40E8" w:rsidRDefault="00FA40E8">
            <w:pPr>
              <w:spacing w:after="0"/>
              <w:jc w:val="center"/>
              <w:rPr>
                <w:rFonts w:ascii="Times New Roman" w:hAnsi="Times New Roman" w:cs="Times New Roman"/>
                <w:noProof/>
                <w:sz w:val="20"/>
              </w:rPr>
            </w:pPr>
          </w:p>
        </w:tc>
        <w:tc>
          <w:tcPr>
            <w:tcW w:w="6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C67F1B" w14:textId="3D921F95" w:rsidR="00FA40E8" w:rsidRDefault="00FA40E8">
            <w:pPr>
              <w:spacing w:after="0"/>
              <w:jc w:val="center"/>
              <w:rPr>
                <w:rFonts w:ascii="Times New Roman" w:hAnsi="Times New Roman" w:cs="Times New Roman"/>
                <w:noProof/>
                <w:sz w:val="20"/>
              </w:rPr>
            </w:pPr>
          </w:p>
        </w:tc>
        <w:tc>
          <w:tcPr>
            <w:tcW w:w="92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06F636" w14:textId="718C905E" w:rsidR="00FA40E8" w:rsidRDefault="00E74AE8">
            <w:pPr>
              <w:pStyle w:val="P68B1DB1-Normal12"/>
              <w:spacing w:after="0"/>
              <w:jc w:val="center"/>
              <w:rPr>
                <w:rFonts w:cs="Times New Roman"/>
                <w:noProof/>
              </w:rPr>
            </w:pPr>
            <w:r>
              <w:rPr>
                <w:noProof/>
              </w:rPr>
              <w:t>T4</w:t>
            </w:r>
          </w:p>
        </w:tc>
        <w:tc>
          <w:tcPr>
            <w:tcW w:w="9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2079CA" w14:textId="388B6B99" w:rsidR="00FA40E8" w:rsidRDefault="00E74AE8">
            <w:pPr>
              <w:pStyle w:val="P68B1DB1-Normal12"/>
              <w:spacing w:after="0"/>
              <w:jc w:val="center"/>
              <w:rPr>
                <w:rFonts w:cs="Times New Roman"/>
                <w:noProof/>
              </w:rPr>
            </w:pPr>
            <w:r>
              <w:rPr>
                <w:noProof/>
              </w:rPr>
              <w:t>2022</w:t>
            </w:r>
          </w:p>
        </w:tc>
        <w:tc>
          <w:tcPr>
            <w:tcW w:w="362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BA3A32" w14:textId="568EE166" w:rsidR="00FA40E8" w:rsidRDefault="00E74AE8">
            <w:pPr>
              <w:pStyle w:val="P68B1DB1-Normal12"/>
              <w:spacing w:after="0"/>
              <w:jc w:val="both"/>
              <w:rPr>
                <w:rFonts w:eastAsia="Times New Roman" w:cs="Times New Roman"/>
                <w:noProof/>
              </w:rPr>
            </w:pPr>
            <w:r>
              <w:rPr>
                <w:noProof/>
              </w:rPr>
              <w:t>Le Centre pour l’amélioration des compétences professionnelles des employés des services sociaux est sélectionné dans le cadre de</w:t>
            </w:r>
            <w:r>
              <w:rPr>
                <w:noProof/>
              </w:rPr>
              <w:t xml:space="preserve"> la procédure d’appel public à projets. Le Centre organise et organise des formations régulières et gratuites, fournit une assistance méthodologique et apporte un soutien aux nouveaux employés des services sociaux dans le cadre de leurs activités professio</w:t>
            </w:r>
            <w:r>
              <w:rPr>
                <w:noProof/>
              </w:rPr>
              <w:t xml:space="preserve">nnelles. </w:t>
            </w:r>
          </w:p>
        </w:tc>
      </w:tr>
    </w:tbl>
    <w:p w14:paraId="68F697DF" w14:textId="77777777" w:rsidR="00FA40E8" w:rsidRDefault="00FA40E8">
      <w:pPr>
        <w:spacing w:before="120" w:after="120" w:line="240" w:lineRule="auto"/>
        <w:jc w:val="both"/>
        <w:rPr>
          <w:rFonts w:ascii="Times New Roman" w:eastAsia="Times New Roman" w:hAnsi="Times New Roman" w:cs="Times New Roman"/>
          <w:noProof/>
          <w:color w:val="000000" w:themeColor="text1"/>
          <w:sz w:val="24"/>
          <w:u w:val="single"/>
        </w:rPr>
      </w:pPr>
    </w:p>
    <w:p w14:paraId="5DD66420" w14:textId="77777777" w:rsidR="00FA40E8" w:rsidRDefault="00FA40E8">
      <w:pPr>
        <w:spacing w:before="120" w:after="120" w:line="240" w:lineRule="auto"/>
        <w:jc w:val="both"/>
        <w:rPr>
          <w:rFonts w:ascii="Times New Roman" w:eastAsia="Times New Roman" w:hAnsi="Times New Roman" w:cs="Times New Roman"/>
          <w:b/>
          <w:noProof/>
          <w:color w:val="000000" w:themeColor="text1"/>
          <w:sz w:val="24"/>
          <w:u w:val="single"/>
        </w:rPr>
        <w:sectPr w:rsidR="00FA40E8" w:rsidSect="0074650A">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05545032" w14:textId="6214931B" w:rsidR="00FA40E8" w:rsidRDefault="00E74AE8">
      <w:pPr>
        <w:pStyle w:val="ManualHeading1"/>
        <w:tabs>
          <w:tab w:val="clear" w:pos="850"/>
        </w:tabs>
        <w:spacing w:before="0" w:after="200"/>
        <w:ind w:left="0" w:firstLine="0"/>
        <w:rPr>
          <w:noProof/>
        </w:rPr>
      </w:pPr>
      <w:r>
        <w:rPr>
          <w:noProof/>
        </w:rPr>
        <w:t>H. COMPOSANTE 8: REPowerEU</w:t>
      </w:r>
    </w:p>
    <w:p w14:paraId="2CCDF26C" w14:textId="2EDFFBB7" w:rsidR="00FA40E8" w:rsidRDefault="00E74AE8">
      <w:pPr>
        <w:pStyle w:val="Text1"/>
        <w:spacing w:before="0" w:after="200" w:line="276" w:lineRule="auto"/>
        <w:ind w:left="0"/>
        <w:rPr>
          <w:noProof/>
        </w:rPr>
      </w:pPr>
      <w:r>
        <w:rPr>
          <w:noProof/>
        </w:rPr>
        <w:t>Ce volet du plan lituanien pour la reprise et la résilience contribue à relever les défis liés à la transition écologique et, en particulier, à la nécessité</w:t>
      </w:r>
      <w:r>
        <w:rPr>
          <w:noProof/>
        </w:rPr>
        <w:t xml:space="preserve"> de réduire les émissions de gaz à effet de serre, y compris celles provenant du secteur des transports, d’accroître l’efficacité énergétique dans les bâtiments et les transports et de promouvoir le développement de capacités supplémentaires de production </w:t>
      </w:r>
      <w:r>
        <w:rPr>
          <w:noProof/>
        </w:rPr>
        <w:t>d’électricité à partir de sources renouvelables.</w:t>
      </w:r>
    </w:p>
    <w:p w14:paraId="2B96590F" w14:textId="688E4E08" w:rsidR="00FA40E8" w:rsidRDefault="00E74AE8">
      <w:pPr>
        <w:pStyle w:val="Text1"/>
        <w:spacing w:before="0" w:after="200" w:line="276" w:lineRule="auto"/>
        <w:ind w:left="0"/>
        <w:rPr>
          <w:noProof/>
        </w:rPr>
      </w:pPr>
      <w:r>
        <w:rPr>
          <w:noProof/>
        </w:rPr>
        <w:t>Ce volet prévoit un soutien technique et financier pour accélérer la rénovation des immeubles comprenant plusieurs appartements afin d’améliorer leur efficacité énergétique. En ce qui concerne la mobilité, l</w:t>
      </w:r>
      <w:r>
        <w:rPr>
          <w:noProof/>
        </w:rPr>
        <w:t>a mesure prévoit un soutien à l’achat et à la livraison de composants essentiels pour le transport à émissions nulles de poids lourds le long des voies navigables intérieures lituaniennes, réduisant ainsi le transport routier de marchandises sur les autoro</w:t>
      </w:r>
      <w:r>
        <w:rPr>
          <w:noProof/>
        </w:rPr>
        <w:t>utes automobiles lituaniennes. En ce qui concerne la production d’énergie à partir de sources renouvelables, des modifications législatives allant au-delà de la transposition de la directive RED II sont prévues afin de simplifier les exigences administrati</w:t>
      </w:r>
      <w:r>
        <w:rPr>
          <w:noProof/>
        </w:rPr>
        <w:t>ves pour le déploiement de nouvelles capacités en matière d’énergies renouvelables, et une étude de modélisation du système énergétique lituanien vise à déterminer les moyens d’atteindre 100 % de la consommation nationale totale d’électricité produite à pa</w:t>
      </w:r>
      <w:r>
        <w:rPr>
          <w:noProof/>
        </w:rPr>
        <w:t>rtir de SER. En outre, des solutions financières sont prévues pour le développement de la capacité de production à partir de SER. Ces mesures auront une dimension plurinationale grâce à l’augmentation de la production locale d’énergies renouvelables et à l</w:t>
      </w:r>
      <w:r>
        <w:rPr>
          <w:noProof/>
        </w:rPr>
        <w:t>a réduction de la dépendance à l’égard des combustibles fossiles.</w:t>
      </w:r>
    </w:p>
    <w:p w14:paraId="2C3464C2" w14:textId="77777777" w:rsidR="00FA40E8" w:rsidRDefault="00E74AE8">
      <w:pPr>
        <w:pStyle w:val="P68B1DB1-Normal4"/>
        <w:jc w:val="both"/>
        <w:rPr>
          <w:rFonts w:cs="Times New Roman"/>
          <w:noProof/>
        </w:rPr>
      </w:pPr>
      <w:r>
        <w:rPr>
          <w:noProof/>
        </w:rPr>
        <w:t xml:space="preserve">Les mesures incluses dans le volet soutiennent la mise en œuvre de la recommandation par pays (recommandation no 2022 de 4) visant à réduire la dépendance globale à l’égard des combustibles </w:t>
      </w:r>
      <w:r>
        <w:rPr>
          <w:noProof/>
        </w:rPr>
        <w:t>fossiles en accélérant le déploiement des énergies renouvelables, en augmentant l’efficacité énergétique et la décarbonation de l’industrie, des transports et des bâtiments, et à garantir une capacité suffisante d’interconnexions énergétiques. En outre, le</w:t>
      </w:r>
      <w:r>
        <w:rPr>
          <w:noProof/>
        </w:rPr>
        <w:t>s mesures incluses dans le volet soutiennent la mise en œuvre de la recommandation par pays (recommandation no 2023 de 4) visant à réduire encore la dépendance à l’égard des combustibles fossiles et des importations d’énergie en accélérant le déploiement d</w:t>
      </w:r>
      <w:r>
        <w:rPr>
          <w:noProof/>
        </w:rPr>
        <w:t>es énergies renouvelables, notamment en garantissant une capacité et un accès suffisants au réseau, en assurant la transformation et la décarbonation de la production industrielle, en augmentant l’adoption de transports publics et durables et en rendant le</w:t>
      </w:r>
      <w:r>
        <w:rPr>
          <w:noProof/>
        </w:rPr>
        <w:t>s bâtiments plus efficaces sur le plan énergétique, notamment pour réduire la précarité énergétique; garantir une capacité suffisante d’interconnexions électriques pour accroître la sécurité de l’approvisionnement, poursuivre la synchronisation en temps ut</w:t>
      </w:r>
      <w:r>
        <w:rPr>
          <w:noProof/>
        </w:rPr>
        <w:t>ile avec le réseau électrique de l’UE et intensifier les efforts visant à fournir et à acquérir les compétences nécessaires à la transition écologique.</w:t>
      </w:r>
    </w:p>
    <w:p w14:paraId="68C7EC5C" w14:textId="54729EDC" w:rsidR="00FA40E8" w:rsidRDefault="00E74AE8">
      <w:pPr>
        <w:pStyle w:val="P68B1DB1-Text15"/>
        <w:keepNext/>
        <w:keepLines/>
        <w:spacing w:before="0" w:after="200" w:line="276" w:lineRule="auto"/>
        <w:ind w:left="0"/>
        <w:outlineLvl w:val="1"/>
        <w:rPr>
          <w:noProof/>
        </w:rPr>
      </w:pPr>
      <w:bookmarkStart w:id="18" w:name="_Hlk145956405"/>
      <w:r>
        <w:rPr>
          <w:noProof/>
        </w:rPr>
        <w:t>H.1. Description des réformes et des investissements en vue d’un soutien financier non remboursable</w:t>
      </w:r>
    </w:p>
    <w:p w14:paraId="70E8FD59" w14:textId="670B7FA2" w:rsidR="00FA40E8" w:rsidRDefault="00E74AE8">
      <w:pPr>
        <w:pStyle w:val="P68B1DB1-Normal6"/>
        <w:keepNext/>
        <w:keepLines/>
        <w:jc w:val="both"/>
        <w:rPr>
          <w:rFonts w:eastAsia="Calibri" w:cs="Times New Roman"/>
          <w:noProof/>
        </w:rPr>
      </w:pPr>
      <w:bookmarkStart w:id="19" w:name="_Hlk145956442"/>
      <w:bookmarkEnd w:id="18"/>
      <w:r>
        <w:rPr>
          <w:noProof/>
        </w:rPr>
        <w:t>H.1.</w:t>
      </w:r>
      <w:r>
        <w:rPr>
          <w:noProof/>
        </w:rPr>
        <w:t xml:space="preserve">1. Investissement 1: «Accélérer la rénovation des bâtiments» </w:t>
      </w:r>
    </w:p>
    <w:bookmarkEnd w:id="19"/>
    <w:p w14:paraId="37B8C677" w14:textId="3DEC2470" w:rsidR="00FA40E8" w:rsidRDefault="00E74AE8">
      <w:pPr>
        <w:pStyle w:val="P68B1DB1-Normal4"/>
        <w:jc w:val="both"/>
        <w:rPr>
          <w:rFonts w:eastAsia="Times New Roman" w:cs="Times New Roman"/>
          <w:b/>
          <w:bCs/>
          <w:noProof/>
          <w:sz w:val="28"/>
          <w:szCs w:val="28"/>
          <w:u w:val="single"/>
        </w:rPr>
      </w:pPr>
      <w:r>
        <w:rPr>
          <w:noProof/>
        </w:rPr>
        <w:t xml:space="preserve">L’objectif de l’investissement est de soutenir le processus de rénovation des bâtiments. L’investissement consiste en deux sous-mesures (1) de mise à jour des trains de mesures et des normes de </w:t>
      </w:r>
      <w:r>
        <w:rPr>
          <w:noProof/>
        </w:rPr>
        <w:t>rénovation (sous-mesure 1); (2) soutien à la rénovation des bâtiments (sous-mesure 2).</w:t>
      </w:r>
    </w:p>
    <w:p w14:paraId="525F5E90" w14:textId="273EA12C" w:rsidR="00FA40E8" w:rsidRDefault="00E74AE8">
      <w:pPr>
        <w:pStyle w:val="P68B1DB1-Normal6"/>
        <w:keepNext/>
        <w:keepLines/>
        <w:jc w:val="both"/>
        <w:rPr>
          <w:rFonts w:eastAsia="Times New Roman" w:cs="Times New Roman"/>
          <w:noProof/>
        </w:rPr>
      </w:pPr>
      <w:r>
        <w:rPr>
          <w:noProof/>
        </w:rPr>
        <w:t>H.1.1.1. Sous-mesure 1: Mise à jour des paquets et normes de rénovation</w:t>
      </w:r>
    </w:p>
    <w:p w14:paraId="1B55B64E" w14:textId="64FEF407" w:rsidR="00FA40E8" w:rsidRDefault="00E74AE8">
      <w:pPr>
        <w:pStyle w:val="P68B1DB1-Normal8"/>
        <w:jc w:val="both"/>
        <w:rPr>
          <w:rFonts w:ascii="Times New Roman" w:eastAsia="Calibri" w:hAnsi="Times New Roman" w:cs="Times New Roman"/>
          <w:noProof/>
          <w:szCs w:val="24"/>
        </w:rPr>
      </w:pPr>
      <w:r>
        <w:rPr>
          <w:rFonts w:ascii="Times New Roman" w:hAnsi="Times New Roman"/>
          <w:noProof/>
        </w:rPr>
        <w:t>Cette sous-mesure s’inscrit dans le prolongement de la sous-mesure B.1.3.1. (</w:t>
      </w:r>
      <w:r>
        <w:rPr>
          <w:rFonts w:ascii="Times New Roman" w:eastAsia="Times New Roman" w:hAnsi="Times New Roman" w:cs="Times New Roman"/>
          <w:noProof/>
          <w:color w:val="000000" w:themeColor="text1"/>
          <w:u w:val="single"/>
        </w:rPr>
        <w:t>Mise à jour des trai</w:t>
      </w:r>
      <w:r>
        <w:rPr>
          <w:rFonts w:ascii="Times New Roman" w:eastAsia="Times New Roman" w:hAnsi="Times New Roman" w:cs="Times New Roman"/>
          <w:noProof/>
          <w:color w:val="000000" w:themeColor="text1"/>
          <w:u w:val="single"/>
        </w:rPr>
        <w:t>ns de mesures et des normes en matière de rénovation des bâtiments et création d’une méthodologie pour le développement de villes durables</w:t>
      </w:r>
      <w:r>
        <w:rPr>
          <w:rFonts w:ascii="Times New Roman" w:hAnsi="Times New Roman"/>
          <w:noProof/>
        </w:rPr>
        <w:t xml:space="preserve">). Cette sous-mesure consiste en des travaux préparatoires pour la rénovation des panneaux verts de six bâtiments de démonstration. </w:t>
      </w:r>
    </w:p>
    <w:p w14:paraId="519D69FA" w14:textId="23E48F67" w:rsidR="00FA40E8" w:rsidRDefault="00FA40E8">
      <w:pPr>
        <w:jc w:val="both"/>
        <w:rPr>
          <w:rFonts w:ascii="Times New Roman" w:eastAsia="Times New Roman" w:hAnsi="Times New Roman" w:cs="Times New Roman"/>
          <w:noProof/>
          <w:sz w:val="24"/>
          <w:szCs w:val="24"/>
        </w:rPr>
      </w:pPr>
    </w:p>
    <w:p w14:paraId="06906C1E" w14:textId="7290BA0C" w:rsidR="00FA40E8" w:rsidRDefault="00E74AE8">
      <w:pPr>
        <w:pStyle w:val="P68B1DB1-Normal6"/>
        <w:keepNext/>
        <w:keepLines/>
        <w:jc w:val="both"/>
        <w:rPr>
          <w:rFonts w:eastAsia="Times New Roman" w:cs="Times New Roman"/>
          <w:noProof/>
        </w:rPr>
      </w:pPr>
      <w:r>
        <w:rPr>
          <w:noProof/>
        </w:rPr>
        <w:t>H.1.1.2. Sous-mesure 2: Soutien à la rénovation des bâtiments (renforcement)</w:t>
      </w:r>
    </w:p>
    <w:p w14:paraId="5899A224" w14:textId="3960C7D2" w:rsidR="00FA40E8" w:rsidRDefault="00E74AE8">
      <w:pPr>
        <w:pStyle w:val="P68B1DB1-Normal4"/>
        <w:jc w:val="both"/>
        <w:rPr>
          <w:rFonts w:eastAsia="Times New Roman" w:cs="Times New Roman"/>
          <w:noProof/>
          <w:szCs w:val="24"/>
        </w:rPr>
      </w:pPr>
      <w:r>
        <w:rPr>
          <w:noProof/>
        </w:rPr>
        <w:t>Cette sous-mesure est une extension de la sou</w:t>
      </w:r>
      <w:r>
        <w:rPr>
          <w:noProof/>
        </w:rPr>
        <w:t>s-mesure B.1.3.4. (Soutien à la rénovation des bâtiments). L’objectif de cette sous-mesure est de réduire la consommation d’énergie et les émissions des immeubles comprenant plusieurs appartements. La sous-mesure consiste en un soutien à la rénovation de b</w:t>
      </w:r>
      <w:r>
        <w:rPr>
          <w:noProof/>
        </w:rPr>
        <w:t xml:space="preserve">âtiments comprenant plusieurs appartements.La FRR soutient une partie des coûts de cet investissement. Cet investissement peut également bénéficier d’un soutien au titre d’autres programmes ou instruments de l’Union pour des coûts qui ne sont pas soutenus </w:t>
      </w:r>
      <w:r>
        <w:rPr>
          <w:noProof/>
        </w:rPr>
        <w:t xml:space="preserve">par la FRR. </w:t>
      </w:r>
    </w:p>
    <w:p w14:paraId="2E80E162" w14:textId="52644C0D" w:rsidR="00FA40E8" w:rsidRDefault="00E74AE8">
      <w:pPr>
        <w:pStyle w:val="P68B1DB1-Normal6"/>
        <w:keepNext/>
        <w:keepLines/>
        <w:jc w:val="both"/>
        <w:rPr>
          <w:rFonts w:eastAsia="Times New Roman" w:cs="Times New Roman"/>
          <w:noProof/>
        </w:rPr>
      </w:pPr>
      <w:bookmarkStart w:id="20" w:name="_Hlk145956570"/>
      <w:r>
        <w:rPr>
          <w:noProof/>
        </w:rPr>
        <w:t xml:space="preserve">H.1.2. Investissement 2 «Soutien à l’achat de véhicules propres destinés à la navigation intérieure» </w:t>
      </w:r>
    </w:p>
    <w:p w14:paraId="5950AAB7" w14:textId="4089E34E" w:rsidR="00FA40E8" w:rsidRDefault="00E74AE8">
      <w:pPr>
        <w:pStyle w:val="P68B1DB1-Normal4"/>
        <w:jc w:val="both"/>
        <w:rPr>
          <w:rFonts w:eastAsia="Times New Roman" w:cs="Times New Roman"/>
          <w:noProof/>
          <w:szCs w:val="24"/>
        </w:rPr>
      </w:pPr>
      <w:r>
        <w:rPr>
          <w:noProof/>
        </w:rPr>
        <w:t>L’objectif de cette mesure est d’encourager le transport de marchandises et d’autres types de marchandises au-dessus de l’eau en tant</w:t>
      </w:r>
      <w:r>
        <w:rPr>
          <w:noProof/>
        </w:rPr>
        <w:t xml:space="preserve"> qu’alternative plus propre au transport routier. La mesure consiste en l’achat d’un navire électrique et d’une grue électrique.</w:t>
      </w:r>
    </w:p>
    <w:p w14:paraId="6CDE29BB" w14:textId="67B9ADE2" w:rsidR="00FA40E8" w:rsidRDefault="00E74AE8">
      <w:pPr>
        <w:pStyle w:val="P68B1DB1-Normal6"/>
        <w:keepNext/>
        <w:keepLines/>
        <w:jc w:val="both"/>
        <w:rPr>
          <w:rFonts w:eastAsia="Times New Roman" w:cs="Times New Roman"/>
          <w:noProof/>
        </w:rPr>
      </w:pPr>
      <w:r>
        <w:rPr>
          <w:noProof/>
        </w:rPr>
        <w:t>H.1.3. Réforme 1 «Accroître la capacité de production à partir de sources d’énergie renouvelables»</w:t>
      </w:r>
    </w:p>
    <w:bookmarkEnd w:id="20"/>
    <w:p w14:paraId="4B05CEF4" w14:textId="4C0C8997" w:rsidR="00FA40E8" w:rsidRDefault="00E74AE8">
      <w:pPr>
        <w:pStyle w:val="P68B1DB1-Normal4"/>
        <w:jc w:val="both"/>
        <w:rPr>
          <w:rFonts w:eastAsia="Times New Roman" w:cs="Times New Roman"/>
          <w:noProof/>
          <w:szCs w:val="24"/>
        </w:rPr>
      </w:pPr>
      <w:r>
        <w:rPr>
          <w:noProof/>
        </w:rPr>
        <w:t xml:space="preserve">L’objectif de cette réforme </w:t>
      </w:r>
      <w:r>
        <w:rPr>
          <w:noProof/>
        </w:rPr>
        <w:t>est d’encourager la production, le transport et la consommation d’électricité produite à partir de sources renouvelables, en simplifiant les mécanismes institutionnels et juridiques et en fournissant des incitations à l’investissement aux développeurs de S</w:t>
      </w:r>
      <w:r>
        <w:rPr>
          <w:noProof/>
        </w:rPr>
        <w:t>ER.</w:t>
      </w:r>
    </w:p>
    <w:p w14:paraId="4F959C18" w14:textId="2D0C328C" w:rsidR="00FA40E8" w:rsidRDefault="00E74AE8">
      <w:pPr>
        <w:pStyle w:val="P68B1DB1-Normal4"/>
        <w:jc w:val="both"/>
        <w:rPr>
          <w:rFonts w:eastAsia="Times New Roman" w:cs="Times New Roman"/>
          <w:noProof/>
          <w:szCs w:val="24"/>
        </w:rPr>
      </w:pPr>
      <w:r>
        <w:rPr>
          <w:noProof/>
        </w:rPr>
        <w:t>Cette réforme se compose de deux sous-mesures: (1) améliorer l’environnement d’investissement pour les développeurs de SER (sous-mesure 1); (2) soutien à la construction de centrales SER (solaire) (sous-mesure 2).</w:t>
      </w:r>
    </w:p>
    <w:p w14:paraId="53ACDC9F" w14:textId="06BEBE5C" w:rsidR="00FA40E8" w:rsidRDefault="00E74AE8">
      <w:pPr>
        <w:pStyle w:val="P68B1DB1-Normal6"/>
        <w:keepNext/>
        <w:keepLines/>
        <w:jc w:val="both"/>
        <w:rPr>
          <w:rFonts w:eastAsia="Times New Roman" w:cs="Times New Roman"/>
          <w:noProof/>
          <w:szCs w:val="24"/>
        </w:rPr>
      </w:pPr>
      <w:r>
        <w:rPr>
          <w:noProof/>
        </w:rPr>
        <w:t>H.1.3.1. Sous-mesure 1: Améliorer l’en</w:t>
      </w:r>
      <w:r>
        <w:rPr>
          <w:noProof/>
        </w:rPr>
        <w:t>vironnement d’investissement pour les développeurs de SER</w:t>
      </w:r>
    </w:p>
    <w:p w14:paraId="4D6ACBD6" w14:textId="75073899" w:rsidR="00FA40E8" w:rsidRDefault="00E74AE8">
      <w:pPr>
        <w:pStyle w:val="P68B1DB1-Normal4"/>
        <w:jc w:val="both"/>
        <w:rPr>
          <w:rFonts w:eastAsia="Times New Roman" w:cs="Times New Roman"/>
          <w:noProof/>
          <w:szCs w:val="24"/>
        </w:rPr>
      </w:pPr>
      <w:r>
        <w:rPr>
          <w:noProof/>
        </w:rPr>
        <w:t xml:space="preserve">L’objectif de cette sous-mesure est de simplifier les exigences administratives pour le déploiement de nouvelles capacités en matière d’énergies renouvelables. Cette réforme consiste en un ensemble </w:t>
      </w:r>
      <w:r>
        <w:rPr>
          <w:noProof/>
        </w:rPr>
        <w:t>de modifications législatives qui contiennent des éléments allant au-delà de la transposition de la directive sur les énergies renouvelables (RED II). En particulier, le paquet de réformes:</w:t>
      </w:r>
    </w:p>
    <w:p w14:paraId="34A3DB3D" w14:textId="3D5E081C" w:rsidR="00FA40E8" w:rsidRDefault="00E74AE8">
      <w:pPr>
        <w:pStyle w:val="P68B1DB1-Normal4"/>
        <w:numPr>
          <w:ilvl w:val="0"/>
          <w:numId w:val="27"/>
        </w:numPr>
        <w:contextualSpacing/>
        <w:jc w:val="both"/>
        <w:rPr>
          <w:rFonts w:eastAsia="Times New Roman" w:cs="Times New Roman"/>
          <w:noProof/>
          <w:szCs w:val="24"/>
        </w:rPr>
      </w:pPr>
      <w:r>
        <w:rPr>
          <w:noProof/>
        </w:rPr>
        <w:t>Définir et réglementer les centrales électriques hybrides: La réfo</w:t>
      </w:r>
      <w:r>
        <w:rPr>
          <w:noProof/>
        </w:rPr>
        <w:t xml:space="preserve">rme permettra de connecter des installations hybrides de production d’énergie à partir de sources renouvelables (telles que l’énergie solaire et l’énergie éolienne) ou des installations de stockage d’énergie à un point du réseau électrique sans suivre une </w:t>
      </w:r>
      <w:r>
        <w:rPr>
          <w:noProof/>
        </w:rPr>
        <w:t xml:space="preserve">procédure d’autorisation fondée simplement sur l’ajout de la capacité installée. Le raccordement de la centrale électrique hybride au réseau électrique est évalué sur la base d’une capacité de production autorisée au lieu de la capacité installée. </w:t>
      </w:r>
    </w:p>
    <w:p w14:paraId="4394F90C" w14:textId="6BA2D2A6" w:rsidR="00FA40E8" w:rsidRDefault="00E74AE8">
      <w:pPr>
        <w:pStyle w:val="P68B1DB1-Normal4"/>
        <w:numPr>
          <w:ilvl w:val="0"/>
          <w:numId w:val="27"/>
        </w:numPr>
        <w:contextualSpacing/>
        <w:jc w:val="both"/>
        <w:rPr>
          <w:rFonts w:eastAsia="Times New Roman" w:cs="Times New Roman"/>
          <w:noProof/>
          <w:szCs w:val="24"/>
        </w:rPr>
      </w:pPr>
      <w:r>
        <w:rPr>
          <w:noProof/>
        </w:rPr>
        <w:t xml:space="preserve">Exiger </w:t>
      </w:r>
      <w:r>
        <w:rPr>
          <w:noProof/>
        </w:rPr>
        <w:t>un permis de développement unique et un permis de fabrication unique pour les centrales électriques hybrides.</w:t>
      </w:r>
    </w:p>
    <w:p w14:paraId="1D85ADA5" w14:textId="31134795" w:rsidR="00FA40E8" w:rsidRDefault="00E74AE8">
      <w:pPr>
        <w:pStyle w:val="P68B1DB1-Normal4"/>
        <w:numPr>
          <w:ilvl w:val="0"/>
          <w:numId w:val="27"/>
        </w:numPr>
        <w:contextualSpacing/>
        <w:jc w:val="both"/>
        <w:rPr>
          <w:rFonts w:eastAsia="Times New Roman" w:cs="Times New Roman"/>
          <w:noProof/>
          <w:szCs w:val="24"/>
        </w:rPr>
      </w:pPr>
      <w:r>
        <w:rPr>
          <w:noProof/>
        </w:rPr>
        <w:t>Renoncer aux quotas de développement et de production accordés aux prosommateurs pour les nouvelles centrales électriques utilisant des sources d’</w:t>
      </w:r>
      <w:r>
        <w:rPr>
          <w:noProof/>
        </w:rPr>
        <w:t>énergie renouvelables d’une puissance maximale de 100 kW.</w:t>
      </w:r>
    </w:p>
    <w:p w14:paraId="57B69477" w14:textId="6D0F89EF" w:rsidR="00FA40E8" w:rsidRDefault="00E74AE8">
      <w:pPr>
        <w:pStyle w:val="P68B1DB1-Normal4"/>
        <w:numPr>
          <w:ilvl w:val="0"/>
          <w:numId w:val="27"/>
        </w:numPr>
        <w:ind w:left="357" w:hanging="357"/>
        <w:jc w:val="both"/>
        <w:rPr>
          <w:rFonts w:eastAsia="Times New Roman" w:cs="Times New Roman"/>
          <w:noProof/>
          <w:szCs w:val="24"/>
        </w:rPr>
      </w:pPr>
      <w:r>
        <w:rPr>
          <w:noProof/>
        </w:rPr>
        <w:t>Limiter la durée des procédures d’octroi de permis à un an pour les nouvelles centrales utilisant des sources d’énergie renouvelables: L’octroi des trois principaux permis pour le développement de c</w:t>
      </w:r>
      <w:r>
        <w:rPr>
          <w:noProof/>
        </w:rPr>
        <w:t xml:space="preserve">entrales SER (permis pour le développement de la capacité de production d’électricité, permis de construire et permis pour la production d’électricité) ne prend pas plus d’un an pour les nouvelles centrales SER.  </w:t>
      </w:r>
    </w:p>
    <w:p w14:paraId="7A0B4864" w14:textId="691794E8" w:rsidR="00FA40E8" w:rsidRDefault="00E74AE8">
      <w:pPr>
        <w:pStyle w:val="P68B1DB1-Normal6"/>
        <w:keepNext/>
        <w:keepLines/>
        <w:jc w:val="both"/>
        <w:rPr>
          <w:rFonts w:eastAsia="Times New Roman" w:cs="Times New Roman"/>
          <w:noProof/>
        </w:rPr>
      </w:pPr>
      <w:r>
        <w:rPr>
          <w:noProof/>
        </w:rPr>
        <w:t>H.1.3.2. Sous-mesure 2: Soutien à la const</w:t>
      </w:r>
      <w:r>
        <w:rPr>
          <w:noProof/>
        </w:rPr>
        <w:t>ruction de centrales SER (énergie solaire)</w:t>
      </w:r>
    </w:p>
    <w:p w14:paraId="446D75C4" w14:textId="411E157A" w:rsidR="00FA40E8" w:rsidRDefault="00E74AE8">
      <w:pPr>
        <w:pStyle w:val="P68B1DB1-Normal4"/>
        <w:jc w:val="both"/>
        <w:rPr>
          <w:rFonts w:eastAsia="Times New Roman" w:cs="Times New Roman"/>
          <w:noProof/>
        </w:rPr>
      </w:pPr>
      <w:r>
        <w:rPr>
          <w:noProof/>
        </w:rPr>
        <w:t>Cette sous-mesure s’inscrit dans le prolongement de la sous-mesure B.1.1.2. (Soutien à la construction d’installations de stockage individuelles). L’objectif de cette sous-mesure est d’apporter un soutien à la pro</w:t>
      </w:r>
      <w:r>
        <w:rPr>
          <w:noProof/>
        </w:rPr>
        <w:t>duction d’énergie renouvelable et de connecter les communautés d’énergie renouvelable. La sous-mesure consiste à soutenir l’installation et le raccordement au réseau de capacités de production d’électricité à partir de sources d’énergie renouvelables.</w:t>
      </w:r>
    </w:p>
    <w:p w14:paraId="4824F3DB" w14:textId="7E92EACF" w:rsidR="00FA40E8" w:rsidRDefault="00FA40E8">
      <w:pPr>
        <w:spacing w:before="120" w:after="120" w:line="240" w:lineRule="auto"/>
        <w:jc w:val="both"/>
        <w:rPr>
          <w:rFonts w:ascii="Times New Roman" w:eastAsia="Times New Roman" w:hAnsi="Times New Roman" w:cs="Times New Roman"/>
          <w:b/>
          <w:noProof/>
          <w:sz w:val="24"/>
          <w:u w:val="single"/>
        </w:rPr>
        <w:sectPr w:rsidR="00FA40E8" w:rsidSect="0074650A">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2C3D054E" w14:textId="76CADA46" w:rsidR="00FA40E8" w:rsidRDefault="00E74AE8">
      <w:pPr>
        <w:pStyle w:val="P68B1DB1-Text15"/>
        <w:keepNext/>
        <w:keepLines/>
        <w:spacing w:before="0" w:after="200" w:line="276" w:lineRule="auto"/>
        <w:ind w:left="0"/>
        <w:outlineLvl w:val="1"/>
        <w:rPr>
          <w:noProof/>
        </w:rPr>
      </w:pPr>
      <w:r>
        <w:rPr>
          <w:noProof/>
        </w:rPr>
        <w:t>H.2. Jalons, cibles, indicateurs et calendrier de suivi et de mise en œuvre du soutien financier non remboursable</w:t>
      </w:r>
    </w:p>
    <w:tbl>
      <w:tblPr>
        <w:tblW w:w="14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34"/>
        <w:gridCol w:w="1701"/>
        <w:gridCol w:w="1134"/>
        <w:gridCol w:w="1417"/>
        <w:gridCol w:w="1559"/>
        <w:gridCol w:w="709"/>
        <w:gridCol w:w="932"/>
        <w:gridCol w:w="911"/>
        <w:gridCol w:w="992"/>
        <w:gridCol w:w="851"/>
        <w:gridCol w:w="3974"/>
      </w:tblGrid>
      <w:tr w:rsidR="00FA40E8" w14:paraId="1976117D" w14:textId="77777777">
        <w:trPr>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483977" w14:textId="48C3A1B3" w:rsidR="00FA40E8" w:rsidRDefault="00E74AE8">
            <w:pPr>
              <w:pStyle w:val="P68B1DB1-Normal9"/>
              <w:spacing w:before="60" w:after="60"/>
              <w:jc w:val="center"/>
              <w:rPr>
                <w:rFonts w:cs="Times New Roman"/>
                <w:noProof/>
              </w:rPr>
            </w:pPr>
            <w:r>
              <w:rPr>
                <w:noProof/>
              </w:rPr>
              <w:t>Non.</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D13D7C" w14:textId="77777777" w:rsidR="00FA40E8" w:rsidRDefault="00E74AE8">
            <w:pPr>
              <w:pStyle w:val="P68B1DB1-Normal9"/>
              <w:spacing w:before="60" w:after="60"/>
              <w:jc w:val="center"/>
              <w:rPr>
                <w:rFonts w:cs="Times New Roman"/>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C307AD1" w14:textId="16E6C347" w:rsidR="00FA40E8" w:rsidRDefault="00E74AE8">
            <w:pPr>
              <w:pStyle w:val="P68B1DB1-Normal9"/>
              <w:spacing w:before="60" w:after="60"/>
              <w:jc w:val="center"/>
              <w:rPr>
                <w:rFonts w:cs="Times New Roman"/>
                <w:noProof/>
              </w:rPr>
            </w:pPr>
            <w:r>
              <w:rPr>
                <w:noProof/>
              </w:rPr>
              <w:t>Étape/cible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E46351" w14:textId="77777777" w:rsidR="00FA40E8" w:rsidRDefault="00E74AE8">
            <w:pPr>
              <w:pStyle w:val="P68B1DB1-Normal9"/>
              <w:spacing w:before="60" w:after="60"/>
              <w:jc w:val="center"/>
              <w:rPr>
                <w:rFonts w:cs="Times New Roman"/>
                <w:noProof/>
              </w:rPr>
            </w:pPr>
            <w:r>
              <w:rPr>
                <w:noProof/>
              </w:rPr>
              <w:t>Titre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C2E786" w14:textId="772A97F2"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 xml:space="preserve">Indicateurs </w:t>
            </w:r>
            <w:r>
              <w:rPr>
                <w:rFonts w:ascii="Times New Roman" w:hAnsi="Times New Roman"/>
                <w:b/>
                <w:noProof/>
              </w:rPr>
              <w:t>qualitatifs</w:t>
            </w:r>
            <w:r>
              <w:rPr>
                <w:noProof/>
              </w:rPr>
              <w:t xml:space="preserve"> </w:t>
            </w:r>
            <w:r>
              <w:rPr>
                <w:noProof/>
              </w:rPr>
              <w:br/>
            </w:r>
            <w:r>
              <w:rPr>
                <w:rFonts w:ascii="Times New Roman" w:hAnsi="Times New Roman"/>
                <w:b/>
                <w:noProof/>
              </w:rPr>
              <w:t>(pour les étapes)</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E38FC5C" w14:textId="77777777"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3638DA" w14:textId="65991846" w:rsidR="00FA40E8" w:rsidRDefault="00E74AE8">
            <w:pPr>
              <w:pStyle w:val="P68B1DB1-Normal9"/>
              <w:spacing w:before="60" w:after="60"/>
              <w:jc w:val="center"/>
              <w:rPr>
                <w:rFonts w:cs="Times New Roman"/>
                <w:noProof/>
              </w:rPr>
            </w:pPr>
            <w:r>
              <w:rPr>
                <w:noProof/>
              </w:rPr>
              <w:t>Calendrier indicatif d’achèvement</w:t>
            </w:r>
          </w:p>
        </w:tc>
        <w:tc>
          <w:tcPr>
            <w:tcW w:w="397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2FDE74" w14:textId="77777777" w:rsidR="00FA40E8" w:rsidRDefault="00E74AE8">
            <w:pPr>
              <w:pStyle w:val="P68B1DB1-Normal9"/>
              <w:spacing w:before="60" w:after="60"/>
              <w:jc w:val="center"/>
              <w:rPr>
                <w:rFonts w:cs="Times New Roman"/>
                <w:noProof/>
              </w:rPr>
            </w:pPr>
            <w:r>
              <w:rPr>
                <w:noProof/>
              </w:rPr>
              <w:t>Description et définition claire de chaque jalon et cible</w:t>
            </w:r>
          </w:p>
        </w:tc>
      </w:tr>
      <w:tr w:rsidR="00FA40E8" w14:paraId="34E427B6" w14:textId="77777777">
        <w:trPr>
          <w:tblHeader/>
        </w:trPr>
        <w:tc>
          <w:tcPr>
            <w:tcW w:w="534" w:type="dxa"/>
            <w:vMerge/>
            <w:tcBorders>
              <w:top w:val="single" w:sz="4" w:space="0" w:color="auto"/>
              <w:left w:val="single" w:sz="4" w:space="0" w:color="auto"/>
              <w:bottom w:val="single" w:sz="4" w:space="0" w:color="auto"/>
              <w:right w:val="single" w:sz="4" w:space="0" w:color="auto"/>
            </w:tcBorders>
          </w:tcPr>
          <w:p w14:paraId="618999F0" w14:textId="77777777" w:rsidR="00FA40E8" w:rsidRDefault="00FA40E8">
            <w:pPr>
              <w:spacing w:before="60" w:after="60"/>
              <w:jc w:val="center"/>
              <w:rPr>
                <w:rFonts w:ascii="Times New Roman" w:hAnsi="Times New Roman" w:cs="Times New Roman"/>
                <w:b/>
                <w:noProof/>
                <w:sz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6E3687F" w14:textId="77777777" w:rsidR="00FA40E8" w:rsidRDefault="00FA40E8">
            <w:pPr>
              <w:spacing w:before="60" w:after="60"/>
              <w:rPr>
                <w:rFonts w:ascii="Times New Roman" w:hAnsi="Times New Roman" w:cs="Times New Roman"/>
                <w:b/>
                <w:noProof/>
                <w:sz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D2CC7F3" w14:textId="77777777" w:rsidR="00FA40E8" w:rsidRDefault="00FA40E8">
            <w:pPr>
              <w:spacing w:before="60" w:after="60"/>
              <w:jc w:val="center"/>
              <w:rPr>
                <w:rFonts w:ascii="Times New Roman" w:hAnsi="Times New Roman" w:cs="Times New Roman"/>
                <w:b/>
                <w:noProof/>
                <w:sz w:val="20"/>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09FF79D7" w14:textId="77777777" w:rsidR="00FA40E8" w:rsidRDefault="00FA40E8">
            <w:pPr>
              <w:spacing w:before="60" w:after="60"/>
              <w:rPr>
                <w:rFonts w:ascii="Times New Roman" w:hAnsi="Times New Roman" w:cs="Times New Roman"/>
                <w:b/>
                <w:noProof/>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28F1E84D" w14:textId="77777777" w:rsidR="00FA40E8" w:rsidRDefault="00FA40E8">
            <w:pPr>
              <w:spacing w:before="60" w:after="60"/>
              <w:rPr>
                <w:rFonts w:ascii="Times New Roman" w:hAnsi="Times New Roman" w:cs="Times New Roman"/>
                <w:b/>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369987A" w14:textId="77777777" w:rsidR="00FA40E8" w:rsidRDefault="00E74AE8">
            <w:pPr>
              <w:pStyle w:val="P68B1DB1-Normal9"/>
              <w:spacing w:before="60" w:after="60"/>
              <w:jc w:val="center"/>
              <w:rPr>
                <w:rFonts w:cs="Times New Roman"/>
                <w:noProof/>
              </w:rPr>
            </w:pPr>
            <w:r>
              <w:rPr>
                <w:noProof/>
              </w:rPr>
              <w:t>Unité</w:t>
            </w:r>
          </w:p>
        </w:tc>
        <w:tc>
          <w:tcPr>
            <w:tcW w:w="93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50B7D99" w14:textId="77777777" w:rsidR="00FA40E8" w:rsidRDefault="00E74AE8">
            <w:pPr>
              <w:pStyle w:val="P68B1DB1-Normal9"/>
              <w:spacing w:before="60" w:after="60"/>
              <w:jc w:val="center"/>
              <w:rPr>
                <w:rFonts w:cs="Times New Roman"/>
                <w:noProof/>
              </w:rPr>
            </w:pPr>
            <w:r>
              <w:rPr>
                <w:noProof/>
              </w:rPr>
              <w:t>Niveau de référence</w:t>
            </w:r>
          </w:p>
        </w:tc>
        <w:tc>
          <w:tcPr>
            <w:tcW w:w="91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4DE4B66" w14:textId="77777777" w:rsidR="00FA40E8" w:rsidRDefault="00E74AE8">
            <w:pPr>
              <w:pStyle w:val="P68B1DB1-Normal9"/>
              <w:spacing w:before="60" w:after="60"/>
              <w:jc w:val="center"/>
              <w:rPr>
                <w:rFonts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FF4259" w14:textId="77777777" w:rsidR="00FA40E8" w:rsidRDefault="00E74AE8">
            <w:pPr>
              <w:pStyle w:val="P68B1DB1-Normal9"/>
              <w:spacing w:before="60" w:after="60"/>
              <w:jc w:val="center"/>
              <w:rPr>
                <w:rFonts w:cs="Times New Roman"/>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1A13650" w14:textId="77777777" w:rsidR="00FA40E8" w:rsidRDefault="00E74AE8">
            <w:pPr>
              <w:pStyle w:val="P68B1DB1-Normal9"/>
              <w:spacing w:before="60" w:after="60"/>
              <w:jc w:val="center"/>
              <w:rPr>
                <w:rFonts w:cs="Times New Roman"/>
                <w:noProof/>
              </w:rPr>
            </w:pPr>
            <w:r>
              <w:rPr>
                <w:noProof/>
              </w:rPr>
              <w:t>Année</w:t>
            </w:r>
          </w:p>
        </w:tc>
        <w:tc>
          <w:tcPr>
            <w:tcW w:w="3974" w:type="dxa"/>
            <w:vMerge/>
            <w:tcBorders>
              <w:top w:val="single" w:sz="4" w:space="0" w:color="auto"/>
              <w:left w:val="single" w:sz="4" w:space="0" w:color="auto"/>
              <w:bottom w:val="single" w:sz="4" w:space="0" w:color="auto"/>
              <w:right w:val="single" w:sz="4" w:space="0" w:color="auto"/>
            </w:tcBorders>
            <w:vAlign w:val="center"/>
          </w:tcPr>
          <w:p w14:paraId="20AD56B5" w14:textId="77777777" w:rsidR="00FA40E8" w:rsidRDefault="00FA40E8">
            <w:pPr>
              <w:spacing w:before="60" w:after="60"/>
              <w:rPr>
                <w:rFonts w:ascii="Times New Roman" w:hAnsi="Times New Roman" w:cs="Times New Roman"/>
                <w:b/>
                <w:noProof/>
                <w:sz w:val="20"/>
              </w:rPr>
            </w:pPr>
          </w:p>
        </w:tc>
      </w:tr>
      <w:tr w:rsidR="00FA40E8" w14:paraId="5BBBFC85" w14:textId="77777777">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445046" w14:textId="6AB81402" w:rsidR="00FA40E8" w:rsidRDefault="00E74AE8">
            <w:pPr>
              <w:pStyle w:val="P68B1DB1-Normal12"/>
              <w:spacing w:before="60" w:after="60"/>
              <w:jc w:val="center"/>
              <w:rPr>
                <w:rFonts w:cs="Times New Roman"/>
                <w:noProof/>
              </w:rPr>
            </w:pPr>
            <w:r>
              <w:rPr>
                <w:noProof/>
              </w:rPr>
              <w:t>195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1284FD" w14:textId="1FC4557A" w:rsidR="00FA40E8" w:rsidRDefault="00E74AE8">
            <w:pPr>
              <w:pStyle w:val="P68B1DB1-Normal12"/>
              <w:spacing w:before="60" w:after="60"/>
              <w:rPr>
                <w:noProof/>
              </w:rPr>
            </w:pPr>
            <w:r>
              <w:rPr>
                <w:noProof/>
              </w:rPr>
              <w:t xml:space="preserve">H.1.1 Accélérer la rénovation des bâtiments </w:t>
            </w:r>
          </w:p>
          <w:p w14:paraId="25C8501E" w14:textId="15403110" w:rsidR="00FA40E8" w:rsidRDefault="00E74AE8">
            <w:pPr>
              <w:pStyle w:val="P68B1DB1-Normal12"/>
              <w:spacing w:before="60" w:after="60"/>
              <w:rPr>
                <w:rFonts w:eastAsia="Times New Roman" w:cs="Times New Roman"/>
                <w:noProof/>
              </w:rPr>
            </w:pPr>
            <w:r>
              <w:rPr>
                <w:noProof/>
              </w:rPr>
              <w:t>H.1.1.1. Mise à jour des paquets et normes de rénovation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B65BB4" w14:textId="6CBA2034" w:rsidR="00FA40E8" w:rsidRDefault="00E74AE8">
            <w:pPr>
              <w:pStyle w:val="P68B1DB1-Normal12"/>
              <w:spacing w:before="60" w:after="60"/>
              <w:jc w:val="center"/>
              <w:rPr>
                <w:rFonts w:eastAsia="Times New Roman" w:cs="Times New Roman"/>
                <w:noProof/>
              </w:rPr>
            </w:pPr>
            <w:r>
              <w:rPr>
                <w:noProof/>
              </w:rPr>
              <w:t>Étape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E8C2D6" w14:textId="3B7265B3" w:rsidR="00FA40E8" w:rsidRDefault="00E74AE8">
            <w:pPr>
              <w:pStyle w:val="P68B1DB1-Normal12"/>
              <w:spacing w:before="60" w:after="60"/>
              <w:rPr>
                <w:noProof/>
              </w:rPr>
            </w:pPr>
            <w:r>
              <w:rPr>
                <w:noProof/>
              </w:rPr>
              <w:t>Travaux préparatoires pour la rénovation des panneaux verts des bâtiments de démonstration</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87594C" w14:textId="5AA6E204" w:rsidR="00FA40E8" w:rsidRDefault="00E74AE8">
            <w:pPr>
              <w:pStyle w:val="P68B1DB1-Normal13"/>
              <w:spacing w:before="60" w:after="60"/>
              <w:rPr>
                <w:noProof/>
              </w:rPr>
            </w:pPr>
            <w:r>
              <w:rPr>
                <w:noProof/>
              </w:rPr>
              <w:t>Réalisation de travaux préparatoires pour la rénovation d</w:t>
            </w:r>
            <w:r>
              <w:rPr>
                <w:noProof/>
              </w:rPr>
              <w:t>es panneaux verts des bâtiments de démonstration</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796C03" w14:textId="56D87276" w:rsidR="00FA40E8" w:rsidRDefault="00FA40E8">
            <w:pPr>
              <w:spacing w:before="60" w:after="60"/>
              <w:jc w:val="center"/>
              <w:rPr>
                <w:rFonts w:ascii="Times New Roman" w:eastAsia="Times New Roman" w:hAnsi="Times New Roman" w:cs="Times New Roman"/>
                <w:noProof/>
                <w:sz w:val="20"/>
              </w:rPr>
            </w:pPr>
          </w:p>
        </w:tc>
        <w:tc>
          <w:tcPr>
            <w:tcW w:w="93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63179CB" w14:textId="48ABEE5C" w:rsidR="00FA40E8" w:rsidRDefault="00FA40E8">
            <w:pPr>
              <w:spacing w:before="60" w:after="60"/>
              <w:jc w:val="center"/>
              <w:rPr>
                <w:rFonts w:ascii="Times New Roman" w:eastAsia="Times New Roman" w:hAnsi="Times New Roman" w:cs="Times New Roman"/>
                <w:noProof/>
                <w:sz w:val="20"/>
              </w:rPr>
            </w:pP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1A5542" w14:textId="5F0B3560"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45B01F" w14:textId="574FAB7D" w:rsidR="00FA40E8" w:rsidRDefault="00E74AE8">
            <w:pPr>
              <w:pStyle w:val="P68B1DB1-Normal12"/>
              <w:spacing w:before="60" w:after="60"/>
              <w:jc w:val="center"/>
              <w:rPr>
                <w:rFonts w:cs="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828BB9" w14:textId="72817AF3" w:rsidR="00FA40E8" w:rsidRDefault="00E74AE8">
            <w:pPr>
              <w:pStyle w:val="P68B1DB1-Normal12"/>
              <w:spacing w:before="60" w:after="60"/>
              <w:jc w:val="center"/>
              <w:rPr>
                <w:rFonts w:eastAsia="Times New Roman" w:cs="Times New Roman"/>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614C62" w14:textId="76B2157C" w:rsidR="00FA40E8" w:rsidRDefault="00E74AE8">
            <w:pPr>
              <w:pStyle w:val="P68B1DB1-Normal12"/>
              <w:spacing w:before="60" w:after="60"/>
              <w:jc w:val="both"/>
              <w:rPr>
                <w:rFonts w:eastAsia="Calibri" w:cs="Times New Roman"/>
                <w:noProof/>
                <w:szCs w:val="22"/>
              </w:rPr>
            </w:pPr>
            <w:r>
              <w:rPr>
                <w:noProof/>
              </w:rPr>
              <w:t>1) une conception technique est élaborée et délivrée pour des projets de démonstration de rénovation de panneaux verts comprenant trois bâtiments publics et trois immeubles comprenant plusieurs ap</w:t>
            </w:r>
            <w:r>
              <w:rPr>
                <w:noProof/>
              </w:rPr>
              <w:t xml:space="preserve">partements; </w:t>
            </w:r>
          </w:p>
          <w:p w14:paraId="4F342BD3" w14:textId="28EF38E0" w:rsidR="00FA40E8" w:rsidRDefault="00E74AE8">
            <w:pPr>
              <w:pStyle w:val="P68B1DB1-Normal28"/>
              <w:spacing w:before="60" w:after="60"/>
              <w:jc w:val="both"/>
              <w:rPr>
                <w:noProof/>
              </w:rPr>
            </w:pPr>
            <w:r>
              <w:rPr>
                <w:noProof/>
              </w:rPr>
              <w:t>2) du matériel publicitaire pour la démonstration de la rénovation des panneaux est publié;</w:t>
            </w:r>
          </w:p>
          <w:p w14:paraId="588826E8" w14:textId="08EF625B" w:rsidR="00FA40E8" w:rsidRDefault="00E74AE8">
            <w:pPr>
              <w:pStyle w:val="P68B1DB1-Normal28"/>
              <w:spacing w:before="60" w:after="60"/>
              <w:jc w:val="both"/>
              <w:rPr>
                <w:noProof/>
              </w:rPr>
            </w:pPr>
            <w:r>
              <w:rPr>
                <w:noProof/>
              </w:rPr>
              <w:t>3) des lignes directrices méthodologiques pour l’application des rénovations par groupes spéciaux sont publiées;</w:t>
            </w:r>
          </w:p>
          <w:p w14:paraId="0B3718B8" w14:textId="21BEC01F" w:rsidR="00FA40E8" w:rsidRDefault="00E74AE8">
            <w:pPr>
              <w:pStyle w:val="P68B1DB1-Normal28"/>
              <w:spacing w:before="60" w:after="60"/>
              <w:jc w:val="both"/>
              <w:rPr>
                <w:rFonts w:eastAsia="Times New Roman"/>
                <w:noProof/>
              </w:rPr>
            </w:pPr>
            <w:r>
              <w:rPr>
                <w:noProof/>
              </w:rPr>
              <w:t>4) des certificats de réception par tr</w:t>
            </w:r>
            <w:r>
              <w:rPr>
                <w:noProof/>
              </w:rPr>
              <w:t>ansfert doivent être signés pour les services de conseil en conception technique faisant l’objet du marché.</w:t>
            </w:r>
          </w:p>
        </w:tc>
      </w:tr>
      <w:tr w:rsidR="00FA40E8" w14:paraId="3A4BEC2F" w14:textId="77777777">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89BC87" w14:textId="17ED5BD4" w:rsidR="00FA40E8" w:rsidRDefault="00E74AE8">
            <w:pPr>
              <w:pStyle w:val="P68B1DB1-Normal12"/>
              <w:spacing w:before="60" w:after="60"/>
              <w:jc w:val="center"/>
              <w:rPr>
                <w:rFonts w:cs="Times New Roman"/>
                <w:noProof/>
              </w:rPr>
            </w:pPr>
            <w:r>
              <w:rPr>
                <w:noProof/>
              </w:rPr>
              <w:t>196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F4BEF9" w14:textId="63E357EC" w:rsidR="00FA40E8" w:rsidRDefault="00E74AE8">
            <w:pPr>
              <w:pStyle w:val="P68B1DB1-Normal12"/>
              <w:spacing w:before="60" w:after="60"/>
              <w:rPr>
                <w:rFonts w:cs="Times New Roman"/>
                <w:noProof/>
              </w:rPr>
            </w:pPr>
            <w:r>
              <w:rPr>
                <w:noProof/>
              </w:rPr>
              <w:t>H.1.1 Accélérer la rénovation des bâtiments</w:t>
            </w:r>
          </w:p>
          <w:p w14:paraId="76125198" w14:textId="2DDD3403" w:rsidR="00FA40E8" w:rsidRDefault="00E74AE8">
            <w:pPr>
              <w:pStyle w:val="P68B1DB1-Normal12"/>
              <w:spacing w:before="60" w:after="60"/>
              <w:rPr>
                <w:rFonts w:cs="Times New Roman"/>
                <w:noProof/>
              </w:rPr>
            </w:pPr>
            <w:r>
              <w:rPr>
                <w:noProof/>
              </w:rPr>
              <w:t>H.1.1.2. Soutien à la rénovation des bâtiments (renforcement)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D12A28" w14:textId="375C0774" w:rsidR="00FA40E8" w:rsidRDefault="00E74AE8">
            <w:pPr>
              <w:pStyle w:val="P68B1DB1-Normal12"/>
              <w:spacing w:before="60" w:after="60"/>
              <w:jc w:val="center"/>
              <w:rPr>
                <w:rFonts w:cs="Times New Roman"/>
                <w:noProof/>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4B16C5" w14:textId="7E0915A7" w:rsidR="00FA40E8" w:rsidRDefault="00E74AE8">
            <w:pPr>
              <w:pStyle w:val="P68B1DB1-Normal12"/>
              <w:spacing w:before="60" w:after="60"/>
              <w:rPr>
                <w:rFonts w:cs="Times New Roman"/>
                <w:noProof/>
              </w:rPr>
            </w:pPr>
            <w:r>
              <w:rPr>
                <w:noProof/>
              </w:rPr>
              <w:t xml:space="preserve">Surface des immeubles </w:t>
            </w:r>
            <w:r>
              <w:rPr>
                <w:noProof/>
              </w:rPr>
              <w:t>comprenant plusieurs appartements rénovés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B58664" w14:textId="77777777" w:rsidR="00FA40E8" w:rsidRDefault="00FA40E8">
            <w:pPr>
              <w:spacing w:before="60" w:after="60"/>
              <w:rPr>
                <w:rFonts w:ascii="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F189DD" w14:textId="23C2CDA6" w:rsidR="00FA40E8" w:rsidRDefault="00E74AE8">
            <w:pPr>
              <w:pStyle w:val="P68B1DB1-Normal12"/>
              <w:spacing w:before="60" w:after="60"/>
              <w:jc w:val="center"/>
              <w:rPr>
                <w:rFonts w:cs="Times New Roman"/>
                <w:noProof/>
              </w:rPr>
            </w:pPr>
            <w:r>
              <w:rPr>
                <w:noProof/>
              </w:rPr>
              <w:t>m²</w:t>
            </w:r>
          </w:p>
        </w:tc>
        <w:tc>
          <w:tcPr>
            <w:tcW w:w="93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42AD77" w14:textId="43A6B36F" w:rsidR="00FA40E8" w:rsidRDefault="00E74AE8">
            <w:pPr>
              <w:pStyle w:val="P68B1DB1-Normal12"/>
              <w:spacing w:before="60" w:after="60"/>
              <w:jc w:val="center"/>
              <w:rPr>
                <w:rFonts w:cs="Times New Roman"/>
                <w:noProof/>
              </w:rPr>
            </w:pPr>
            <w:r>
              <w:rPr>
                <w:noProof/>
              </w:rPr>
              <w:t>0</w:t>
            </w: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058153" w14:textId="14AC9276" w:rsidR="00FA40E8" w:rsidRDefault="00E74AE8">
            <w:pPr>
              <w:pStyle w:val="P68B1DB1-Normal12"/>
              <w:spacing w:before="60" w:after="60"/>
              <w:jc w:val="center"/>
              <w:rPr>
                <w:rFonts w:cs="Times New Roman"/>
                <w:noProof/>
              </w:rPr>
            </w:pPr>
            <w:r>
              <w:rPr>
                <w:noProof/>
              </w:rPr>
              <w:t>346 000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F3F37DA" w14:textId="7D2CFEFF" w:rsidR="00FA40E8" w:rsidRDefault="00E74AE8">
            <w:pPr>
              <w:pStyle w:val="P68B1DB1-Normal12"/>
              <w:spacing w:before="60" w:after="60"/>
              <w:jc w:val="center"/>
              <w:rPr>
                <w:rFonts w:cs="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4E72D9" w14:textId="172D6965" w:rsidR="00FA40E8" w:rsidRDefault="00E74AE8">
            <w:pPr>
              <w:pStyle w:val="P68B1DB1-Normal12"/>
              <w:spacing w:before="60" w:after="60"/>
              <w:jc w:val="center"/>
              <w:rPr>
                <w:rFonts w:cs="Times New Roman"/>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98C1B3" w14:textId="54106456" w:rsidR="00FA40E8" w:rsidRDefault="00E74AE8">
            <w:pPr>
              <w:pStyle w:val="P68B1DB1-Normal12"/>
              <w:spacing w:before="60" w:after="60"/>
              <w:jc w:val="both"/>
              <w:rPr>
                <w:rFonts w:cs="Times New Roman"/>
                <w:noProof/>
              </w:rPr>
            </w:pPr>
            <w:r>
              <w:rPr>
                <w:noProof/>
              </w:rPr>
              <w:t>346 000 m</w:t>
            </w:r>
            <w:r>
              <w:rPr>
                <w:noProof/>
                <w:vertAlign w:val="superscript"/>
              </w:rPr>
              <w:t xml:space="preserve"> 2</w:t>
            </w:r>
            <w:r>
              <w:rPr>
                <w:noProof/>
              </w:rPr>
              <w:t xml:space="preserve"> des immeubles comprenant plusieurs appartements sont rénovés et reçoivent une compensation d’au moins 30 % en moyenne des dépenses liées aux travaux de rénovation et une compensati</w:t>
            </w:r>
            <w:r>
              <w:rPr>
                <w:noProof/>
              </w:rPr>
              <w:t>on pour la part des intérêts payés sur les prêts contractés pour financer ces rénovations dépassant un taux d’intérêt de 3 %, afin de parvenir à une réduction d’au moins 30 % de la consommation d’énergie primaire en moyenne et d’atteindre une classe d’effi</w:t>
            </w:r>
            <w:r>
              <w:rPr>
                <w:noProof/>
              </w:rPr>
              <w:t xml:space="preserve">cacité énergétique A ou B. Cinq immeubles comprenant plusieurs appartements rénovés bénéficient d’une assistance technique. </w:t>
            </w:r>
          </w:p>
        </w:tc>
      </w:tr>
      <w:tr w:rsidR="00FA40E8" w14:paraId="1B45B51C" w14:textId="77777777">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8F9ADE" w14:textId="7D9F0EB7" w:rsidR="00FA40E8" w:rsidRDefault="00E74AE8">
            <w:pPr>
              <w:pStyle w:val="P68B1DB1-Normal12"/>
              <w:spacing w:before="60" w:after="60"/>
              <w:jc w:val="center"/>
              <w:rPr>
                <w:rFonts w:cs="Times New Roman"/>
                <w:noProof/>
              </w:rPr>
            </w:pPr>
            <w:r>
              <w:rPr>
                <w:noProof/>
              </w:rPr>
              <w:t>197</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35107C" w14:textId="3806584F" w:rsidR="00FA40E8" w:rsidRDefault="00E74AE8">
            <w:pPr>
              <w:pStyle w:val="P68B1DB1-Normal12"/>
              <w:spacing w:before="60" w:after="60"/>
              <w:rPr>
                <w:rFonts w:cs="Times New Roman"/>
                <w:noProof/>
              </w:rPr>
            </w:pPr>
            <w:r>
              <w:rPr>
                <w:noProof/>
              </w:rPr>
              <w:t>H.1.2. Aide à l’achat de véhicules propres destinés à la navigation intérieure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65D15" w14:textId="0BFE9B10" w:rsidR="00FA40E8" w:rsidRDefault="00E74AE8">
            <w:pPr>
              <w:pStyle w:val="P68B1DB1-Normal12"/>
              <w:spacing w:before="60" w:after="60"/>
              <w:jc w:val="center"/>
              <w:rPr>
                <w:rFonts w:cs="Times New Roman"/>
                <w:noProof/>
              </w:rPr>
            </w:pPr>
            <w:r>
              <w:rPr>
                <w:noProof/>
              </w:rPr>
              <w:t>Étape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EDC804" w14:textId="3B7C55A8" w:rsidR="00FA40E8" w:rsidRDefault="00E74AE8">
            <w:pPr>
              <w:pStyle w:val="P68B1DB1-Normal12"/>
              <w:spacing w:before="60" w:after="60"/>
              <w:rPr>
                <w:rFonts w:cs="Times New Roman"/>
                <w:noProof/>
              </w:rPr>
            </w:pPr>
            <w:r>
              <w:rPr>
                <w:noProof/>
              </w:rPr>
              <w:t>Achat et livraison d’un bateau électrique</w:t>
            </w:r>
            <w:r>
              <w:rPr>
                <w:noProof/>
              </w:rPr>
              <w:t xml:space="preserve"> et d’une grue électrique</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1F360B" w14:textId="023CBE38" w:rsidR="00FA40E8" w:rsidRDefault="00E74AE8">
            <w:pPr>
              <w:pStyle w:val="P68B1DB1-Normal12"/>
              <w:spacing w:before="60" w:after="60"/>
              <w:rPr>
                <w:rFonts w:cs="Times New Roman"/>
                <w:noProof/>
              </w:rPr>
            </w:pPr>
            <w:r>
              <w:rPr>
                <w:noProof/>
              </w:rPr>
              <w:t>Grue électrique et navire électrique achetés et livrés</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690FC0" w14:textId="32A088D9" w:rsidR="00FA40E8" w:rsidRDefault="00FA40E8">
            <w:pPr>
              <w:spacing w:before="60" w:after="60"/>
              <w:jc w:val="center"/>
              <w:rPr>
                <w:rFonts w:ascii="Times New Roman" w:hAnsi="Times New Roman" w:cs="Times New Roman"/>
                <w:noProof/>
                <w:sz w:val="20"/>
              </w:rPr>
            </w:pPr>
          </w:p>
        </w:tc>
        <w:tc>
          <w:tcPr>
            <w:tcW w:w="93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8E04BB" w14:textId="0CA15FBF" w:rsidR="00FA40E8" w:rsidRDefault="00FA40E8">
            <w:pPr>
              <w:spacing w:before="60" w:after="60"/>
              <w:jc w:val="center"/>
              <w:rPr>
                <w:rFonts w:ascii="Times New Roman" w:hAnsi="Times New Roman" w:cs="Times New Roman"/>
                <w:noProof/>
                <w:sz w:val="20"/>
              </w:rPr>
            </w:pP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583475" w14:textId="6FC4A485" w:rsidR="00FA40E8" w:rsidRDefault="00FA40E8">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E11AA9" w14:textId="54D69135" w:rsidR="00FA40E8" w:rsidRDefault="00E74AE8">
            <w:pPr>
              <w:pStyle w:val="P68B1DB1-Normal12"/>
              <w:spacing w:before="60" w:after="60"/>
              <w:jc w:val="center"/>
              <w:rPr>
                <w:rFonts w:cs="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C89B0A" w14:textId="468D83C8" w:rsidR="00FA40E8" w:rsidRDefault="00E74AE8">
            <w:pPr>
              <w:pStyle w:val="P68B1DB1-Normal12"/>
              <w:spacing w:before="60" w:after="60"/>
              <w:jc w:val="center"/>
              <w:rPr>
                <w:rFonts w:cs="Times New Roman"/>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F099B7" w14:textId="78335A1D" w:rsidR="00FA40E8" w:rsidRDefault="00E74AE8">
            <w:pPr>
              <w:pStyle w:val="P68B1DB1-Normal12"/>
              <w:spacing w:before="60" w:after="60"/>
              <w:jc w:val="both"/>
              <w:rPr>
                <w:rFonts w:cs="Times New Roman"/>
                <w:noProof/>
              </w:rPr>
            </w:pPr>
            <w:r>
              <w:rPr>
                <w:noProof/>
              </w:rPr>
              <w:t>Achat et livraison d’une grue électrique et d’un bateau électrique.</w:t>
            </w:r>
          </w:p>
        </w:tc>
      </w:tr>
      <w:tr w:rsidR="00FA40E8" w14:paraId="580E5A63" w14:textId="77777777">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A59B04" w14:textId="329F3DA9" w:rsidR="00FA40E8" w:rsidRDefault="00E74AE8">
            <w:pPr>
              <w:pStyle w:val="P68B1DB1-Normal12"/>
              <w:spacing w:before="60" w:after="60"/>
              <w:jc w:val="center"/>
              <w:rPr>
                <w:rFonts w:eastAsia="Times New Roman" w:cs="Times New Roman"/>
                <w:noProof/>
              </w:rPr>
            </w:pPr>
            <w:r>
              <w:rPr>
                <w:noProof/>
              </w:rPr>
              <w:t>201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A400DF" w14:textId="129F6D6F" w:rsidR="00FA40E8" w:rsidRDefault="00E74AE8">
            <w:pPr>
              <w:pStyle w:val="P68B1DB1-Normal12"/>
              <w:spacing w:before="60" w:after="60"/>
              <w:rPr>
                <w:rFonts w:eastAsia="Times New Roman" w:cs="Times New Roman"/>
                <w:noProof/>
              </w:rPr>
            </w:pPr>
            <w:r>
              <w:rPr>
                <w:noProof/>
              </w:rPr>
              <w:t>H.1.3. Augmentation de la capacité de production à partir de SER</w:t>
            </w:r>
          </w:p>
          <w:p w14:paraId="6738BFBE" w14:textId="6354E932" w:rsidR="00FA40E8" w:rsidRDefault="00E74AE8">
            <w:pPr>
              <w:pStyle w:val="P68B1DB1-Normal12"/>
              <w:spacing w:before="60" w:after="60"/>
              <w:rPr>
                <w:rFonts w:eastAsia="Times New Roman" w:cs="Times New Roman"/>
                <w:noProof/>
              </w:rPr>
            </w:pPr>
            <w:r>
              <w:rPr>
                <w:noProof/>
              </w:rPr>
              <w:t xml:space="preserve">H.1.3.1. Améliorer l’environnement d’investissement pour les développeurs de SER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20CD52" w14:textId="5859E5D6" w:rsidR="00FA40E8" w:rsidRDefault="00E74AE8">
            <w:pPr>
              <w:pStyle w:val="P68B1DB1-Normal12"/>
              <w:spacing w:before="60" w:after="60"/>
              <w:jc w:val="center"/>
              <w:rPr>
                <w:rFonts w:eastAsia="Times New Roman" w:cs="Times New Roman"/>
                <w:noProof/>
              </w:rPr>
            </w:pPr>
            <w:r>
              <w:rPr>
                <w:noProof/>
              </w:rPr>
              <w:t>Étape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BDF154" w14:textId="592288B3" w:rsidR="00FA40E8" w:rsidRDefault="00E74AE8">
            <w:pPr>
              <w:pStyle w:val="P68B1DB1-Normal12"/>
              <w:spacing w:before="60" w:after="60"/>
              <w:rPr>
                <w:rFonts w:eastAsia="Times New Roman" w:cs="Times New Roman"/>
                <w:noProof/>
              </w:rPr>
            </w:pPr>
            <w:r>
              <w:rPr>
                <w:noProof/>
              </w:rPr>
              <w:t>Entrée en vigueur de la législation visant à améliorer l’environnement d’investissement pour les développeurs de SER</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C1F82B" w14:textId="18BC6BC0" w:rsidR="00FA40E8" w:rsidRDefault="00E74AE8">
            <w:pPr>
              <w:pStyle w:val="P68B1DB1-Normal13"/>
              <w:spacing w:before="60" w:after="60"/>
              <w:rPr>
                <w:noProof/>
              </w:rPr>
            </w:pPr>
            <w:r>
              <w:rPr>
                <w:noProof/>
              </w:rPr>
              <w:t>Entrée en vigueur de la législation</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5A8062" w14:textId="77777777" w:rsidR="00FA40E8" w:rsidRDefault="00FA40E8">
            <w:pPr>
              <w:spacing w:before="60" w:after="60"/>
              <w:jc w:val="center"/>
              <w:rPr>
                <w:rFonts w:ascii="Times New Roman" w:eastAsia="Times New Roman" w:hAnsi="Times New Roman" w:cs="Times New Roman"/>
                <w:noProof/>
                <w:sz w:val="20"/>
              </w:rPr>
            </w:pPr>
          </w:p>
        </w:tc>
        <w:tc>
          <w:tcPr>
            <w:tcW w:w="93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FC059F" w14:textId="77777777" w:rsidR="00FA40E8" w:rsidRDefault="00FA40E8">
            <w:pPr>
              <w:spacing w:before="60" w:after="60"/>
              <w:jc w:val="center"/>
              <w:rPr>
                <w:rFonts w:ascii="Times New Roman" w:eastAsia="Times New Roman" w:hAnsi="Times New Roman" w:cs="Times New Roman"/>
                <w:noProof/>
                <w:sz w:val="20"/>
              </w:rPr>
            </w:pP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706C52" w14:textId="77777777" w:rsidR="00FA40E8" w:rsidRDefault="00FA40E8">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F84B2D" w14:textId="49A787AA" w:rsidR="00FA40E8" w:rsidRDefault="00E74AE8">
            <w:pPr>
              <w:pStyle w:val="P68B1DB1-Normal12"/>
              <w:spacing w:before="60" w:after="60"/>
              <w:jc w:val="center"/>
              <w:rPr>
                <w:rFonts w:eastAsia="Times New Roman" w:cs="Times New Roman"/>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68B878" w14:textId="3B0C620B" w:rsidR="00FA40E8" w:rsidRDefault="00E74AE8">
            <w:pPr>
              <w:pStyle w:val="P68B1DB1-Normal12"/>
              <w:spacing w:before="60" w:after="60"/>
              <w:jc w:val="center"/>
              <w:rPr>
                <w:rFonts w:eastAsia="Times New Roman" w:cs="Times New Roman"/>
                <w:noProof/>
              </w:rPr>
            </w:pPr>
            <w:r>
              <w:rPr>
                <w:noProof/>
              </w:rPr>
              <w:t>2022</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4D00D" w14:textId="23B0DD4A" w:rsidR="00FA40E8" w:rsidRDefault="00E74AE8">
            <w:pPr>
              <w:pStyle w:val="P68B1DB1-Normal12"/>
              <w:spacing w:before="60" w:after="60"/>
              <w:jc w:val="both"/>
              <w:rPr>
                <w:rFonts w:eastAsia="Times New Roman" w:cs="Times New Roman"/>
                <w:noProof/>
              </w:rPr>
            </w:pPr>
            <w:r>
              <w:rPr>
                <w:noProof/>
              </w:rPr>
              <w:t>Entrée en vigueur de la législation visant à simplifier les exigences administratives pour le développement de centrales électriques utilisant des sources d’énergie renouvelables. La législation modifiée:</w:t>
            </w:r>
          </w:p>
          <w:p w14:paraId="06D0DFC2" w14:textId="7B228FA7" w:rsidR="00FA40E8" w:rsidRDefault="00E74AE8">
            <w:pPr>
              <w:pStyle w:val="P68B1DB1-Normal12"/>
              <w:spacing w:before="60" w:after="60"/>
              <w:jc w:val="both"/>
              <w:rPr>
                <w:rFonts w:eastAsia="Times New Roman" w:cs="Times New Roman"/>
                <w:noProof/>
              </w:rPr>
            </w:pPr>
            <w:r>
              <w:rPr>
                <w:noProof/>
              </w:rPr>
              <w:t xml:space="preserve">— Définir et réglementer les centrales électriques </w:t>
            </w:r>
            <w:r>
              <w:rPr>
                <w:noProof/>
              </w:rPr>
              <w:t>hybrides: La réforme permettra de connecter des installations hybrides de production d’énergie à partir de sources renouvelables (telles que l’énergie solaire et l’énergie éolienne) ou des installations de stockage d’énergie à un point du réseau électrique</w:t>
            </w:r>
            <w:r>
              <w:rPr>
                <w:noProof/>
              </w:rPr>
              <w:t xml:space="preserve"> sans suivre une procédure d’autorisation fondée simplement sur l’ajout de la capacité installée. Le raccordement de la centrale électrique hybride au réseau électrique est évalué sur la base d’une capacité de production autorisée au lieu de la capacité in</w:t>
            </w:r>
            <w:r>
              <w:rPr>
                <w:noProof/>
              </w:rPr>
              <w:t>stallée.</w:t>
            </w:r>
          </w:p>
          <w:p w14:paraId="2CDB49FE" w14:textId="49956972" w:rsidR="00FA40E8" w:rsidRDefault="00E74AE8">
            <w:pPr>
              <w:pStyle w:val="P68B1DB1-Normal12"/>
              <w:spacing w:before="60" w:after="60"/>
              <w:jc w:val="both"/>
              <w:rPr>
                <w:rFonts w:eastAsia="Times New Roman" w:cs="Times New Roman"/>
                <w:noProof/>
              </w:rPr>
            </w:pPr>
            <w:r>
              <w:rPr>
                <w:noProof/>
              </w:rPr>
              <w:t xml:space="preserve">— Exiger un permis de développement unique et un permis de fabrication unique pour les centrales électriques hybrides. </w:t>
            </w:r>
          </w:p>
          <w:p w14:paraId="0DC207E9" w14:textId="23EF6D5B" w:rsidR="00FA40E8" w:rsidRDefault="00E74AE8">
            <w:pPr>
              <w:pStyle w:val="P68B1DB1-Normal12"/>
              <w:spacing w:before="60" w:after="60"/>
              <w:jc w:val="both"/>
              <w:rPr>
                <w:rFonts w:eastAsia="Times New Roman" w:cs="Times New Roman"/>
                <w:noProof/>
              </w:rPr>
            </w:pPr>
            <w:r>
              <w:rPr>
                <w:noProof/>
              </w:rPr>
              <w:t>— Renoncer aux quotas de développement et de production pour les prosommateurs et pour les nouvelles centrales électriques util</w:t>
            </w:r>
            <w:r>
              <w:rPr>
                <w:noProof/>
              </w:rPr>
              <w:t xml:space="preserve">isant des sources d’énergie renouvelables jusqu’à 100 kW. </w:t>
            </w:r>
          </w:p>
          <w:p w14:paraId="49799322" w14:textId="77FE2785" w:rsidR="00FA40E8" w:rsidRDefault="00E74AE8">
            <w:pPr>
              <w:pStyle w:val="P68B1DB1-Normal12"/>
              <w:spacing w:before="60" w:after="60"/>
              <w:jc w:val="both"/>
              <w:rPr>
                <w:rFonts w:eastAsia="Times New Roman" w:cs="Times New Roman"/>
                <w:noProof/>
              </w:rPr>
            </w:pPr>
            <w:r>
              <w:rPr>
                <w:noProof/>
              </w:rPr>
              <w:t>— Limiter la durée des procédures d’octroi de permis à un an pour les nouvelles centrales utilisant des sources d’énergie renouvelables: L’octroi des trois principaux permis pour le développement d</w:t>
            </w:r>
            <w:r>
              <w:rPr>
                <w:noProof/>
              </w:rPr>
              <w:t>e centrales SER (permis pour le développement de la capacité de production d’électricité, permis de construire et permis pour la production d’électricité) ne prend pas plus d’un an pour les nouvelles centrales SER.</w:t>
            </w:r>
          </w:p>
        </w:tc>
      </w:tr>
      <w:tr w:rsidR="00FA40E8" w14:paraId="22BE6597" w14:textId="77777777">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4A8F2A" w14:textId="76DBE4A8" w:rsidR="00FA40E8" w:rsidRDefault="00E74AE8">
            <w:pPr>
              <w:pStyle w:val="P68B1DB1-Normal12"/>
              <w:spacing w:before="60" w:after="60"/>
              <w:jc w:val="center"/>
              <w:rPr>
                <w:noProof/>
              </w:rPr>
            </w:pPr>
            <w:r>
              <w:rPr>
                <w:noProof/>
              </w:rPr>
              <w:t>203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DFFB29" w14:textId="77777777" w:rsidR="00FA40E8" w:rsidRDefault="00E74AE8">
            <w:pPr>
              <w:pStyle w:val="P68B1DB1-Normal12"/>
              <w:spacing w:before="60" w:after="60"/>
              <w:rPr>
                <w:rFonts w:eastAsia="Times New Roman" w:cs="Times New Roman"/>
                <w:noProof/>
              </w:rPr>
            </w:pPr>
            <w:r>
              <w:rPr>
                <w:noProof/>
              </w:rPr>
              <w:t xml:space="preserve">H.1.3. Augmentation de la capacité </w:t>
            </w:r>
            <w:r>
              <w:rPr>
                <w:noProof/>
              </w:rPr>
              <w:t>de production à partir de SER</w:t>
            </w:r>
          </w:p>
          <w:p w14:paraId="14630717" w14:textId="26700CD8" w:rsidR="00FA40E8" w:rsidRDefault="00E74AE8">
            <w:pPr>
              <w:pStyle w:val="P68B1DB1-Normal12"/>
              <w:spacing w:before="60" w:after="60"/>
              <w:rPr>
                <w:noProof/>
              </w:rPr>
            </w:pPr>
            <w:r>
              <w:rPr>
                <w:noProof/>
              </w:rPr>
              <w:t>H.1.3.2. Soutien à la construction de centrales SER (énergie solaire)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13C61D" w14:textId="66210FA7" w:rsidR="00FA40E8" w:rsidRDefault="00E74AE8">
            <w:pPr>
              <w:pStyle w:val="P68B1DB1-Normal12"/>
              <w:spacing w:before="60" w:after="60"/>
              <w:jc w:val="center"/>
              <w:rPr>
                <w:noProof/>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A40853" w14:textId="03520EEA" w:rsidR="00FA40E8" w:rsidRDefault="00E74AE8">
            <w:pPr>
              <w:pStyle w:val="P68B1DB1-Normal12"/>
              <w:spacing w:before="60" w:after="60"/>
              <w:rPr>
                <w:noProof/>
              </w:rPr>
            </w:pPr>
            <w:r>
              <w:rPr>
                <w:noProof/>
              </w:rPr>
              <w:t>Création de nouvelles capacités de production d’énergie solaire</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E01E10" w14:textId="77777777" w:rsidR="00FA40E8" w:rsidRDefault="00FA40E8">
            <w:pPr>
              <w:spacing w:before="60" w:after="60"/>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EE1159" w14:textId="652F5A16" w:rsidR="00FA40E8" w:rsidRDefault="00E74AE8">
            <w:pPr>
              <w:pStyle w:val="P68B1DB1-Normal12"/>
              <w:spacing w:before="60" w:after="60"/>
              <w:jc w:val="center"/>
              <w:rPr>
                <w:rFonts w:eastAsia="Times New Roman" w:cs="Times New Roman"/>
                <w:noProof/>
              </w:rPr>
            </w:pPr>
            <w:r>
              <w:rPr>
                <w:noProof/>
              </w:rPr>
              <w:t>MW</w:t>
            </w:r>
          </w:p>
        </w:tc>
        <w:tc>
          <w:tcPr>
            <w:tcW w:w="93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1C4C64" w14:textId="76A85F7A" w:rsidR="00FA40E8" w:rsidRDefault="00E74AE8">
            <w:pPr>
              <w:pStyle w:val="P68B1DB1-Normal12"/>
              <w:spacing w:before="60" w:after="60"/>
              <w:jc w:val="center"/>
              <w:rPr>
                <w:rFonts w:eastAsia="Times New Roman" w:cs="Times New Roman"/>
                <w:noProof/>
              </w:rPr>
            </w:pPr>
            <w:r>
              <w:rPr>
                <w:noProof/>
              </w:rPr>
              <w:t>0</w:t>
            </w: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AB4F9F" w14:textId="2A1062D2" w:rsidR="00FA40E8" w:rsidRDefault="00E74AE8">
            <w:pPr>
              <w:pStyle w:val="P68B1DB1-Normal12"/>
              <w:spacing w:before="60" w:after="60"/>
              <w:jc w:val="center"/>
              <w:rPr>
                <w:rFonts w:eastAsia="Times New Roman" w:cs="Times New Roman"/>
                <w:noProof/>
              </w:rPr>
            </w:pPr>
            <w:r>
              <w:rPr>
                <w:noProof/>
              </w:rPr>
              <w:t>324.7</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1A88EA" w14:textId="214BD7C6" w:rsidR="00FA40E8" w:rsidRDefault="00E74AE8">
            <w:pPr>
              <w:pStyle w:val="P68B1DB1-Normal12"/>
              <w:spacing w:before="60" w:after="60"/>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03401E" w14:textId="75A18F88" w:rsidR="00FA40E8" w:rsidRDefault="00E74AE8">
            <w:pPr>
              <w:pStyle w:val="P68B1DB1-Normal12"/>
              <w:spacing w:before="60" w:after="60"/>
              <w:jc w:val="center"/>
              <w:rPr>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BF80D6" w14:textId="7F9B0EB1" w:rsidR="00FA40E8" w:rsidRDefault="00E74AE8">
            <w:pPr>
              <w:pStyle w:val="P68B1DB1-Normal12"/>
              <w:spacing w:before="60" w:after="60"/>
              <w:jc w:val="both"/>
              <w:rPr>
                <w:noProof/>
              </w:rPr>
            </w:pPr>
            <w:r>
              <w:rPr>
                <w:noProof/>
              </w:rPr>
              <w:t xml:space="preserve">Une capacité de production solaire de 324,7 MW a été installée </w:t>
            </w:r>
            <w:r>
              <w:rPr>
                <w:noProof/>
              </w:rPr>
              <w:t>et raccordée au réseau.</w:t>
            </w:r>
          </w:p>
        </w:tc>
      </w:tr>
    </w:tbl>
    <w:p w14:paraId="58547320" w14:textId="77777777" w:rsidR="00FA40E8" w:rsidRDefault="00FA40E8">
      <w:pPr>
        <w:pStyle w:val="Text1"/>
        <w:rPr>
          <w:noProof/>
        </w:rPr>
        <w:sectPr w:rsidR="00FA40E8" w:rsidSect="0074650A">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13432836" w14:textId="756081B4" w:rsidR="00FA40E8" w:rsidRDefault="00E74AE8">
      <w:pPr>
        <w:pStyle w:val="P68B1DB1-Text15"/>
        <w:keepNext/>
        <w:keepLines/>
        <w:spacing w:before="0" w:after="200" w:line="276" w:lineRule="auto"/>
        <w:ind w:left="0"/>
        <w:outlineLvl w:val="1"/>
        <w:rPr>
          <w:noProof/>
        </w:rPr>
      </w:pPr>
      <w:r>
        <w:rPr>
          <w:noProof/>
        </w:rPr>
        <w:t>H.3. Description des réformes et des investissements pour le prêt</w:t>
      </w:r>
    </w:p>
    <w:p w14:paraId="126A48F9" w14:textId="0519EF6B" w:rsidR="00FA40E8" w:rsidRDefault="00E74AE8">
      <w:pPr>
        <w:pStyle w:val="P68B1DB1-Normal6"/>
        <w:keepNext/>
        <w:keepLines/>
        <w:jc w:val="both"/>
        <w:rPr>
          <w:noProof/>
          <w:szCs w:val="24"/>
        </w:rPr>
      </w:pPr>
      <w:bookmarkStart w:id="21" w:name="_Hlk145956605"/>
      <w:r>
        <w:rPr>
          <w:noProof/>
        </w:rPr>
        <w:t xml:space="preserve">H.3.1. Investissement 1: Soutien aux centrales SER (solaires, éoliennes et hybrides terrestres) et aux installations de stockage d’électricité </w:t>
      </w:r>
    </w:p>
    <w:bookmarkEnd w:id="21"/>
    <w:p w14:paraId="097C7654" w14:textId="7A4D6A54" w:rsidR="00FA40E8" w:rsidRDefault="00E74AE8">
      <w:pPr>
        <w:pStyle w:val="P68B1DB1-Normal25"/>
        <w:spacing w:line="240" w:lineRule="auto"/>
        <w:jc w:val="both"/>
        <w:rPr>
          <w:rFonts w:eastAsia="Calibri" w:cs="Times New Roman"/>
          <w:noProof/>
          <w:sz w:val="24"/>
          <w:szCs w:val="24"/>
        </w:rPr>
      </w:pPr>
      <w:r>
        <w:rPr>
          <w:noProof/>
          <w:sz w:val="24"/>
        </w:rPr>
        <w:t>Cette mesure consiste en un investissement public dans le Fonds pour l’efficacité énergétique (la facilité), afi</w:t>
      </w:r>
      <w:r>
        <w:rPr>
          <w:noProof/>
          <w:sz w:val="24"/>
        </w:rPr>
        <w:t xml:space="preserve">n d’encourager les investissements privés et d’améliorer l’accès au financement dans le secteur lituanien des énergies renouvelables. La facilité accorde des prêts directement au secteur privé, ainsi qu’aux entités du secteur public exerçant des activités </w:t>
      </w:r>
      <w:r>
        <w:rPr>
          <w:noProof/>
          <w:sz w:val="24"/>
        </w:rPr>
        <w:t>similaires. Sur la base de l’investissement au titre de la FRR, la facilité vise initialement à fournir au moins</w:t>
      </w:r>
      <w:r>
        <w:rPr>
          <w:noProof/>
          <w:sz w:val="20"/>
        </w:rPr>
        <w:t xml:space="preserve"> </w:t>
      </w:r>
      <w:r>
        <w:rPr>
          <w:noProof/>
          <w:sz w:val="24"/>
        </w:rPr>
        <w:t>549 130 737 EUR de financement.</w:t>
      </w:r>
    </w:p>
    <w:p w14:paraId="06D42F1D" w14:textId="3A040060" w:rsidR="00FA40E8" w:rsidRDefault="00E74AE8">
      <w:pPr>
        <w:pStyle w:val="P68B1DB1-Normal4"/>
        <w:spacing w:line="240" w:lineRule="auto"/>
        <w:jc w:val="both"/>
        <w:rPr>
          <w:rFonts w:eastAsia="Calibri" w:cs="Times New Roman"/>
          <w:noProof/>
          <w:szCs w:val="24"/>
        </w:rPr>
      </w:pPr>
      <w:r>
        <w:rPr>
          <w:noProof/>
        </w:rPr>
        <w:t xml:space="preserve">La facilité est gérée par INVEGA en tant que partenaire chargé de la mise en œuvre. L’installation comprend la </w:t>
      </w:r>
      <w:r>
        <w:rPr>
          <w:noProof/>
        </w:rPr>
        <w:t>ligne de produits suivante:</w:t>
      </w:r>
    </w:p>
    <w:p w14:paraId="03EA3053" w14:textId="5AC9DFD5" w:rsidR="00FA40E8" w:rsidRDefault="00E74AE8">
      <w:pPr>
        <w:pStyle w:val="P68B1DB1-Normal4"/>
        <w:numPr>
          <w:ilvl w:val="0"/>
          <w:numId w:val="40"/>
        </w:numPr>
        <w:spacing w:after="160" w:line="259" w:lineRule="auto"/>
        <w:jc w:val="both"/>
        <w:rPr>
          <w:rFonts w:eastAsia="Calibri" w:cs="Times New Roman"/>
          <w:noProof/>
          <w:szCs w:val="24"/>
        </w:rPr>
      </w:pPr>
      <w:r>
        <w:rPr>
          <w:noProof/>
        </w:rPr>
        <w:t>Prêts directs à des entités privées (y compris des entités publiques concurrentes dans le cadre du même appel) pour financer leurs investissements dans des centrales électriques utilisant des sources d’énergie renouvelables (éol</w:t>
      </w:r>
      <w:r>
        <w:rPr>
          <w:noProof/>
        </w:rPr>
        <w:t>iennes, solaires et hybrides) et des installations de stockage d’électricité.</w:t>
      </w:r>
    </w:p>
    <w:p w14:paraId="4A4C9A5F" w14:textId="289F4644" w:rsidR="00FA40E8" w:rsidRDefault="00E74AE8">
      <w:pPr>
        <w:pStyle w:val="P68B1DB1-Normal4"/>
        <w:spacing w:line="240" w:lineRule="auto"/>
        <w:jc w:val="both"/>
        <w:rPr>
          <w:rFonts w:eastAsia="Calibri" w:cs="Times New Roman"/>
          <w:noProof/>
          <w:szCs w:val="24"/>
        </w:rPr>
      </w:pPr>
      <w:r>
        <w:rPr>
          <w:noProof/>
        </w:rPr>
        <w:t xml:space="preserve">Afin de mettre en œuvre l’investissement dans la facilité, la Lituanie et INVEGA signent un accord de financement (ou une modification d’un accord existant relatif à un fonds de </w:t>
      </w:r>
      <w:r>
        <w:rPr>
          <w:noProof/>
        </w:rPr>
        <w:t>fonds) qui comprend les éléments suivants:</w:t>
      </w:r>
    </w:p>
    <w:p w14:paraId="4F3C36D3" w14:textId="1A12150A" w:rsidR="00FA40E8" w:rsidRDefault="00E74AE8">
      <w:pPr>
        <w:pStyle w:val="P68B1DB1-Normal4"/>
        <w:numPr>
          <w:ilvl w:val="0"/>
          <w:numId w:val="44"/>
        </w:numPr>
        <w:spacing w:after="160" w:line="259" w:lineRule="auto"/>
        <w:jc w:val="both"/>
        <w:rPr>
          <w:rFonts w:eastAsia="Calibri" w:cs="Times New Roman"/>
          <w:noProof/>
          <w:szCs w:val="24"/>
        </w:rPr>
      </w:pPr>
      <w:r>
        <w:rPr>
          <w:noProof/>
        </w:rPr>
        <w:t>Description du processus décisionnel de la facilité: La décision finale d’investissement de la facilité est prise par un comité de crédit, le conseil d’administration d’INVEGA ou un autre organe de direction équiv</w:t>
      </w:r>
      <w:r>
        <w:rPr>
          <w:noProof/>
        </w:rPr>
        <w:t>alent pertinent et approuvée à la majorité des voix des membres indépendants du gouvernement.</w:t>
      </w:r>
    </w:p>
    <w:p w14:paraId="5410131E" w14:textId="37886621" w:rsidR="00FA40E8" w:rsidRDefault="00E74AE8">
      <w:pPr>
        <w:pStyle w:val="P68B1DB1-Normal4"/>
        <w:numPr>
          <w:ilvl w:val="0"/>
          <w:numId w:val="44"/>
        </w:numPr>
        <w:spacing w:after="160" w:line="259" w:lineRule="auto"/>
        <w:jc w:val="both"/>
        <w:rPr>
          <w:rFonts w:eastAsia="Calibri" w:cs="Times New Roman"/>
          <w:noProof/>
          <w:szCs w:val="24"/>
        </w:rPr>
      </w:pPr>
      <w:r>
        <w:rPr>
          <w:noProof/>
        </w:rPr>
        <w:t>Les principales exigences de la stratégie d’investissement associée,</w:t>
      </w:r>
      <w:r>
        <w:rPr>
          <w:b/>
          <w:noProof/>
        </w:rPr>
        <w:t xml:space="preserve"> </w:t>
      </w:r>
      <w:r>
        <w:rPr>
          <w:noProof/>
        </w:rPr>
        <w:t>à savoir:</w:t>
      </w:r>
    </w:p>
    <w:p w14:paraId="07BA5745" w14:textId="77777777" w:rsidR="00FA40E8" w:rsidRDefault="00E74AE8">
      <w:pPr>
        <w:pStyle w:val="P68B1DB1-Normal4"/>
        <w:numPr>
          <w:ilvl w:val="1"/>
          <w:numId w:val="2"/>
        </w:numPr>
        <w:spacing w:after="160" w:line="259" w:lineRule="auto"/>
        <w:jc w:val="both"/>
        <w:rPr>
          <w:rFonts w:eastAsia="Calibri" w:cs="Times New Roman"/>
          <w:noProof/>
          <w:szCs w:val="24"/>
        </w:rPr>
      </w:pPr>
      <w:r>
        <w:rPr>
          <w:noProof/>
        </w:rPr>
        <w:t xml:space="preserve">La description du produit financier et des bénéficiaires finaux éligibles. </w:t>
      </w:r>
    </w:p>
    <w:p w14:paraId="12B29EBA" w14:textId="06C2DBA1" w:rsidR="00FA40E8" w:rsidRDefault="00E74AE8">
      <w:pPr>
        <w:pStyle w:val="P68B1DB1-Normal4"/>
        <w:numPr>
          <w:ilvl w:val="1"/>
          <w:numId w:val="2"/>
        </w:numPr>
        <w:spacing w:after="160" w:line="259" w:lineRule="auto"/>
        <w:jc w:val="both"/>
        <w:rPr>
          <w:rFonts w:eastAsia="Calibri" w:cs="Times New Roman"/>
          <w:noProof/>
          <w:szCs w:val="24"/>
        </w:rPr>
      </w:pPr>
      <w:r>
        <w:rPr>
          <w:noProof/>
        </w:rPr>
        <w:t>L’exige</w:t>
      </w:r>
      <w:r>
        <w:rPr>
          <w:noProof/>
        </w:rPr>
        <w:t>nce que tous les investissements soutenus soient financièrement viables</w:t>
      </w:r>
      <w:r>
        <w:rPr>
          <w:b/>
          <w:noProof/>
        </w:rPr>
        <w:t>.</w:t>
      </w:r>
    </w:p>
    <w:p w14:paraId="698002EF" w14:textId="77777777" w:rsidR="00FA40E8" w:rsidRDefault="00E74AE8">
      <w:pPr>
        <w:pStyle w:val="P68B1DB1-Normal4"/>
        <w:numPr>
          <w:ilvl w:val="1"/>
          <w:numId w:val="2"/>
        </w:numPr>
        <w:spacing w:after="160" w:line="259" w:lineRule="auto"/>
        <w:jc w:val="both"/>
        <w:rPr>
          <w:rFonts w:eastAsia="Calibri" w:cs="Times New Roman"/>
          <w:noProof/>
          <w:szCs w:val="24"/>
        </w:rPr>
      </w:pPr>
      <w:r>
        <w:rPr>
          <w:noProof/>
        </w:rPr>
        <w:t>L’obligation de respecter le principe consistant à «ne pas causer de préjudice important» tel qu’énoncé dans les orientations techniques relatives au principe consistant à «ne pas cau</w:t>
      </w:r>
      <w:r>
        <w:rPr>
          <w:noProof/>
        </w:rPr>
        <w:t>ser de préjudice important» (2021/C58/01).</w:t>
      </w:r>
    </w:p>
    <w:p w14:paraId="6EFD81F5" w14:textId="77777777" w:rsidR="00FA40E8" w:rsidRDefault="00E74AE8">
      <w:pPr>
        <w:pStyle w:val="P68B1DB1-Normal4"/>
        <w:numPr>
          <w:ilvl w:val="1"/>
          <w:numId w:val="2"/>
        </w:numPr>
        <w:spacing w:after="160" w:line="259" w:lineRule="auto"/>
        <w:jc w:val="both"/>
        <w:rPr>
          <w:rFonts w:eastAsia="Calibri" w:cs="Times New Roman"/>
          <w:noProof/>
          <w:szCs w:val="24"/>
        </w:rPr>
      </w:pPr>
      <w:r>
        <w:rPr>
          <w:noProof/>
        </w:rPr>
        <w:t>L’exigence selon laquelle les bénéficiaires finaux de la facilité ne reçoivent pas de soutien d’autres instruments de l’Union pour couvrir les mêmes coûts.</w:t>
      </w:r>
    </w:p>
    <w:p w14:paraId="0E6F8CDE" w14:textId="7F6905B3" w:rsidR="00FA40E8" w:rsidRDefault="00E74AE8">
      <w:pPr>
        <w:pStyle w:val="P68B1DB1-Normal4"/>
        <w:numPr>
          <w:ilvl w:val="0"/>
          <w:numId w:val="44"/>
        </w:numPr>
        <w:spacing w:after="160" w:line="259" w:lineRule="auto"/>
        <w:jc w:val="both"/>
        <w:rPr>
          <w:rFonts w:eastAsia="Calibri" w:cs="Times New Roman"/>
          <w:noProof/>
          <w:szCs w:val="24"/>
        </w:rPr>
      </w:pPr>
      <w:r>
        <w:rPr>
          <w:noProof/>
        </w:rPr>
        <w:t>Le montant couvert par l’accord de financement (ou une mo</w:t>
      </w:r>
      <w:r>
        <w:rPr>
          <w:noProof/>
        </w:rPr>
        <w:t xml:space="preserve">dification d’un accord existant relatif à un Fonds de fonds), la structure des frais pour le partenaire chargé de la mise en œuvre et l’obligation de réinvestir les remboursements conformément à la stratégie d’investissement de la facilité, à moins qu’ils </w:t>
      </w:r>
      <w:r>
        <w:rPr>
          <w:noProof/>
        </w:rPr>
        <w:t xml:space="preserve">ne soient utilisés pour assurer le service des remboursements de prêts de la facilité pour la reprise et la résilience. </w:t>
      </w:r>
    </w:p>
    <w:p w14:paraId="687BD3AC" w14:textId="34385A8F" w:rsidR="00FA40E8" w:rsidRDefault="00E74AE8">
      <w:pPr>
        <w:pStyle w:val="P68B1DB1-Normal4"/>
        <w:numPr>
          <w:ilvl w:val="0"/>
          <w:numId w:val="44"/>
        </w:numPr>
        <w:spacing w:after="160" w:line="259" w:lineRule="auto"/>
        <w:jc w:val="both"/>
        <w:rPr>
          <w:rFonts w:eastAsia="Calibri" w:cs="Times New Roman"/>
          <w:noProof/>
          <w:szCs w:val="24"/>
        </w:rPr>
      </w:pPr>
      <w:r>
        <w:rPr>
          <w:noProof/>
        </w:rPr>
        <w:t>Exigences en matière de suivi, d’audit et de contrôle, y compris:</w:t>
      </w:r>
    </w:p>
    <w:p w14:paraId="71746212" w14:textId="2EA38194" w:rsidR="00FA40E8" w:rsidRDefault="00E74AE8">
      <w:pPr>
        <w:pStyle w:val="P68B1DB1-Normal4"/>
        <w:numPr>
          <w:ilvl w:val="1"/>
          <w:numId w:val="50"/>
        </w:numPr>
        <w:spacing w:after="160" w:line="240" w:lineRule="auto"/>
        <w:jc w:val="both"/>
        <w:rPr>
          <w:rFonts w:eastAsia="Calibri" w:cs="Times New Roman"/>
          <w:noProof/>
          <w:szCs w:val="24"/>
        </w:rPr>
      </w:pPr>
      <w:r>
        <w:rPr>
          <w:noProof/>
        </w:rPr>
        <w:t>La description des grands principes du système de suivi du partenaire</w:t>
      </w:r>
      <w:r>
        <w:rPr>
          <w:noProof/>
        </w:rPr>
        <w:t xml:space="preserve"> chargé de la mise en œuvre pour rendre compte des investissements mobilisés.</w:t>
      </w:r>
    </w:p>
    <w:p w14:paraId="18E33EA8" w14:textId="426B9708" w:rsidR="00FA40E8" w:rsidRDefault="00E74AE8">
      <w:pPr>
        <w:pStyle w:val="P68B1DB1-Normal4"/>
        <w:numPr>
          <w:ilvl w:val="1"/>
          <w:numId w:val="50"/>
        </w:numPr>
        <w:spacing w:after="160" w:line="259" w:lineRule="auto"/>
        <w:jc w:val="both"/>
        <w:rPr>
          <w:rFonts w:eastAsia="Calibri" w:cs="Times New Roman"/>
          <w:noProof/>
          <w:szCs w:val="24"/>
        </w:rPr>
      </w:pPr>
      <w:r>
        <w:rPr>
          <w:noProof/>
        </w:rPr>
        <w:t>La description des grands principes des procédures du partenaire chargé de la mise en œuvre visant à garantir la prévention, la détection et la correction de la fraude, de la cor</w:t>
      </w:r>
      <w:r>
        <w:rPr>
          <w:noProof/>
        </w:rPr>
        <w:t xml:space="preserve">ruption et des conflits d’intérêts dans les activités du partenaire chargé de la mise en œuvre. </w:t>
      </w:r>
    </w:p>
    <w:p w14:paraId="60E77F15" w14:textId="348DE6EC" w:rsidR="00FA40E8" w:rsidRDefault="00E74AE8">
      <w:pPr>
        <w:pStyle w:val="P68B1DB1-Normal4"/>
        <w:numPr>
          <w:ilvl w:val="1"/>
          <w:numId w:val="50"/>
        </w:numPr>
        <w:spacing w:after="160" w:line="259" w:lineRule="auto"/>
        <w:jc w:val="both"/>
        <w:rPr>
          <w:rFonts w:eastAsia="Calibri" w:cs="Times New Roman"/>
          <w:noProof/>
          <w:szCs w:val="24"/>
        </w:rPr>
      </w:pPr>
      <w:r>
        <w:rPr>
          <w:noProof/>
        </w:rPr>
        <w:t>L’obligation de vérifier l’éligibilité de chaque opération conformément aux exigences énoncées dans l’accord de financement (ou dans une modification d’un acco</w:t>
      </w:r>
      <w:r>
        <w:rPr>
          <w:noProof/>
        </w:rPr>
        <w:t>rd existant relatif à un fonds de fonds) avant de s’engager à financer une opération.</w:t>
      </w:r>
    </w:p>
    <w:p w14:paraId="2C03307B" w14:textId="218AFB78" w:rsidR="00FA40E8" w:rsidRDefault="00E74AE8">
      <w:pPr>
        <w:pStyle w:val="P68B1DB1-Normal4"/>
        <w:numPr>
          <w:ilvl w:val="1"/>
          <w:numId w:val="50"/>
        </w:numPr>
        <w:spacing w:after="160" w:line="259" w:lineRule="auto"/>
        <w:jc w:val="both"/>
        <w:rPr>
          <w:rFonts w:eastAsia="Calibri" w:cs="Times New Roman"/>
          <w:noProof/>
          <w:szCs w:val="24"/>
        </w:rPr>
      </w:pPr>
      <w:r>
        <w:rPr>
          <w:noProof/>
        </w:rPr>
        <w:t>L’obligation d’effectuer des contrôles ex post fondés sur les risques conformément à un plan de contrôle interne d’INVEGA. Ces contrôles visent à vérifier i) l’efficacité</w:t>
      </w:r>
      <w:r>
        <w:rPr>
          <w:noProof/>
        </w:rPr>
        <w:t xml:space="preserve"> des systèmes de contrôle d’INVEGA, y compris la détection de la fraude, de la corruption et des conflits d’intérêts; II) le respect du principe consistant à «ne pas causer de préjudice important» et des règles en matière d’aides d’État; et iii) que l’exig</w:t>
      </w:r>
      <w:r>
        <w:rPr>
          <w:noProof/>
        </w:rPr>
        <w:t>ence selon laquelle les bénéficiaires finaux de la facilité n’ont pas reçu de soutien d’autres instruments de l’Union pour couvrir les mêmes coûts est respectée. Les audits vérifient également la légalité des opérations et le respect des conditions de l’ac</w:t>
      </w:r>
      <w:r>
        <w:rPr>
          <w:noProof/>
        </w:rPr>
        <w:t xml:space="preserve">cord de financement applicable (ou d’une modification d’un accord existant relatif à un fonds de fonds). </w:t>
      </w:r>
    </w:p>
    <w:p w14:paraId="3114B05A" w14:textId="5D3BCBC5" w:rsidR="00FA40E8" w:rsidRDefault="00E74AE8">
      <w:pPr>
        <w:pStyle w:val="ListParagraph"/>
        <w:numPr>
          <w:ilvl w:val="0"/>
          <w:numId w:val="44"/>
        </w:numPr>
        <w:rPr>
          <w:rFonts w:ascii="Times New Roman" w:eastAsia="Calibri" w:hAnsi="Times New Roman" w:cs="Times New Roman"/>
          <w:noProof/>
          <w:sz w:val="24"/>
          <w:szCs w:val="24"/>
        </w:rPr>
      </w:pPr>
      <w:r>
        <w:rPr>
          <w:rFonts w:ascii="Times New Roman" w:hAnsi="Times New Roman"/>
          <w:noProof/>
          <w:sz w:val="24"/>
        </w:rPr>
        <w:t>Les exigences en matière de communication d’informations pour les investissements en faveur du climat dans le cadre de la facilité</w:t>
      </w:r>
      <w:r>
        <w:rPr>
          <w:rStyle w:val="FootnoteReference"/>
          <w:rFonts w:ascii="Times New Roman" w:eastAsia="Calibri" w:hAnsi="Times New Roman" w:cs="Times New Roman"/>
          <w:noProof/>
          <w:sz w:val="24"/>
        </w:rPr>
        <w:footnoteReference w:id="24"/>
      </w:r>
      <w:r>
        <w:rPr>
          <w:rFonts w:ascii="Times New Roman" w:hAnsi="Times New Roman"/>
          <w:noProof/>
          <w:sz w:val="24"/>
        </w:rPr>
        <w:t>.</w:t>
      </w:r>
    </w:p>
    <w:p w14:paraId="67340EB9" w14:textId="77777777" w:rsidR="00FA40E8" w:rsidRDefault="00E74AE8">
      <w:pPr>
        <w:pStyle w:val="P68B1DB1-Normal4"/>
        <w:ind w:left="360"/>
        <w:jc w:val="both"/>
        <w:rPr>
          <w:rFonts w:eastAsia="Times New Roman" w:cs="Times New Roman"/>
          <w:noProof/>
          <w:szCs w:val="24"/>
        </w:rPr>
      </w:pPr>
      <w:r>
        <w:rPr>
          <w:noProof/>
        </w:rPr>
        <w:t xml:space="preserve">La mise en œuvre </w:t>
      </w:r>
      <w:r>
        <w:rPr>
          <w:noProof/>
        </w:rPr>
        <w:t>de la mesure est achevée au plus tard le 31 août 2026.</w:t>
      </w:r>
    </w:p>
    <w:p w14:paraId="15602A59" w14:textId="77777777" w:rsidR="00FA40E8" w:rsidRDefault="00FA40E8">
      <w:pPr>
        <w:spacing w:before="120" w:after="120" w:line="240" w:lineRule="auto"/>
        <w:jc w:val="both"/>
        <w:rPr>
          <w:rFonts w:ascii="Times New Roman" w:eastAsia="Times New Roman" w:hAnsi="Times New Roman" w:cs="Times New Roman"/>
          <w:noProof/>
          <w:sz w:val="24"/>
          <w:szCs w:val="24"/>
          <w:highlight w:val="cyan"/>
        </w:rPr>
      </w:pPr>
    </w:p>
    <w:p w14:paraId="221D794A" w14:textId="7FDC7A75" w:rsidR="00FA40E8" w:rsidRDefault="00FA40E8">
      <w:pPr>
        <w:spacing w:before="120" w:after="120" w:line="240" w:lineRule="auto"/>
        <w:jc w:val="both"/>
        <w:rPr>
          <w:rFonts w:ascii="Times New Roman" w:eastAsia="Times New Roman" w:hAnsi="Times New Roman" w:cs="Times New Roman"/>
          <w:noProof/>
          <w:sz w:val="24"/>
        </w:rPr>
      </w:pPr>
    </w:p>
    <w:p w14:paraId="7F2E54FB" w14:textId="377E9C68" w:rsidR="00FA40E8" w:rsidRDefault="00FA40E8">
      <w:pPr>
        <w:pStyle w:val="Text1"/>
        <w:rPr>
          <w:noProof/>
        </w:rPr>
        <w:sectPr w:rsidR="00FA40E8" w:rsidSect="0074650A">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604B7557" w14:textId="77777777" w:rsidR="00FA40E8" w:rsidRDefault="00E74AE8">
      <w:pPr>
        <w:pStyle w:val="P68B1DB1-Text15"/>
        <w:keepNext/>
        <w:keepLines/>
        <w:spacing w:before="0" w:after="200" w:line="276" w:lineRule="auto"/>
        <w:ind w:left="0"/>
        <w:outlineLvl w:val="1"/>
        <w:rPr>
          <w:noProof/>
        </w:rPr>
      </w:pPr>
      <w:r>
        <w:rPr>
          <w:noProof/>
        </w:rPr>
        <w:t>H.4. Valeurs intermédiaires, valeurs cibles, indicateurs et calendrier de suivi et de mise en œuvre du prêt</w:t>
      </w:r>
    </w:p>
    <w:tbl>
      <w:tblPr>
        <w:tblW w:w="15283"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605"/>
        <w:gridCol w:w="1805"/>
        <w:gridCol w:w="1134"/>
        <w:gridCol w:w="1701"/>
        <w:gridCol w:w="1985"/>
        <w:gridCol w:w="708"/>
        <w:gridCol w:w="993"/>
        <w:gridCol w:w="708"/>
        <w:gridCol w:w="993"/>
        <w:gridCol w:w="850"/>
        <w:gridCol w:w="3801"/>
      </w:tblGrid>
      <w:tr w:rsidR="00FA40E8" w14:paraId="77100A5F" w14:textId="77777777">
        <w:trPr>
          <w:tblHeader/>
        </w:trPr>
        <w:tc>
          <w:tcPr>
            <w:tcW w:w="60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047D475" w14:textId="2DD4C2F9" w:rsidR="00FA40E8" w:rsidRDefault="00E74AE8">
            <w:pPr>
              <w:pStyle w:val="P68B1DB1-Normal9"/>
              <w:spacing w:before="60" w:after="60"/>
              <w:jc w:val="center"/>
              <w:rPr>
                <w:rFonts w:cs="Times New Roman"/>
                <w:noProof/>
              </w:rPr>
            </w:pPr>
            <w:r>
              <w:rPr>
                <w:noProof/>
              </w:rPr>
              <w:t>Non.</w:t>
            </w:r>
          </w:p>
        </w:tc>
        <w:tc>
          <w:tcPr>
            <w:tcW w:w="180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AE515E" w14:textId="77777777" w:rsidR="00FA40E8" w:rsidRDefault="00E74AE8">
            <w:pPr>
              <w:pStyle w:val="P68B1DB1-Normal9"/>
              <w:spacing w:before="60" w:after="60"/>
              <w:jc w:val="center"/>
              <w:rPr>
                <w:rFonts w:cs="Times New Roman"/>
                <w:noProof/>
              </w:rPr>
            </w:pPr>
            <w:r>
              <w:rPr>
                <w:noProof/>
              </w:rPr>
              <w:t xml:space="preserve">Mesure connexe (réforme ou </w:t>
            </w:r>
            <w:r>
              <w:rPr>
                <w:noProof/>
              </w:rPr>
              <w:t>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F60E95" w14:textId="52BCCB65" w:rsidR="00FA40E8" w:rsidRDefault="00E74AE8">
            <w:pPr>
              <w:pStyle w:val="P68B1DB1-Normal9"/>
              <w:spacing w:before="60" w:after="60"/>
              <w:jc w:val="center"/>
              <w:rPr>
                <w:rFonts w:cs="Times New Roman"/>
                <w:noProof/>
              </w:rPr>
            </w:pPr>
            <w:r>
              <w:rPr>
                <w:noProof/>
              </w:rPr>
              <w:t>Étape/cible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9A428C" w14:textId="77777777" w:rsidR="00FA40E8" w:rsidRDefault="00E74AE8">
            <w:pPr>
              <w:pStyle w:val="P68B1DB1-Normal9"/>
              <w:spacing w:before="60" w:after="60"/>
              <w:jc w:val="center"/>
              <w:rPr>
                <w:rFonts w:cs="Times New Roman"/>
                <w:noProof/>
              </w:rPr>
            </w:pPr>
            <w:r>
              <w:rPr>
                <w:noProof/>
              </w:rPr>
              <w:t>Titre</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F7B539" w14:textId="66DD3FD4"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qualitatifs</w:t>
            </w:r>
            <w:r>
              <w:rPr>
                <w:noProof/>
              </w:rPr>
              <w:t xml:space="preserve"> </w:t>
            </w:r>
            <w:r>
              <w:rPr>
                <w:noProof/>
              </w:rPr>
              <w:br/>
            </w:r>
            <w:r>
              <w:rPr>
                <w:rFonts w:ascii="Times New Roman" w:hAnsi="Times New Roman"/>
                <w:b/>
                <w:noProof/>
              </w:rPr>
              <w:t>(pour les étapes)</w:t>
            </w:r>
          </w:p>
        </w:tc>
        <w:tc>
          <w:tcPr>
            <w:tcW w:w="2409"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FF026AC" w14:textId="77777777" w:rsidR="00FA40E8" w:rsidRDefault="00E74AE8">
            <w:pPr>
              <w:pStyle w:val="P68B1DB1-Normal10"/>
              <w:spacing w:before="60" w:after="60"/>
              <w:jc w:val="center"/>
              <w:rPr>
                <w:rFonts w:ascii="Times New Roman" w:hAnsi="Times New Roman" w:cs="Times New Roman"/>
                <w:b/>
                <w:noProof/>
              </w:rPr>
            </w:pPr>
            <w:r>
              <w:rPr>
                <w:rFonts w:ascii="Times New Roman" w:hAnsi="Times New Roman"/>
                <w:b/>
                <w:noProof/>
              </w:rPr>
              <w:t>Indicateurs quantitatifs</w:t>
            </w:r>
            <w:r>
              <w:rPr>
                <w:noProof/>
              </w:rPr>
              <w:t xml:space="preserve"> </w:t>
            </w:r>
            <w:r>
              <w:rPr>
                <w:noProof/>
              </w:rPr>
              <w:br/>
            </w:r>
            <w:r>
              <w:rPr>
                <w:rFonts w:ascii="Times New Roman" w:hAnsi="Times New Roman"/>
                <w:b/>
                <w:noProof/>
              </w:rPr>
              <w:t>(pour les objectifs)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085B98" w14:textId="48FE3F0D" w:rsidR="00FA40E8" w:rsidRDefault="00E74AE8">
            <w:pPr>
              <w:pStyle w:val="P68B1DB1-Normal9"/>
              <w:spacing w:before="60" w:after="60"/>
              <w:jc w:val="center"/>
              <w:rPr>
                <w:rFonts w:cs="Times New Roman"/>
                <w:noProof/>
              </w:rPr>
            </w:pPr>
            <w:r>
              <w:rPr>
                <w:noProof/>
              </w:rPr>
              <w:t>Calendrier indicatif d’achèvement</w:t>
            </w:r>
          </w:p>
        </w:tc>
        <w:tc>
          <w:tcPr>
            <w:tcW w:w="38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AAE9828" w14:textId="77777777" w:rsidR="00FA40E8" w:rsidRDefault="00E74AE8">
            <w:pPr>
              <w:pStyle w:val="P68B1DB1-Normal9"/>
              <w:spacing w:before="60" w:after="60"/>
              <w:jc w:val="center"/>
              <w:rPr>
                <w:rFonts w:cs="Times New Roman"/>
                <w:noProof/>
              </w:rPr>
            </w:pPr>
            <w:r>
              <w:rPr>
                <w:noProof/>
              </w:rPr>
              <w:t>Description et définition claire de chaque jalon et cible</w:t>
            </w:r>
          </w:p>
        </w:tc>
      </w:tr>
      <w:tr w:rsidR="00FA40E8" w14:paraId="398F3760" w14:textId="77777777">
        <w:trPr>
          <w:tblHeader/>
        </w:trPr>
        <w:tc>
          <w:tcPr>
            <w:tcW w:w="605" w:type="dxa"/>
            <w:vMerge/>
            <w:tcBorders>
              <w:top w:val="single" w:sz="4" w:space="0" w:color="auto"/>
              <w:left w:val="single" w:sz="4" w:space="0" w:color="auto"/>
              <w:bottom w:val="single" w:sz="4" w:space="0" w:color="auto"/>
              <w:right w:val="single" w:sz="4" w:space="0" w:color="auto"/>
            </w:tcBorders>
            <w:vAlign w:val="center"/>
          </w:tcPr>
          <w:p w14:paraId="3D6AE888" w14:textId="77777777" w:rsidR="00FA40E8" w:rsidRDefault="00FA40E8">
            <w:pPr>
              <w:spacing w:before="60" w:after="60"/>
              <w:jc w:val="center"/>
              <w:rPr>
                <w:rFonts w:ascii="Times New Roman" w:hAnsi="Times New Roman" w:cs="Times New Roman"/>
                <w:b/>
                <w:noProof/>
                <w:sz w:val="20"/>
              </w:rPr>
            </w:pPr>
          </w:p>
        </w:tc>
        <w:tc>
          <w:tcPr>
            <w:tcW w:w="1805" w:type="dxa"/>
            <w:vMerge/>
            <w:tcBorders>
              <w:top w:val="single" w:sz="4" w:space="0" w:color="auto"/>
              <w:left w:val="single" w:sz="4" w:space="0" w:color="auto"/>
              <w:bottom w:val="single" w:sz="4" w:space="0" w:color="auto"/>
              <w:right w:val="single" w:sz="4" w:space="0" w:color="auto"/>
            </w:tcBorders>
            <w:vAlign w:val="center"/>
          </w:tcPr>
          <w:p w14:paraId="4967735C" w14:textId="77777777" w:rsidR="00FA40E8" w:rsidRDefault="00FA40E8">
            <w:pPr>
              <w:spacing w:before="60" w:after="60"/>
              <w:rPr>
                <w:rFonts w:ascii="Times New Roman" w:hAnsi="Times New Roman" w:cs="Times New Roman"/>
                <w:b/>
                <w:noProof/>
                <w:sz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0C174FA" w14:textId="77777777" w:rsidR="00FA40E8" w:rsidRDefault="00FA40E8">
            <w:pPr>
              <w:spacing w:before="60" w:after="60"/>
              <w:jc w:val="center"/>
              <w:rPr>
                <w:rFonts w:ascii="Times New Roman" w:hAnsi="Times New Roman" w:cs="Times New Roman"/>
                <w:b/>
                <w:noProof/>
                <w:sz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8B16B85" w14:textId="77777777" w:rsidR="00FA40E8" w:rsidRDefault="00FA40E8">
            <w:pPr>
              <w:spacing w:before="60" w:after="60"/>
              <w:rPr>
                <w:rFonts w:ascii="Times New Roman" w:hAnsi="Times New Roman" w:cs="Times New Roman"/>
                <w:b/>
                <w:noProof/>
                <w:sz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97698D9" w14:textId="77777777" w:rsidR="00FA40E8" w:rsidRDefault="00FA40E8">
            <w:pPr>
              <w:spacing w:before="60" w:after="60"/>
              <w:rPr>
                <w:rFonts w:ascii="Times New Roman" w:hAnsi="Times New Roman" w:cs="Times New Roman"/>
                <w:b/>
                <w:noProof/>
                <w:sz w:val="20"/>
              </w:rPr>
            </w:pPr>
          </w:p>
        </w:tc>
        <w:tc>
          <w:tcPr>
            <w:tcW w:w="70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D273E8" w14:textId="77777777" w:rsidR="00FA40E8" w:rsidRDefault="00E74AE8">
            <w:pPr>
              <w:pStyle w:val="P68B1DB1-Normal9"/>
              <w:spacing w:before="60" w:after="60"/>
              <w:jc w:val="center"/>
              <w:rPr>
                <w:rFonts w:cs="Times New Roman"/>
                <w:noProof/>
              </w:rPr>
            </w:pPr>
            <w:r>
              <w:rPr>
                <w:noProof/>
              </w:rPr>
              <w:t>Unité</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B5522B" w14:textId="77777777" w:rsidR="00FA40E8" w:rsidRDefault="00E74AE8">
            <w:pPr>
              <w:pStyle w:val="P68B1DB1-Normal9"/>
              <w:spacing w:before="60" w:after="60"/>
              <w:jc w:val="center"/>
              <w:rPr>
                <w:rFonts w:cs="Times New Roman"/>
                <w:noProof/>
              </w:rPr>
            </w:pPr>
            <w:r>
              <w:rPr>
                <w:noProof/>
              </w:rPr>
              <w:t>Niveau de référence</w:t>
            </w:r>
          </w:p>
        </w:tc>
        <w:tc>
          <w:tcPr>
            <w:tcW w:w="70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81DE8A7" w14:textId="77777777" w:rsidR="00FA40E8" w:rsidRDefault="00E74AE8">
            <w:pPr>
              <w:pStyle w:val="P68B1DB1-Normal9"/>
              <w:spacing w:before="60" w:after="60"/>
              <w:jc w:val="center"/>
              <w:rPr>
                <w:rFonts w:cs="Times New Roman"/>
                <w:noProof/>
              </w:rPr>
            </w:pPr>
            <w:r>
              <w:rPr>
                <w:noProof/>
              </w:rPr>
              <w:t>Objectif</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732EE0" w14:textId="77777777" w:rsidR="00FA40E8" w:rsidRDefault="00E74AE8">
            <w:pPr>
              <w:pStyle w:val="P68B1DB1-Normal9"/>
              <w:spacing w:before="60" w:after="60"/>
              <w:jc w:val="center"/>
              <w:rPr>
                <w:rFonts w:cs="Times New Roman"/>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3DA29E9" w14:textId="77777777" w:rsidR="00FA40E8" w:rsidRDefault="00E74AE8">
            <w:pPr>
              <w:pStyle w:val="P68B1DB1-Normal9"/>
              <w:spacing w:before="60" w:after="60"/>
              <w:jc w:val="center"/>
              <w:rPr>
                <w:rFonts w:cs="Times New Roman"/>
                <w:noProof/>
              </w:rPr>
            </w:pPr>
            <w:r>
              <w:rPr>
                <w:noProof/>
              </w:rPr>
              <w:t>Année</w:t>
            </w:r>
          </w:p>
        </w:tc>
        <w:tc>
          <w:tcPr>
            <w:tcW w:w="3801" w:type="dxa"/>
            <w:vMerge/>
            <w:tcBorders>
              <w:top w:val="single" w:sz="4" w:space="0" w:color="auto"/>
              <w:left w:val="single" w:sz="4" w:space="0" w:color="auto"/>
              <w:bottom w:val="single" w:sz="4" w:space="0" w:color="auto"/>
              <w:right w:val="single" w:sz="4" w:space="0" w:color="auto"/>
            </w:tcBorders>
            <w:vAlign w:val="center"/>
          </w:tcPr>
          <w:p w14:paraId="63867DA6" w14:textId="77777777" w:rsidR="00FA40E8" w:rsidRDefault="00FA40E8">
            <w:pPr>
              <w:spacing w:before="60" w:after="60"/>
              <w:rPr>
                <w:rFonts w:ascii="Times New Roman" w:hAnsi="Times New Roman" w:cs="Times New Roman"/>
                <w:b/>
                <w:noProof/>
                <w:sz w:val="20"/>
              </w:rPr>
            </w:pPr>
          </w:p>
        </w:tc>
      </w:tr>
      <w:tr w:rsidR="00FA40E8" w14:paraId="682821F5" w14:textId="77777777">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D36A0F" w14:textId="4CCB21E4" w:rsidR="00FA40E8" w:rsidRDefault="00E74AE8">
            <w:pPr>
              <w:pStyle w:val="P68B1DB1-Normal12"/>
              <w:spacing w:before="60" w:after="60"/>
              <w:jc w:val="center"/>
              <w:rPr>
                <w:rFonts w:eastAsia="Times New Roman" w:cs="Times New Roman"/>
                <w:noProof/>
              </w:rPr>
            </w:pPr>
            <w:r>
              <w:rPr>
                <w:noProof/>
              </w:rPr>
              <w:t>204</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98BFC7" w14:textId="0D9CD58F" w:rsidR="00FA40E8" w:rsidRDefault="00E74AE8">
            <w:pPr>
              <w:pStyle w:val="P68B1DB1-Normal12"/>
              <w:spacing w:before="60" w:after="60"/>
              <w:rPr>
                <w:rFonts w:eastAsia="Times New Roman" w:cs="Times New Roman"/>
                <w:noProof/>
              </w:rPr>
            </w:pPr>
            <w:r>
              <w:rPr>
                <w:noProof/>
              </w:rPr>
              <w:t>H.3.1. Soutien à l’investissement dans les centrales SER (solaire, éolienne et hybride terrestres) et les installations de stockage d’électricité</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021892" w14:textId="4639D841" w:rsidR="00FA40E8" w:rsidRDefault="00E74AE8">
            <w:pPr>
              <w:pStyle w:val="P68B1DB1-Normal12"/>
              <w:spacing w:before="60" w:after="60"/>
              <w:jc w:val="center"/>
              <w:rPr>
                <w:rFonts w:eastAsia="Times New Roman"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758CCD" w14:textId="5A051BB5" w:rsidR="00FA40E8" w:rsidRDefault="00E74AE8">
            <w:pPr>
              <w:pStyle w:val="P68B1DB1-Normal12"/>
              <w:spacing w:before="60" w:after="60"/>
              <w:rPr>
                <w:rFonts w:eastAsia="Times New Roman" w:cs="Times New Roman"/>
                <w:noProof/>
              </w:rPr>
            </w:pPr>
            <w:r>
              <w:rPr>
                <w:noProof/>
              </w:rPr>
              <w:t>Accord de financement (ou modification d’un accord existant relatif à un Fonds de</w:t>
            </w:r>
            <w:r>
              <w:rPr>
                <w:noProof/>
              </w:rPr>
              <w:t xml:space="preserve"> fonds)</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A786BC" w14:textId="1104D21D" w:rsidR="00FA40E8" w:rsidRDefault="00E74AE8">
            <w:pPr>
              <w:pStyle w:val="P68B1DB1-Normal12"/>
              <w:spacing w:before="60" w:after="60"/>
              <w:rPr>
                <w:rFonts w:eastAsia="Times New Roman" w:cs="Times New Roman"/>
                <w:noProof/>
              </w:rPr>
            </w:pPr>
            <w:r>
              <w:rPr>
                <w:noProof/>
              </w:rPr>
              <w:t>Entrée en vigueur de l’accord de financement (ou d’une modification d’un accord existant relatif à un fonds de fonds)</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E8DAA6" w14:textId="22E5634D" w:rsidR="00FA40E8" w:rsidRDefault="00FA40E8">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18F1FD" w14:textId="75824D88" w:rsidR="00FA40E8" w:rsidRDefault="00FA40E8">
            <w:pPr>
              <w:spacing w:before="60" w:after="60"/>
              <w:jc w:val="center"/>
              <w:rPr>
                <w:rFonts w:ascii="Times New Roman" w:eastAsia="Times New Roman" w:hAnsi="Times New Roman" w:cs="Times New Roman"/>
                <w:noProof/>
                <w:sz w:val="20"/>
              </w:rPr>
            </w:pP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084F07" w14:textId="7E434385" w:rsidR="00FA40E8" w:rsidRDefault="00FA40E8">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CC8A66" w14:textId="4A35EEF2" w:rsidR="00FA40E8" w:rsidRDefault="00E74AE8">
            <w:pPr>
              <w:pStyle w:val="P68B1DB1-Normal12"/>
              <w:spacing w:before="60" w:after="60"/>
              <w:jc w:val="center"/>
              <w:rPr>
                <w:rFonts w:eastAsia="Times New Roman"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E63023" w14:textId="6F992B0C" w:rsidR="00FA40E8" w:rsidRDefault="00E74AE8">
            <w:pPr>
              <w:pStyle w:val="P68B1DB1-Normal12"/>
              <w:spacing w:before="60" w:after="60"/>
              <w:jc w:val="center"/>
              <w:rPr>
                <w:rFonts w:eastAsia="Times New Roman" w:cs="Times New Roman"/>
                <w:noProof/>
              </w:rPr>
            </w:pPr>
            <w:r>
              <w:rPr>
                <w:noProof/>
              </w:rPr>
              <w:t>2023</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D19AB0" w14:textId="00FD5078" w:rsidR="00FA40E8" w:rsidRDefault="00E74AE8">
            <w:pPr>
              <w:pStyle w:val="P68B1DB1-Normal12"/>
              <w:spacing w:before="60" w:after="60"/>
              <w:jc w:val="both"/>
              <w:rPr>
                <w:rFonts w:eastAsia="Times New Roman" w:cs="Times New Roman"/>
                <w:noProof/>
              </w:rPr>
            </w:pPr>
            <w:r>
              <w:rPr>
                <w:noProof/>
              </w:rPr>
              <w:t>Entrée en vigueur de l’accord de financement (ou d’une modification d’un accord existant relatif à un fonds de fonds).</w:t>
            </w:r>
          </w:p>
        </w:tc>
      </w:tr>
      <w:tr w:rsidR="00FA40E8" w14:paraId="48EB5FAE" w14:textId="77777777">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C9CF50" w14:textId="30FED4F4" w:rsidR="00FA40E8" w:rsidRDefault="00E74AE8">
            <w:pPr>
              <w:pStyle w:val="P68B1DB1-Normal12"/>
              <w:spacing w:before="60" w:after="60"/>
              <w:jc w:val="center"/>
              <w:rPr>
                <w:rFonts w:eastAsia="Times New Roman" w:cs="Times New Roman"/>
                <w:noProof/>
              </w:rPr>
            </w:pPr>
            <w:r>
              <w:rPr>
                <w:noProof/>
              </w:rPr>
              <w:t>205</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1AC4BE" w14:textId="54B986FF" w:rsidR="00FA40E8" w:rsidRDefault="00E74AE8">
            <w:pPr>
              <w:pStyle w:val="P68B1DB1-Normal12"/>
              <w:spacing w:before="60" w:after="60"/>
              <w:rPr>
                <w:rFonts w:eastAsia="Times New Roman" w:cs="Times New Roman"/>
                <w:noProof/>
              </w:rPr>
            </w:pPr>
            <w:r>
              <w:rPr>
                <w:noProof/>
              </w:rPr>
              <w:t>H.3.1. Soutien à l’investissement dans les centrales SER (solaire, éolienne et hybride terrestres) et les installations de stockage d’électricité</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785035" w14:textId="5460FFDB" w:rsidR="00FA40E8" w:rsidRDefault="00E74AE8">
            <w:pPr>
              <w:pStyle w:val="P68B1DB1-Normal12"/>
              <w:spacing w:before="60" w:after="60"/>
              <w:jc w:val="center"/>
              <w:rPr>
                <w:rFonts w:eastAsia="Times New Roman"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028BD5" w14:textId="22A4D1DE" w:rsidR="00FA40E8" w:rsidRDefault="00E74AE8">
            <w:pPr>
              <w:pStyle w:val="P68B1DB1-Normal12"/>
              <w:spacing w:before="60" w:after="60"/>
              <w:rPr>
                <w:rFonts w:eastAsia="Calibri" w:cs="Times New Roman"/>
                <w:noProof/>
              </w:rPr>
            </w:pPr>
            <w:r>
              <w:rPr>
                <w:noProof/>
              </w:rPr>
              <w:t>Publication de l’appel à candidatures par l’institution nationale de développement</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9E56BE" w14:textId="23969142" w:rsidR="00FA40E8" w:rsidRDefault="00E74AE8">
            <w:pPr>
              <w:pStyle w:val="P68B1DB1-Normal12"/>
              <w:spacing w:before="60" w:after="60"/>
              <w:rPr>
                <w:rFonts w:eastAsia="Calibri" w:cs="Times New Roman"/>
                <w:noProof/>
              </w:rPr>
            </w:pPr>
            <w:r>
              <w:rPr>
                <w:noProof/>
              </w:rPr>
              <w:t xml:space="preserve">Publication de l’appel </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F98A6A" w14:textId="34998550" w:rsidR="00FA40E8" w:rsidRDefault="00FA40E8">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884CBD" w14:textId="74F7CD3D" w:rsidR="00FA40E8" w:rsidRDefault="00FA40E8">
            <w:pPr>
              <w:spacing w:before="60" w:after="60"/>
              <w:jc w:val="center"/>
              <w:rPr>
                <w:rFonts w:ascii="Times New Roman" w:eastAsia="Times New Roman" w:hAnsi="Times New Roman" w:cs="Times New Roman"/>
                <w:noProof/>
                <w:sz w:val="20"/>
              </w:rPr>
            </w:pP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023977" w14:textId="6EB3FE43" w:rsidR="00FA40E8" w:rsidRDefault="00FA40E8">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347877" w14:textId="17A594EF" w:rsidR="00FA40E8" w:rsidRDefault="00E74AE8">
            <w:pPr>
              <w:pStyle w:val="P68B1DB1-Normal12"/>
              <w:spacing w:before="60" w:after="60"/>
              <w:jc w:val="center"/>
              <w:rPr>
                <w:rFonts w:eastAsia="Times New Roman"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22F59D" w14:textId="6C55EF78" w:rsidR="00FA40E8" w:rsidRDefault="00E74AE8">
            <w:pPr>
              <w:pStyle w:val="P68B1DB1-Normal12"/>
              <w:spacing w:before="60" w:after="60"/>
              <w:jc w:val="center"/>
              <w:rPr>
                <w:rFonts w:eastAsia="Times New Roman" w:cs="Times New Roman"/>
                <w:noProof/>
              </w:rPr>
            </w:pPr>
            <w:r>
              <w:rPr>
                <w:noProof/>
              </w:rPr>
              <w:t>2024</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020B84" w14:textId="1104CC56" w:rsidR="00FA40E8" w:rsidRDefault="00E74AE8">
            <w:pPr>
              <w:pStyle w:val="P68B1DB1-Normal12"/>
              <w:spacing w:before="60" w:after="60"/>
              <w:jc w:val="both"/>
              <w:rPr>
                <w:rFonts w:eastAsia="Times New Roman" w:cs="Times New Roman"/>
                <w:noProof/>
              </w:rPr>
            </w:pPr>
            <w:r>
              <w:rPr>
                <w:noProof/>
              </w:rPr>
              <w:t>INVEGA lance un appel pour que les entités privées (y compris les entités publiques concurrentes dans le cadre du même appel) soumettent des demandes de prêts conformément aux exigences spécifiées dans la description de l</w:t>
            </w:r>
            <w:r>
              <w:rPr>
                <w:noProof/>
              </w:rPr>
              <w:t>a mesure.</w:t>
            </w:r>
          </w:p>
        </w:tc>
      </w:tr>
      <w:tr w:rsidR="00FA40E8" w14:paraId="29252031" w14:textId="77777777">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0B1110" w14:textId="66DB1FBC" w:rsidR="00FA40E8" w:rsidRDefault="00E74AE8">
            <w:pPr>
              <w:pStyle w:val="P68B1DB1-Normal12"/>
              <w:spacing w:before="60" w:after="60"/>
              <w:jc w:val="center"/>
              <w:rPr>
                <w:rFonts w:eastAsia="Times New Roman" w:cs="Times New Roman"/>
                <w:noProof/>
              </w:rPr>
            </w:pPr>
            <w:r>
              <w:rPr>
                <w:noProof/>
              </w:rPr>
              <w:t>206</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9A8659" w14:textId="6C7CB961" w:rsidR="00FA40E8" w:rsidRDefault="00E74AE8">
            <w:pPr>
              <w:pStyle w:val="P68B1DB1-Normal12"/>
              <w:spacing w:before="60" w:after="60"/>
              <w:rPr>
                <w:rFonts w:eastAsia="Times New Roman" w:cs="Times New Roman"/>
                <w:noProof/>
              </w:rPr>
            </w:pPr>
            <w:r>
              <w:rPr>
                <w:noProof/>
              </w:rPr>
              <w:t>H.3.1. Soutien à l’investissement dans les centrales SER (solaire, éolienne et hybride terrestres) et les installations de stockage d’électricité</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210822" w14:textId="4F93FBE5" w:rsidR="00FA40E8" w:rsidRDefault="00E74AE8">
            <w:pPr>
              <w:pStyle w:val="P68B1DB1-Normal12"/>
              <w:spacing w:before="60" w:after="60"/>
              <w:jc w:val="center"/>
              <w:rPr>
                <w:rFonts w:eastAsia="Times New Roman"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41C74F" w14:textId="5F776364" w:rsidR="00FA40E8" w:rsidRDefault="00E74AE8">
            <w:pPr>
              <w:pStyle w:val="P68B1DB1-Normal12"/>
              <w:spacing w:before="60" w:after="60"/>
              <w:rPr>
                <w:rFonts w:eastAsia="Times New Roman" w:cs="Times New Roman"/>
                <w:noProof/>
              </w:rPr>
            </w:pPr>
            <w:r>
              <w:rPr>
                <w:noProof/>
              </w:rPr>
              <w:t>Accords juridiques signés avec les bénéficiaires finaux</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87FC11" w14:textId="518C3940" w:rsidR="00FA40E8" w:rsidRDefault="00FA40E8">
            <w:pPr>
              <w:spacing w:before="60" w:after="60"/>
              <w:rPr>
                <w:rFonts w:ascii="Times New Roman" w:hAnsi="Times New Roman"/>
                <w:noProof/>
                <w:sz w:val="20"/>
              </w:rPr>
            </w:pP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DDCDE7" w14:textId="24ED0CB7" w:rsidR="00FA40E8" w:rsidRDefault="00E74AE8">
            <w:pPr>
              <w:pStyle w:val="P68B1DB1-Normal12"/>
              <w:spacing w:before="60" w:after="60"/>
              <w:jc w:val="center"/>
              <w:rPr>
                <w:rFonts w:eastAsia="Times New Roman" w:cs="Times New Roman"/>
                <w:noProof/>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30D376" w14:textId="387C6413" w:rsidR="00FA40E8" w:rsidRDefault="00E74AE8">
            <w:pPr>
              <w:pStyle w:val="P68B1DB1-Normal12"/>
              <w:spacing w:before="60" w:after="60"/>
              <w:jc w:val="center"/>
              <w:rPr>
                <w:rFonts w:eastAsia="Times New Roman" w:cs="Times New Roman"/>
                <w:noProof/>
              </w:rPr>
            </w:pPr>
            <w:r>
              <w:rPr>
                <w:noProof/>
              </w:rPr>
              <w:t>0 %</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D26B8" w14:textId="5ABC1E27" w:rsidR="00FA40E8" w:rsidRDefault="00E74AE8">
            <w:pPr>
              <w:pStyle w:val="P68B1DB1-Normal12"/>
              <w:spacing w:before="60" w:after="60"/>
              <w:jc w:val="center"/>
              <w:rPr>
                <w:rFonts w:eastAsia="Times New Roman" w:cs="Times New Roman"/>
                <w:noProof/>
              </w:rPr>
            </w:pPr>
            <w:r>
              <w:rPr>
                <w:noProof/>
              </w:rPr>
              <w:t>20 %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3313F2" w14:textId="7CD4EFBB" w:rsidR="00FA40E8" w:rsidRDefault="00E74AE8">
            <w:pPr>
              <w:pStyle w:val="P68B1DB1-Normal12"/>
              <w:spacing w:before="60" w:after="60"/>
              <w:jc w:val="center"/>
              <w:rPr>
                <w:rFonts w:eastAsia="Times New Roman"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91001C" w14:textId="36A5953A" w:rsidR="00FA40E8" w:rsidRDefault="00E74AE8">
            <w:pPr>
              <w:pStyle w:val="P68B1DB1-Normal12"/>
              <w:spacing w:before="60" w:after="60"/>
              <w:jc w:val="center"/>
              <w:rPr>
                <w:rFonts w:eastAsia="Times New Roman" w:cs="Times New Roman"/>
                <w:noProof/>
              </w:rPr>
            </w:pPr>
            <w:r>
              <w:rPr>
                <w:noProof/>
              </w:rPr>
              <w:t>2025</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BDF9CF" w14:textId="355AF533" w:rsidR="00FA40E8" w:rsidRDefault="00E74AE8">
            <w:pPr>
              <w:pStyle w:val="P68B1DB1-Normal12"/>
              <w:spacing w:before="60" w:after="60"/>
              <w:jc w:val="both"/>
              <w:rPr>
                <w:rFonts w:eastAsia="Times New Roman" w:cs="Times New Roman"/>
                <w:noProof/>
              </w:rPr>
            </w:pPr>
            <w:r>
              <w:rPr>
                <w:noProof/>
              </w:rPr>
              <w:t xml:space="preserve">INVEGA a </w:t>
            </w:r>
            <w:r>
              <w:rPr>
                <w:noProof/>
              </w:rPr>
              <w:t xml:space="preserve">conclu des conventions de financement légales avec les bénéficiaires finaux pour un montant nécessaire pour utiliser au moins 20 % des investissements au titre de la FRR dans la facilité (en tenant compte des frais de gestion). </w:t>
            </w:r>
          </w:p>
        </w:tc>
      </w:tr>
      <w:tr w:rsidR="00FA40E8" w14:paraId="528CD34A" w14:textId="77777777">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39ECFF8" w14:textId="7317537F" w:rsidR="00FA40E8" w:rsidRDefault="00E74AE8">
            <w:pPr>
              <w:pStyle w:val="P68B1DB1-Normal12"/>
              <w:spacing w:before="60" w:after="60"/>
              <w:jc w:val="center"/>
              <w:rPr>
                <w:rFonts w:eastAsia="Times New Roman" w:cs="Times New Roman"/>
                <w:noProof/>
              </w:rPr>
            </w:pPr>
            <w:r>
              <w:rPr>
                <w:noProof/>
              </w:rPr>
              <w:t>207</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9D0A0C" w14:textId="07E0A8CA" w:rsidR="00FA40E8" w:rsidRDefault="00E74AE8">
            <w:pPr>
              <w:pStyle w:val="P68B1DB1-Normal12"/>
              <w:spacing w:before="60" w:after="60"/>
              <w:rPr>
                <w:rFonts w:eastAsia="Times New Roman" w:cs="Times New Roman"/>
                <w:noProof/>
              </w:rPr>
            </w:pPr>
            <w:r>
              <w:rPr>
                <w:noProof/>
              </w:rPr>
              <w:t xml:space="preserve">H.3.1. Soutien à </w:t>
            </w:r>
            <w:r>
              <w:rPr>
                <w:noProof/>
              </w:rPr>
              <w:t>l’investissement dans les centrales SER (solaire, éolienne et hybride terrestres) et les installations de stockage d’électricité</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976DF6" w14:textId="61ECC068" w:rsidR="00FA40E8" w:rsidRDefault="00E74AE8">
            <w:pPr>
              <w:pStyle w:val="P68B1DB1-Normal12"/>
              <w:spacing w:before="60" w:after="60"/>
              <w:jc w:val="center"/>
              <w:rPr>
                <w:rFonts w:eastAsia="Times New Roman"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625D17" w14:textId="6D846181" w:rsidR="00FA40E8" w:rsidRDefault="00E74AE8">
            <w:pPr>
              <w:pStyle w:val="P68B1DB1-Normal12"/>
              <w:spacing w:before="60" w:after="60"/>
              <w:rPr>
                <w:rFonts w:eastAsia="Times New Roman" w:cs="Times New Roman"/>
                <w:noProof/>
              </w:rPr>
            </w:pPr>
            <w:r>
              <w:rPr>
                <w:noProof/>
              </w:rPr>
              <w:t>Accords juridiques signés avec les bénéficiaires finaux</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9A3CAE" w14:textId="4A384ED9" w:rsidR="00FA40E8" w:rsidRDefault="00FA40E8">
            <w:pPr>
              <w:spacing w:before="60" w:after="60"/>
              <w:rPr>
                <w:rFonts w:ascii="Times New Roman" w:hAnsi="Times New Roman"/>
                <w:noProof/>
                <w:sz w:val="20"/>
              </w:rPr>
            </w:pP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16CCD4" w14:textId="2A1B15AA" w:rsidR="00FA40E8" w:rsidRDefault="00E74AE8">
            <w:pPr>
              <w:pStyle w:val="P68B1DB1-Normal13"/>
              <w:spacing w:before="60" w:after="60"/>
              <w:jc w:val="center"/>
              <w:rPr>
                <w:noProof/>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BCD741" w14:textId="5D5B656A" w:rsidR="00FA40E8" w:rsidRDefault="00E74AE8">
            <w:pPr>
              <w:pStyle w:val="P68B1DB1-Normal12"/>
              <w:spacing w:before="60" w:after="60"/>
              <w:jc w:val="center"/>
              <w:rPr>
                <w:rFonts w:eastAsia="Times New Roman" w:cs="Times New Roman"/>
                <w:noProof/>
              </w:rPr>
            </w:pPr>
            <w:r>
              <w:rPr>
                <w:noProof/>
              </w:rPr>
              <w:t>20 %</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9AA438" w14:textId="2D8CAA5C" w:rsidR="00FA40E8" w:rsidRDefault="00E74AE8">
            <w:pPr>
              <w:pStyle w:val="P68B1DB1-Normal12"/>
              <w:spacing w:before="60" w:after="60"/>
              <w:jc w:val="center"/>
              <w:rPr>
                <w:rFonts w:eastAsia="Times New Roman" w:cs="Times New Roman"/>
                <w:noProof/>
              </w:rPr>
            </w:pPr>
            <w:r>
              <w:rPr>
                <w:noProof/>
              </w:rPr>
              <w:t>100 %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9AB663" w14:textId="161D94F2" w:rsidR="00FA40E8" w:rsidRDefault="00E74AE8">
            <w:pPr>
              <w:pStyle w:val="P68B1DB1-Normal12"/>
              <w:spacing w:before="60" w:after="60"/>
              <w:jc w:val="center"/>
              <w:rPr>
                <w:rFonts w:eastAsia="Times New Roman"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53B6BA" w14:textId="07E7C8CE" w:rsidR="00FA40E8" w:rsidRDefault="00E74AE8">
            <w:pPr>
              <w:pStyle w:val="P68B1DB1-Normal12"/>
              <w:spacing w:before="60" w:after="60"/>
              <w:jc w:val="center"/>
              <w:rPr>
                <w:rFonts w:eastAsia="Times New Roman" w:cs="Times New Roman"/>
                <w:noProof/>
              </w:rPr>
            </w:pPr>
            <w:r>
              <w:rPr>
                <w:noProof/>
              </w:rPr>
              <w:t>2026</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95D158" w14:textId="77EF29C0" w:rsidR="00FA40E8" w:rsidRDefault="00E74AE8">
            <w:pPr>
              <w:pStyle w:val="P68B1DB1-Normal12"/>
              <w:spacing w:before="60" w:after="60"/>
              <w:jc w:val="both"/>
              <w:rPr>
                <w:rFonts w:eastAsia="Times New Roman" w:cs="Times New Roman"/>
                <w:noProof/>
              </w:rPr>
            </w:pPr>
            <w:r>
              <w:rPr>
                <w:noProof/>
              </w:rPr>
              <w:t>INVEGA a conclu des conventions de finan</w:t>
            </w:r>
            <w:r>
              <w:rPr>
                <w:noProof/>
              </w:rPr>
              <w:t>cement légales avec les bénéficiaires finaux pour un montant nécessaire pour utiliser 100 % des investissements au titre de la FRR dans la facilité (en tenant compte des frais de gestion).</w:t>
            </w:r>
          </w:p>
        </w:tc>
      </w:tr>
      <w:tr w:rsidR="00FA40E8" w14:paraId="30911237" w14:textId="77777777">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C275BE" w14:textId="40E28BCA" w:rsidR="00FA40E8" w:rsidRDefault="00E74AE8">
            <w:pPr>
              <w:pStyle w:val="P68B1DB1-Normal12"/>
              <w:spacing w:before="60" w:after="60"/>
              <w:jc w:val="center"/>
              <w:rPr>
                <w:rFonts w:eastAsia="Times New Roman" w:cs="Times New Roman"/>
                <w:noProof/>
              </w:rPr>
            </w:pPr>
            <w:r>
              <w:rPr>
                <w:noProof/>
              </w:rPr>
              <w:t>208</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2BE71F" w14:textId="50B80C3F" w:rsidR="00FA40E8" w:rsidRDefault="00E74AE8">
            <w:pPr>
              <w:pStyle w:val="P68B1DB1-Normal12"/>
              <w:spacing w:before="60" w:after="60"/>
              <w:rPr>
                <w:noProof/>
              </w:rPr>
            </w:pPr>
            <w:r>
              <w:rPr>
                <w:noProof/>
              </w:rPr>
              <w:t xml:space="preserve">H.3.1. Soutien à l’investissement dans les centrales SER </w:t>
            </w:r>
            <w:r>
              <w:rPr>
                <w:noProof/>
              </w:rPr>
              <w:t>(solaire, éolienne et hybride terrestres) et les installations de stockage d’électricité</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4E55B9" w14:textId="4733E9C0" w:rsidR="00FA40E8" w:rsidRDefault="00E74AE8">
            <w:pPr>
              <w:pStyle w:val="P68B1DB1-Normal12"/>
              <w:spacing w:before="60" w:after="60"/>
              <w:jc w:val="center"/>
              <w:rPr>
                <w:rFonts w:eastAsia="Times New Roman"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3B5C4A" w14:textId="190F6E7C" w:rsidR="00FA40E8" w:rsidRDefault="00E74AE8">
            <w:pPr>
              <w:pStyle w:val="P68B1DB1-Normal12"/>
              <w:spacing w:before="60" w:after="60"/>
              <w:rPr>
                <w:noProof/>
              </w:rPr>
            </w:pPr>
            <w:r>
              <w:rPr>
                <w:noProof/>
              </w:rPr>
              <w:t>Transfert de l’investissement au titre de la FRR vers la facilité</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508B07" w14:textId="3ACD4915" w:rsidR="00FA40E8" w:rsidRDefault="00E74AE8">
            <w:pPr>
              <w:pStyle w:val="P68B1DB1-Normal12"/>
              <w:spacing w:before="60" w:after="60"/>
              <w:rPr>
                <w:rFonts w:eastAsia="Times New Roman" w:cs="Times New Roman"/>
                <w:noProof/>
              </w:rPr>
            </w:pPr>
            <w:r>
              <w:rPr>
                <w:noProof/>
              </w:rPr>
              <w:t>Certificat ou autre preuve de transfert équivalente</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F26708" w14:textId="77777777" w:rsidR="00FA40E8" w:rsidRDefault="00FA40E8">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676F6E" w14:textId="77777777" w:rsidR="00FA40E8" w:rsidRDefault="00FA40E8">
            <w:pPr>
              <w:spacing w:before="60" w:after="60"/>
              <w:jc w:val="center"/>
              <w:rPr>
                <w:rFonts w:ascii="Times New Roman" w:eastAsia="Times New Roman" w:hAnsi="Times New Roman" w:cs="Times New Roman"/>
                <w:noProof/>
                <w:sz w:val="20"/>
              </w:rPr>
            </w:pP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2A9A6A" w14:textId="77777777" w:rsidR="00FA40E8" w:rsidRDefault="00FA40E8">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2AAFA" w14:textId="5AB1059F" w:rsidR="00FA40E8" w:rsidRDefault="00E74AE8">
            <w:pPr>
              <w:pStyle w:val="P68B1DB1-Normal12"/>
              <w:spacing w:before="60" w:after="60"/>
              <w:jc w:val="center"/>
              <w:rPr>
                <w:rFonts w:eastAsia="Times New Roman"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1603D4" w14:textId="5431996D" w:rsidR="00FA40E8" w:rsidRDefault="00E74AE8">
            <w:pPr>
              <w:pStyle w:val="P68B1DB1-Normal12"/>
              <w:spacing w:before="60" w:after="60"/>
              <w:jc w:val="center"/>
              <w:rPr>
                <w:rFonts w:eastAsia="Times New Roman" w:cs="Times New Roman"/>
                <w:noProof/>
              </w:rPr>
            </w:pPr>
            <w:r>
              <w:rPr>
                <w:noProof/>
              </w:rPr>
              <w:t>2026</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9D88AC" w14:textId="01103BA2" w:rsidR="00FA40E8" w:rsidRDefault="00E74AE8">
            <w:pPr>
              <w:pStyle w:val="P68B1DB1-Normal12"/>
              <w:spacing w:before="60" w:after="60"/>
              <w:jc w:val="both"/>
              <w:rPr>
                <w:rFonts w:eastAsia="Times New Roman" w:cs="Times New Roman"/>
                <w:noProof/>
              </w:rPr>
            </w:pPr>
            <w:r>
              <w:rPr>
                <w:noProof/>
              </w:rPr>
              <w:t>La Lituanie transfère 549 130 73</w:t>
            </w:r>
            <w:r>
              <w:rPr>
                <w:noProof/>
              </w:rPr>
              <w:t>7 EUR à INVEGA pour la facilité.</w:t>
            </w:r>
          </w:p>
        </w:tc>
      </w:tr>
    </w:tbl>
    <w:p w14:paraId="079A9F3C" w14:textId="42C19011" w:rsidR="00FA40E8" w:rsidRDefault="00FA40E8">
      <w:pPr>
        <w:pStyle w:val="Text1"/>
        <w:ind w:left="0"/>
        <w:rPr>
          <w:noProof/>
        </w:rPr>
        <w:sectPr w:rsidR="00FA40E8" w:rsidSect="0074650A">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22CBC772" w14:textId="15CE33A3" w:rsidR="00FA40E8" w:rsidRDefault="00E74AE8">
      <w:pPr>
        <w:pStyle w:val="P68B1DB1-NumPar13"/>
        <w:spacing w:before="360" w:after="360"/>
        <w:ind w:left="851" w:hanging="851"/>
        <w:rPr>
          <w:noProof/>
        </w:rPr>
      </w:pPr>
      <w:r>
        <w:rPr>
          <w:noProof/>
        </w:rPr>
        <w:t>Coût total estimé du plan pour la reprise et la résilience</w:t>
      </w:r>
    </w:p>
    <w:p w14:paraId="7EAF15E9" w14:textId="41293055" w:rsidR="00FA40E8" w:rsidRDefault="00E74AE8">
      <w:pPr>
        <w:pStyle w:val="Text1"/>
        <w:spacing w:before="0" w:after="200" w:line="276" w:lineRule="auto"/>
        <w:ind w:left="0"/>
        <w:rPr>
          <w:noProof/>
        </w:rPr>
      </w:pPr>
      <w:r>
        <w:rPr>
          <w:noProof/>
        </w:rPr>
        <w:t>Le coût total estimé du plan pour la reprise et la résilience de la Lituanie est de</w:t>
      </w:r>
      <w:r>
        <w:rPr>
          <w:noProof/>
          <w:sz w:val="20"/>
        </w:rPr>
        <w:t xml:space="preserve"> </w:t>
      </w:r>
      <w:r>
        <w:rPr>
          <w:noProof/>
        </w:rPr>
        <w:t>3</w:t>
      </w:r>
      <w:r>
        <w:rPr>
          <w:noProof/>
          <w:sz w:val="20"/>
        </w:rPr>
        <w:t xml:space="preserve"> </w:t>
      </w:r>
      <w:r>
        <w:rPr>
          <w:noProof/>
        </w:rPr>
        <w:t>849</w:t>
      </w:r>
      <w:r>
        <w:rPr>
          <w:noProof/>
          <w:sz w:val="20"/>
        </w:rPr>
        <w:t xml:space="preserve"> </w:t>
      </w:r>
      <w:r>
        <w:rPr>
          <w:noProof/>
        </w:rPr>
        <w:t>237</w:t>
      </w:r>
      <w:r>
        <w:rPr>
          <w:noProof/>
          <w:sz w:val="20"/>
        </w:rPr>
        <w:t xml:space="preserve"> </w:t>
      </w:r>
      <w:r>
        <w:rPr>
          <w:noProof/>
        </w:rPr>
        <w:t>823 EUR.</w:t>
      </w:r>
    </w:p>
    <w:p w14:paraId="1E584B6D" w14:textId="6824B9FF" w:rsidR="00FA40E8" w:rsidRDefault="00E74AE8">
      <w:pPr>
        <w:pStyle w:val="P68B1DB1-Heading12"/>
        <w:numPr>
          <w:ilvl w:val="0"/>
          <w:numId w:val="0"/>
        </w:numPr>
        <w:spacing w:after="200"/>
        <w:rPr>
          <w:noProof/>
        </w:rPr>
      </w:pPr>
      <w:r>
        <w:rPr>
          <w:noProof/>
        </w:rPr>
        <w:t>Section 2: Soutien financier</w:t>
      </w:r>
    </w:p>
    <w:p w14:paraId="4B7F036C" w14:textId="4F77C921" w:rsidR="00FA40E8" w:rsidRDefault="00E74AE8">
      <w:pPr>
        <w:pStyle w:val="P68B1DB1-Normal34"/>
        <w:numPr>
          <w:ilvl w:val="0"/>
          <w:numId w:val="89"/>
        </w:numPr>
        <w:spacing w:before="360" w:after="360" w:line="240" w:lineRule="auto"/>
        <w:jc w:val="both"/>
        <w:rPr>
          <w:noProof/>
        </w:rPr>
      </w:pPr>
      <w:r>
        <w:rPr>
          <w:noProof/>
        </w:rPr>
        <w:t>Contribution financière</w:t>
      </w:r>
    </w:p>
    <w:p w14:paraId="62B31701" w14:textId="77777777" w:rsidR="00FA40E8" w:rsidRDefault="00E74AE8">
      <w:pPr>
        <w:pStyle w:val="P68B1DB1-Normal35"/>
        <w:jc w:val="both"/>
        <w:rPr>
          <w:noProof/>
        </w:rPr>
      </w:pPr>
      <w:r>
        <w:rPr>
          <w:noProof/>
        </w:rPr>
        <w:t>Les tranches visées à l’article 2, paragraphe 2, sont organisées de la manière suivante:</w:t>
      </w:r>
    </w:p>
    <w:p w14:paraId="0B867A3A" w14:textId="41984DF2" w:rsidR="00FA40E8" w:rsidRDefault="00E74AE8">
      <w:pPr>
        <w:pStyle w:val="P68B1DB1-ListParagraph36"/>
        <w:keepNext/>
        <w:keepLines/>
        <w:numPr>
          <w:ilvl w:val="1"/>
          <w:numId w:val="110"/>
        </w:numPr>
        <w:spacing w:before="480" w:line="240" w:lineRule="auto"/>
        <w:jc w:val="both"/>
        <w:rPr>
          <w:noProof/>
        </w:rPr>
      </w:pPr>
      <w:r>
        <w:rPr>
          <w:noProof/>
        </w:rPr>
        <w:t>Première tranche (soutien non remboursable):</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308"/>
        <w:gridCol w:w="3583"/>
        <w:gridCol w:w="1275"/>
        <w:gridCol w:w="3613"/>
      </w:tblGrid>
      <w:tr w:rsidR="00FA40E8" w14:paraId="7A76873A" w14:textId="77777777">
        <w:trPr>
          <w:cantSplit/>
          <w:trHeight w:val="300"/>
          <w:tblHeader/>
        </w:trPr>
        <w:tc>
          <w:tcPr>
            <w:tcW w:w="1308" w:type="dxa"/>
            <w:shd w:val="clear" w:color="auto" w:fill="BDD7EE"/>
            <w:vAlign w:val="center"/>
          </w:tcPr>
          <w:p w14:paraId="410BB606" w14:textId="77777777" w:rsidR="00FA40E8" w:rsidRDefault="00E74AE8">
            <w:pPr>
              <w:pStyle w:val="P68B1DB1-Normal37"/>
              <w:spacing w:after="0"/>
              <w:jc w:val="center"/>
              <w:rPr>
                <w:bCs/>
                <w:noProof/>
                <w:szCs w:val="22"/>
              </w:rPr>
            </w:pPr>
            <w:r>
              <w:rPr>
                <w:noProof/>
              </w:rPr>
              <w:t>Numéro séquentiel</w:t>
            </w:r>
          </w:p>
        </w:tc>
        <w:tc>
          <w:tcPr>
            <w:tcW w:w="3583" w:type="dxa"/>
            <w:shd w:val="clear" w:color="auto" w:fill="BDD7EE"/>
            <w:vAlign w:val="center"/>
          </w:tcPr>
          <w:p w14:paraId="7952CB6F" w14:textId="77777777" w:rsidR="00FA40E8" w:rsidRDefault="00E74AE8">
            <w:pPr>
              <w:pStyle w:val="P68B1DB1-Normal37"/>
              <w:spacing w:after="0"/>
              <w:jc w:val="center"/>
              <w:rPr>
                <w:bCs/>
                <w:noProof/>
                <w:szCs w:val="22"/>
              </w:rPr>
            </w:pPr>
            <w:r>
              <w:rPr>
                <w:noProof/>
              </w:rPr>
              <w:t xml:space="preserve">Mesure connexe </w:t>
            </w:r>
            <w:r>
              <w:rPr>
                <w:noProof/>
              </w:rPr>
              <w:br/>
              <w:t>(Réforme ou investissement)</w:t>
            </w:r>
          </w:p>
        </w:tc>
        <w:tc>
          <w:tcPr>
            <w:tcW w:w="1275" w:type="dxa"/>
            <w:shd w:val="clear" w:color="auto" w:fill="BDD7EE"/>
            <w:vAlign w:val="center"/>
          </w:tcPr>
          <w:p w14:paraId="7853578F" w14:textId="77777777" w:rsidR="00FA40E8" w:rsidRDefault="00E74AE8">
            <w:pPr>
              <w:pStyle w:val="P68B1DB1-Normal37"/>
              <w:spacing w:after="0"/>
              <w:jc w:val="center"/>
              <w:rPr>
                <w:bCs/>
                <w:noProof/>
                <w:szCs w:val="22"/>
              </w:rPr>
            </w:pPr>
            <w:r>
              <w:rPr>
                <w:noProof/>
              </w:rPr>
              <w:t>Étape/</w:t>
            </w:r>
            <w:r>
              <w:rPr>
                <w:noProof/>
              </w:rPr>
              <w:t>cible</w:t>
            </w:r>
          </w:p>
        </w:tc>
        <w:tc>
          <w:tcPr>
            <w:tcW w:w="3613" w:type="dxa"/>
            <w:shd w:val="clear" w:color="auto" w:fill="BDD7EE"/>
            <w:vAlign w:val="center"/>
          </w:tcPr>
          <w:p w14:paraId="3052FB11" w14:textId="77777777" w:rsidR="00FA40E8" w:rsidRDefault="00E74AE8">
            <w:pPr>
              <w:pStyle w:val="P68B1DB1-Normal37"/>
              <w:spacing w:after="0"/>
              <w:jc w:val="center"/>
              <w:rPr>
                <w:bCs/>
                <w:noProof/>
                <w:szCs w:val="22"/>
              </w:rPr>
            </w:pPr>
            <w:r>
              <w:rPr>
                <w:noProof/>
              </w:rPr>
              <w:t>Nom</w:t>
            </w:r>
          </w:p>
        </w:tc>
      </w:tr>
      <w:tr w:rsidR="00FA40E8" w14:paraId="1C636355" w14:textId="77777777">
        <w:trPr>
          <w:cantSplit/>
          <w:trHeight w:val="300"/>
        </w:trPr>
        <w:tc>
          <w:tcPr>
            <w:tcW w:w="1308" w:type="dxa"/>
            <w:shd w:val="clear" w:color="auto" w:fill="EAF1DD" w:themeFill="accent3" w:themeFillTint="33"/>
            <w:noWrap/>
            <w:vAlign w:val="center"/>
            <w:hideMark/>
          </w:tcPr>
          <w:p w14:paraId="302EA3EC" w14:textId="77777777" w:rsidR="00FA40E8" w:rsidRDefault="00E74AE8">
            <w:pPr>
              <w:pStyle w:val="P68B1DB1-Normal38"/>
              <w:spacing w:after="0"/>
              <w:jc w:val="center"/>
              <w:rPr>
                <w:noProof/>
                <w:szCs w:val="22"/>
              </w:rPr>
            </w:pPr>
            <w:r>
              <w:rPr>
                <w:noProof/>
              </w:rPr>
              <w:t>21</w:t>
            </w:r>
          </w:p>
        </w:tc>
        <w:tc>
          <w:tcPr>
            <w:tcW w:w="3583" w:type="dxa"/>
            <w:shd w:val="clear" w:color="auto" w:fill="EAF1DD" w:themeFill="accent3" w:themeFillTint="33"/>
            <w:hideMark/>
          </w:tcPr>
          <w:p w14:paraId="08536549" w14:textId="77777777" w:rsidR="00FA40E8" w:rsidRDefault="00E74AE8">
            <w:pPr>
              <w:pStyle w:val="P68B1DB1-Normal38"/>
              <w:spacing w:after="0"/>
              <w:rPr>
                <w:noProof/>
                <w:szCs w:val="22"/>
              </w:rPr>
            </w:pPr>
            <w:r>
              <w:rPr>
                <w:noProof/>
              </w:rPr>
              <w:t>B.1.1 Production d’électricité plus durable dans le pays</w:t>
            </w:r>
          </w:p>
        </w:tc>
        <w:tc>
          <w:tcPr>
            <w:tcW w:w="1275" w:type="dxa"/>
            <w:shd w:val="clear" w:color="auto" w:fill="EAF1DD" w:themeFill="accent3" w:themeFillTint="33"/>
            <w:hideMark/>
          </w:tcPr>
          <w:p w14:paraId="02615F1D"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6C8A9AD9" w14:textId="77777777" w:rsidR="00FA40E8" w:rsidRDefault="00E74AE8">
            <w:pPr>
              <w:pStyle w:val="P68B1DB1-Normal38"/>
              <w:spacing w:after="0"/>
              <w:rPr>
                <w:noProof/>
                <w:szCs w:val="22"/>
              </w:rPr>
            </w:pPr>
            <w:r>
              <w:rPr>
                <w:noProof/>
              </w:rPr>
              <w:t xml:space="preserve">Entrée en vigueur de la législation visant à améliorer les mécanismes institutionnels et juridiques visant à promouvoir la production, le transport et la consommation </w:t>
            </w:r>
            <w:r>
              <w:rPr>
                <w:noProof/>
              </w:rPr>
              <w:t>d’électricité produite à partir de sources renouvelables</w:t>
            </w:r>
          </w:p>
        </w:tc>
      </w:tr>
      <w:tr w:rsidR="00FA40E8" w14:paraId="7A6E2597" w14:textId="77777777">
        <w:trPr>
          <w:cantSplit/>
          <w:trHeight w:val="300"/>
        </w:trPr>
        <w:tc>
          <w:tcPr>
            <w:tcW w:w="1308" w:type="dxa"/>
            <w:shd w:val="clear" w:color="auto" w:fill="EAF1DD" w:themeFill="accent3" w:themeFillTint="33"/>
            <w:noWrap/>
            <w:vAlign w:val="center"/>
            <w:hideMark/>
          </w:tcPr>
          <w:p w14:paraId="2BE67F09" w14:textId="77777777" w:rsidR="00FA40E8" w:rsidRDefault="00E74AE8">
            <w:pPr>
              <w:pStyle w:val="P68B1DB1-Normal38"/>
              <w:spacing w:after="0"/>
              <w:jc w:val="center"/>
              <w:rPr>
                <w:noProof/>
                <w:szCs w:val="22"/>
              </w:rPr>
            </w:pPr>
            <w:r>
              <w:rPr>
                <w:noProof/>
              </w:rPr>
              <w:t>28</w:t>
            </w:r>
          </w:p>
        </w:tc>
        <w:tc>
          <w:tcPr>
            <w:tcW w:w="3583" w:type="dxa"/>
            <w:shd w:val="clear" w:color="auto" w:fill="EAF1DD" w:themeFill="accent3" w:themeFillTint="33"/>
            <w:hideMark/>
          </w:tcPr>
          <w:p w14:paraId="44A436DD" w14:textId="77777777" w:rsidR="00FA40E8" w:rsidRDefault="00E74AE8">
            <w:pPr>
              <w:pStyle w:val="P68B1DB1-Normal38"/>
              <w:spacing w:after="0"/>
              <w:rPr>
                <w:noProof/>
                <w:szCs w:val="22"/>
              </w:rPr>
            </w:pPr>
            <w:r>
              <w:rPr>
                <w:noProof/>
              </w:rPr>
              <w:t>B.1.2 Promouvoir sans polluer l’environnement</w:t>
            </w:r>
          </w:p>
        </w:tc>
        <w:tc>
          <w:tcPr>
            <w:tcW w:w="1275" w:type="dxa"/>
            <w:shd w:val="clear" w:color="auto" w:fill="EAF1DD" w:themeFill="accent3" w:themeFillTint="33"/>
            <w:hideMark/>
          </w:tcPr>
          <w:p w14:paraId="6AD997C5"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38A05874" w14:textId="77777777" w:rsidR="00FA40E8" w:rsidRDefault="00E74AE8">
            <w:pPr>
              <w:pStyle w:val="P68B1DB1-Normal38"/>
              <w:spacing w:after="0"/>
              <w:rPr>
                <w:noProof/>
                <w:szCs w:val="22"/>
              </w:rPr>
            </w:pPr>
            <w:r>
              <w:rPr>
                <w:noProof/>
              </w:rPr>
              <w:t xml:space="preserve">Entrée en vigueur d’un cadre législatif établissant une procédure pour déterminer les exigences en matière d’efficacité énergétique et de </w:t>
            </w:r>
            <w:r>
              <w:rPr>
                <w:noProof/>
              </w:rPr>
              <w:t>protection de l’environnement applicables à l’achat de véhicules de transport routier et dans les cas où elles sont obligatoires</w:t>
            </w:r>
          </w:p>
        </w:tc>
      </w:tr>
      <w:tr w:rsidR="00FA40E8" w14:paraId="5B5544C9" w14:textId="77777777">
        <w:trPr>
          <w:cantSplit/>
          <w:trHeight w:val="300"/>
        </w:trPr>
        <w:tc>
          <w:tcPr>
            <w:tcW w:w="1308" w:type="dxa"/>
            <w:shd w:val="clear" w:color="auto" w:fill="EAF1DD" w:themeFill="accent3" w:themeFillTint="33"/>
            <w:noWrap/>
            <w:vAlign w:val="center"/>
            <w:hideMark/>
          </w:tcPr>
          <w:p w14:paraId="6EA50EAF" w14:textId="77777777" w:rsidR="00FA40E8" w:rsidRDefault="00E74AE8">
            <w:pPr>
              <w:pStyle w:val="P68B1DB1-Normal38"/>
              <w:spacing w:after="0"/>
              <w:jc w:val="center"/>
              <w:rPr>
                <w:noProof/>
                <w:szCs w:val="22"/>
              </w:rPr>
            </w:pPr>
            <w:r>
              <w:rPr>
                <w:noProof/>
              </w:rPr>
              <w:t>29</w:t>
            </w:r>
          </w:p>
        </w:tc>
        <w:tc>
          <w:tcPr>
            <w:tcW w:w="3583" w:type="dxa"/>
            <w:shd w:val="clear" w:color="auto" w:fill="EAF1DD" w:themeFill="accent3" w:themeFillTint="33"/>
            <w:hideMark/>
          </w:tcPr>
          <w:p w14:paraId="4D314117" w14:textId="77777777" w:rsidR="00FA40E8" w:rsidRDefault="00E74AE8">
            <w:pPr>
              <w:pStyle w:val="P68B1DB1-Normal38"/>
              <w:spacing w:after="0"/>
              <w:rPr>
                <w:noProof/>
                <w:szCs w:val="22"/>
              </w:rPr>
            </w:pPr>
            <w:r>
              <w:rPr>
                <w:noProof/>
              </w:rPr>
              <w:t xml:space="preserve">B.1.2 Promouvoir sans polluer l’environnement </w:t>
            </w:r>
          </w:p>
        </w:tc>
        <w:tc>
          <w:tcPr>
            <w:tcW w:w="1275" w:type="dxa"/>
            <w:shd w:val="clear" w:color="auto" w:fill="EAF1DD" w:themeFill="accent3" w:themeFillTint="33"/>
            <w:hideMark/>
          </w:tcPr>
          <w:p w14:paraId="759AF062"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5404E86B" w14:textId="77777777" w:rsidR="00FA40E8" w:rsidRDefault="00E74AE8">
            <w:pPr>
              <w:pStyle w:val="P68B1DB1-Normal38"/>
              <w:spacing w:after="0"/>
              <w:rPr>
                <w:noProof/>
                <w:szCs w:val="22"/>
              </w:rPr>
            </w:pPr>
            <w:r>
              <w:rPr>
                <w:noProof/>
              </w:rPr>
              <w:t xml:space="preserve">Création et mise en œuvre d’un Fonds pour la mobilité durable destiné </w:t>
            </w:r>
            <w:r>
              <w:rPr>
                <w:noProof/>
              </w:rPr>
              <w:t>à financer le développement de carburants de substitution et d’infrastructures pour les véhicules</w:t>
            </w:r>
          </w:p>
        </w:tc>
      </w:tr>
      <w:tr w:rsidR="00FA40E8" w14:paraId="0D8F84D5" w14:textId="77777777">
        <w:trPr>
          <w:cantSplit/>
          <w:trHeight w:val="300"/>
        </w:trPr>
        <w:tc>
          <w:tcPr>
            <w:tcW w:w="1308" w:type="dxa"/>
            <w:shd w:val="clear" w:color="auto" w:fill="EAF1DD" w:themeFill="accent3" w:themeFillTint="33"/>
            <w:noWrap/>
            <w:vAlign w:val="center"/>
            <w:hideMark/>
          </w:tcPr>
          <w:p w14:paraId="713CACC8" w14:textId="77777777" w:rsidR="00FA40E8" w:rsidRDefault="00E74AE8">
            <w:pPr>
              <w:pStyle w:val="P68B1DB1-Normal38"/>
              <w:spacing w:after="0"/>
              <w:jc w:val="center"/>
              <w:rPr>
                <w:noProof/>
                <w:szCs w:val="22"/>
              </w:rPr>
            </w:pPr>
            <w:r>
              <w:rPr>
                <w:noProof/>
              </w:rPr>
              <w:t>37</w:t>
            </w:r>
          </w:p>
        </w:tc>
        <w:tc>
          <w:tcPr>
            <w:tcW w:w="3583" w:type="dxa"/>
            <w:shd w:val="clear" w:color="auto" w:fill="EAF1DD" w:themeFill="accent3" w:themeFillTint="33"/>
            <w:hideMark/>
          </w:tcPr>
          <w:p w14:paraId="3FBD65B9" w14:textId="000E3F93" w:rsidR="00FA40E8" w:rsidRDefault="00E74AE8">
            <w:pPr>
              <w:pStyle w:val="P68B1DB1-Normal38"/>
              <w:spacing w:after="0"/>
              <w:rPr>
                <w:noProof/>
                <w:szCs w:val="22"/>
              </w:rPr>
            </w:pPr>
            <w:r>
              <w:rPr>
                <w:noProof/>
              </w:rPr>
              <w:t xml:space="preserve">B. 1.2 Promouvoir sans polluer l’environnement — B.1.2.3. Installation d’infrastructures de recharge des véhicules et de remplissage des carburants </w:t>
            </w:r>
            <w:r>
              <w:rPr>
                <w:noProof/>
              </w:rPr>
              <w:t>alternatifs</w:t>
            </w:r>
          </w:p>
        </w:tc>
        <w:tc>
          <w:tcPr>
            <w:tcW w:w="1275" w:type="dxa"/>
            <w:shd w:val="clear" w:color="auto" w:fill="EAF1DD" w:themeFill="accent3" w:themeFillTint="33"/>
            <w:hideMark/>
          </w:tcPr>
          <w:p w14:paraId="5FF447CA"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39730B91" w14:textId="77777777" w:rsidR="00FA40E8" w:rsidRDefault="00E74AE8">
            <w:pPr>
              <w:pStyle w:val="P68B1DB1-Normal38"/>
              <w:spacing w:after="0"/>
              <w:rPr>
                <w:noProof/>
                <w:szCs w:val="22"/>
              </w:rPr>
            </w:pPr>
            <w:r>
              <w:rPr>
                <w:noProof/>
              </w:rPr>
              <w:t>Mise en service d’un système d’information pour les points de recharge publics et semi-publics pour véhicules électriques</w:t>
            </w:r>
          </w:p>
        </w:tc>
      </w:tr>
      <w:tr w:rsidR="00FA40E8" w14:paraId="35093C8C" w14:textId="77777777">
        <w:trPr>
          <w:cantSplit/>
          <w:trHeight w:val="300"/>
        </w:trPr>
        <w:tc>
          <w:tcPr>
            <w:tcW w:w="1308" w:type="dxa"/>
            <w:shd w:val="clear" w:color="auto" w:fill="EAF1DD" w:themeFill="accent3" w:themeFillTint="33"/>
            <w:noWrap/>
            <w:vAlign w:val="center"/>
            <w:hideMark/>
          </w:tcPr>
          <w:p w14:paraId="55E799F9" w14:textId="77777777" w:rsidR="00FA40E8" w:rsidRDefault="00E74AE8">
            <w:pPr>
              <w:pStyle w:val="P68B1DB1-Normal38"/>
              <w:spacing w:after="0"/>
              <w:jc w:val="center"/>
              <w:rPr>
                <w:noProof/>
                <w:szCs w:val="22"/>
              </w:rPr>
            </w:pPr>
            <w:r>
              <w:rPr>
                <w:noProof/>
              </w:rPr>
              <w:t>43</w:t>
            </w:r>
          </w:p>
        </w:tc>
        <w:tc>
          <w:tcPr>
            <w:tcW w:w="3583" w:type="dxa"/>
            <w:shd w:val="clear" w:color="auto" w:fill="EAF1DD" w:themeFill="accent3" w:themeFillTint="33"/>
            <w:hideMark/>
          </w:tcPr>
          <w:p w14:paraId="310AC0F2" w14:textId="3DA9AA8B" w:rsidR="00FA40E8" w:rsidRDefault="00E74AE8">
            <w:pPr>
              <w:pStyle w:val="P68B1DB1-Normal38"/>
              <w:spacing w:after="0"/>
              <w:rPr>
                <w:noProof/>
                <w:szCs w:val="22"/>
              </w:rPr>
            </w:pPr>
            <w:r>
              <w:rPr>
                <w:noProof/>
              </w:rPr>
              <w:t>B. 1.2 Promouvoir sans polluer l’environnement — B.1.2.3. Installation d’infrastructures de recharge des véhicul</w:t>
            </w:r>
            <w:r>
              <w:rPr>
                <w:noProof/>
              </w:rPr>
              <w:t>es et de remplissage des carburants alternatifs</w:t>
            </w:r>
          </w:p>
        </w:tc>
        <w:tc>
          <w:tcPr>
            <w:tcW w:w="1275" w:type="dxa"/>
            <w:shd w:val="clear" w:color="auto" w:fill="EAF1DD" w:themeFill="accent3" w:themeFillTint="33"/>
            <w:hideMark/>
          </w:tcPr>
          <w:p w14:paraId="0498D571"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7640F523" w14:textId="77777777" w:rsidR="00FA40E8" w:rsidRDefault="00E74AE8">
            <w:pPr>
              <w:pStyle w:val="P68B1DB1-Normal38"/>
              <w:spacing w:after="0"/>
              <w:rPr>
                <w:noProof/>
                <w:szCs w:val="22"/>
              </w:rPr>
            </w:pPr>
            <w:r>
              <w:rPr>
                <w:noProof/>
              </w:rPr>
              <w:t>Adoption du plan d’action pour l’intégration du réseau d’infrastructures de recharge électrique</w:t>
            </w:r>
          </w:p>
        </w:tc>
      </w:tr>
      <w:tr w:rsidR="00FA40E8" w14:paraId="31DEA183" w14:textId="77777777">
        <w:trPr>
          <w:cantSplit/>
          <w:trHeight w:val="300"/>
        </w:trPr>
        <w:tc>
          <w:tcPr>
            <w:tcW w:w="1308" w:type="dxa"/>
            <w:shd w:val="clear" w:color="auto" w:fill="EAF1DD" w:themeFill="accent3" w:themeFillTint="33"/>
            <w:noWrap/>
            <w:vAlign w:val="center"/>
            <w:hideMark/>
          </w:tcPr>
          <w:p w14:paraId="3E649203" w14:textId="77777777" w:rsidR="00FA40E8" w:rsidRDefault="00E74AE8">
            <w:pPr>
              <w:pStyle w:val="P68B1DB1-Normal38"/>
              <w:spacing w:after="0"/>
              <w:jc w:val="center"/>
              <w:rPr>
                <w:noProof/>
                <w:szCs w:val="22"/>
              </w:rPr>
            </w:pPr>
            <w:r>
              <w:rPr>
                <w:noProof/>
              </w:rPr>
              <w:t>44</w:t>
            </w:r>
          </w:p>
        </w:tc>
        <w:tc>
          <w:tcPr>
            <w:tcW w:w="3583" w:type="dxa"/>
            <w:shd w:val="clear" w:color="auto" w:fill="EAF1DD" w:themeFill="accent3" w:themeFillTint="33"/>
            <w:hideMark/>
          </w:tcPr>
          <w:p w14:paraId="33425E0C" w14:textId="75EB94B1" w:rsidR="00FA40E8" w:rsidRDefault="00E74AE8">
            <w:pPr>
              <w:pStyle w:val="P68B1DB1-Normal38"/>
              <w:spacing w:after="0"/>
              <w:rPr>
                <w:noProof/>
                <w:color w:val="000000" w:themeColor="text1"/>
              </w:rPr>
            </w:pPr>
            <w:r>
              <w:rPr>
                <w:noProof/>
              </w:rPr>
              <w:t>B. 1.2 Promouvoir sans polluer l’environnement — B.1.2.4. Soutien au secteur des carburants SER (gaz b</w:t>
            </w:r>
            <w:r>
              <w:rPr>
                <w:noProof/>
              </w:rPr>
              <w:t>iométhane, biocarburants liquides de deuxième génération pour les transports et hydrogène renouvelable)</w:t>
            </w:r>
          </w:p>
        </w:tc>
        <w:tc>
          <w:tcPr>
            <w:tcW w:w="1275" w:type="dxa"/>
            <w:shd w:val="clear" w:color="auto" w:fill="EAF1DD" w:themeFill="accent3" w:themeFillTint="33"/>
            <w:hideMark/>
          </w:tcPr>
          <w:p w14:paraId="141ECDDA"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7CCBCF5A" w14:textId="77777777" w:rsidR="00FA40E8" w:rsidRDefault="00E74AE8">
            <w:pPr>
              <w:pStyle w:val="P68B1DB1-Normal38"/>
              <w:spacing w:after="0"/>
              <w:rPr>
                <w:noProof/>
                <w:szCs w:val="22"/>
              </w:rPr>
            </w:pPr>
            <w:r>
              <w:rPr>
                <w:noProof/>
              </w:rPr>
              <w:t xml:space="preserve">Mise en service d’un système informatique d’unités de comptabilisation des carburants renouvelables destinés aux transports </w:t>
            </w:r>
          </w:p>
        </w:tc>
      </w:tr>
      <w:tr w:rsidR="00FA40E8" w14:paraId="3FF73E24" w14:textId="77777777">
        <w:trPr>
          <w:cantSplit/>
          <w:trHeight w:val="300"/>
        </w:trPr>
        <w:tc>
          <w:tcPr>
            <w:tcW w:w="1308" w:type="dxa"/>
            <w:shd w:val="clear" w:color="auto" w:fill="EAF1DD" w:themeFill="accent3" w:themeFillTint="33"/>
            <w:noWrap/>
            <w:vAlign w:val="center"/>
            <w:hideMark/>
          </w:tcPr>
          <w:p w14:paraId="44E6F522" w14:textId="77777777" w:rsidR="00FA40E8" w:rsidRDefault="00E74AE8">
            <w:pPr>
              <w:pStyle w:val="P68B1DB1-Normal38"/>
              <w:spacing w:after="0"/>
              <w:jc w:val="center"/>
              <w:rPr>
                <w:noProof/>
                <w:szCs w:val="22"/>
              </w:rPr>
            </w:pPr>
            <w:r>
              <w:rPr>
                <w:noProof/>
              </w:rPr>
              <w:t>70</w:t>
            </w:r>
          </w:p>
        </w:tc>
        <w:tc>
          <w:tcPr>
            <w:tcW w:w="3583" w:type="dxa"/>
            <w:shd w:val="clear" w:color="auto" w:fill="EAF1DD" w:themeFill="accent3" w:themeFillTint="33"/>
            <w:hideMark/>
          </w:tcPr>
          <w:p w14:paraId="6B56EB52" w14:textId="77777777" w:rsidR="00FA40E8" w:rsidRDefault="00E74AE8">
            <w:pPr>
              <w:pStyle w:val="P68B1DB1-Normal38"/>
              <w:spacing w:after="0"/>
              <w:rPr>
                <w:noProof/>
                <w:szCs w:val="22"/>
              </w:rPr>
            </w:pPr>
            <w:r>
              <w:rPr>
                <w:noProof/>
              </w:rPr>
              <w:t xml:space="preserve">C.1.3 Services </w:t>
            </w:r>
            <w:r>
              <w:rPr>
                <w:noProof/>
              </w:rPr>
              <w:t>axés sur le client</w:t>
            </w:r>
          </w:p>
        </w:tc>
        <w:tc>
          <w:tcPr>
            <w:tcW w:w="1275" w:type="dxa"/>
            <w:shd w:val="clear" w:color="auto" w:fill="EAF1DD" w:themeFill="accent3" w:themeFillTint="33"/>
            <w:hideMark/>
          </w:tcPr>
          <w:p w14:paraId="008E9E0E"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7A523CE6" w14:textId="77777777" w:rsidR="00FA40E8" w:rsidRDefault="00E74AE8">
            <w:pPr>
              <w:pStyle w:val="P68B1DB1-Normal38"/>
              <w:spacing w:after="0"/>
              <w:rPr>
                <w:noProof/>
                <w:szCs w:val="22"/>
              </w:rPr>
            </w:pPr>
            <w:r>
              <w:rPr>
                <w:noProof/>
              </w:rPr>
              <w:t>Mise en service d’un centre de compétence pour les données ouvertes et la transformation numérique</w:t>
            </w:r>
          </w:p>
        </w:tc>
      </w:tr>
      <w:tr w:rsidR="00FA40E8" w14:paraId="41B01C73" w14:textId="77777777">
        <w:trPr>
          <w:cantSplit/>
          <w:trHeight w:val="300"/>
        </w:trPr>
        <w:tc>
          <w:tcPr>
            <w:tcW w:w="1308" w:type="dxa"/>
            <w:shd w:val="clear" w:color="auto" w:fill="EAF1DD" w:themeFill="accent3" w:themeFillTint="33"/>
            <w:noWrap/>
            <w:vAlign w:val="center"/>
            <w:hideMark/>
          </w:tcPr>
          <w:p w14:paraId="0B17B064" w14:textId="77777777" w:rsidR="00FA40E8" w:rsidRDefault="00E74AE8">
            <w:pPr>
              <w:pStyle w:val="P68B1DB1-Normal38"/>
              <w:spacing w:after="0"/>
              <w:jc w:val="center"/>
              <w:rPr>
                <w:noProof/>
                <w:szCs w:val="22"/>
              </w:rPr>
            </w:pPr>
            <w:r>
              <w:rPr>
                <w:noProof/>
              </w:rPr>
              <w:t>83</w:t>
            </w:r>
          </w:p>
        </w:tc>
        <w:tc>
          <w:tcPr>
            <w:tcW w:w="3583" w:type="dxa"/>
            <w:shd w:val="clear" w:color="auto" w:fill="EAF1DD" w:themeFill="accent3" w:themeFillTint="33"/>
            <w:hideMark/>
          </w:tcPr>
          <w:p w14:paraId="26D6A07B" w14:textId="77777777" w:rsidR="00FA40E8" w:rsidRDefault="00E74AE8">
            <w:pPr>
              <w:pStyle w:val="P68B1DB1-Normal38"/>
              <w:spacing w:after="0"/>
              <w:rPr>
                <w:noProof/>
                <w:szCs w:val="22"/>
              </w:rPr>
            </w:pPr>
            <w:r>
              <w:rPr>
                <w:noProof/>
              </w:rPr>
              <w:t>C.1.5 Étape vers la 5G — C.1.5.1. Feuille de route pour la 5G</w:t>
            </w:r>
          </w:p>
        </w:tc>
        <w:tc>
          <w:tcPr>
            <w:tcW w:w="1275" w:type="dxa"/>
            <w:shd w:val="clear" w:color="auto" w:fill="EAF1DD" w:themeFill="accent3" w:themeFillTint="33"/>
            <w:hideMark/>
          </w:tcPr>
          <w:p w14:paraId="12D75259"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697ED4A1" w14:textId="77777777" w:rsidR="00FA40E8" w:rsidRDefault="00E74AE8">
            <w:pPr>
              <w:pStyle w:val="P68B1DB1-Normal38"/>
              <w:spacing w:after="0"/>
              <w:rPr>
                <w:noProof/>
                <w:szCs w:val="22"/>
              </w:rPr>
            </w:pPr>
            <w:r>
              <w:rPr>
                <w:noProof/>
              </w:rPr>
              <w:t>Radiofréquences assignées pour le déploiement des réseaux 5G</w:t>
            </w:r>
          </w:p>
        </w:tc>
      </w:tr>
      <w:tr w:rsidR="00FA40E8" w14:paraId="4DBD2929" w14:textId="77777777">
        <w:trPr>
          <w:cantSplit/>
          <w:trHeight w:val="300"/>
        </w:trPr>
        <w:tc>
          <w:tcPr>
            <w:tcW w:w="1308" w:type="dxa"/>
            <w:shd w:val="clear" w:color="auto" w:fill="EAF1DD" w:themeFill="accent3" w:themeFillTint="33"/>
            <w:noWrap/>
            <w:vAlign w:val="center"/>
            <w:hideMark/>
          </w:tcPr>
          <w:p w14:paraId="1C403A33" w14:textId="77777777" w:rsidR="00FA40E8" w:rsidRDefault="00E74AE8">
            <w:pPr>
              <w:pStyle w:val="P68B1DB1-Normal38"/>
              <w:spacing w:after="0"/>
              <w:jc w:val="center"/>
              <w:rPr>
                <w:noProof/>
                <w:szCs w:val="22"/>
              </w:rPr>
            </w:pPr>
            <w:r>
              <w:rPr>
                <w:noProof/>
              </w:rPr>
              <w:t>84</w:t>
            </w:r>
          </w:p>
        </w:tc>
        <w:tc>
          <w:tcPr>
            <w:tcW w:w="3583" w:type="dxa"/>
            <w:shd w:val="clear" w:color="auto" w:fill="EAF1DD" w:themeFill="accent3" w:themeFillTint="33"/>
            <w:hideMark/>
          </w:tcPr>
          <w:p w14:paraId="670588DF" w14:textId="77777777" w:rsidR="00FA40E8" w:rsidRDefault="00E74AE8">
            <w:pPr>
              <w:pStyle w:val="P68B1DB1-Normal38"/>
              <w:spacing w:after="0"/>
              <w:rPr>
                <w:noProof/>
                <w:szCs w:val="22"/>
              </w:rPr>
            </w:pPr>
            <w:r>
              <w:rPr>
                <w:noProof/>
              </w:rPr>
              <w:t>C.1.5 Étape vers la 5G — C.1.5.1. Feuille de route pour la 5G</w:t>
            </w:r>
          </w:p>
        </w:tc>
        <w:tc>
          <w:tcPr>
            <w:tcW w:w="1275" w:type="dxa"/>
            <w:shd w:val="clear" w:color="auto" w:fill="EAF1DD" w:themeFill="accent3" w:themeFillTint="33"/>
            <w:hideMark/>
          </w:tcPr>
          <w:p w14:paraId="5A60C4C0"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4D68EF9D" w14:textId="77777777" w:rsidR="00FA40E8" w:rsidRDefault="00E74AE8">
            <w:pPr>
              <w:pStyle w:val="P68B1DB1-Normal38"/>
              <w:spacing w:after="0"/>
              <w:rPr>
                <w:noProof/>
                <w:szCs w:val="22"/>
              </w:rPr>
            </w:pPr>
            <w:r>
              <w:rPr>
                <w:noProof/>
              </w:rPr>
              <w:t>Entrée en vigueur des modifications des lois pertinentes permettant une installation plus rapide de l’infrastructure de communications électroniques</w:t>
            </w:r>
          </w:p>
        </w:tc>
      </w:tr>
      <w:tr w:rsidR="00FA40E8" w14:paraId="554AEF8A" w14:textId="77777777">
        <w:trPr>
          <w:cantSplit/>
          <w:trHeight w:val="300"/>
        </w:trPr>
        <w:tc>
          <w:tcPr>
            <w:tcW w:w="1308" w:type="dxa"/>
            <w:shd w:val="clear" w:color="auto" w:fill="EAF1DD" w:themeFill="accent3" w:themeFillTint="33"/>
            <w:noWrap/>
            <w:vAlign w:val="center"/>
            <w:hideMark/>
          </w:tcPr>
          <w:p w14:paraId="6CE0DC8A" w14:textId="77777777" w:rsidR="00FA40E8" w:rsidRDefault="00E74AE8">
            <w:pPr>
              <w:pStyle w:val="P68B1DB1-Normal38"/>
              <w:spacing w:after="0"/>
              <w:jc w:val="center"/>
              <w:rPr>
                <w:noProof/>
                <w:szCs w:val="22"/>
              </w:rPr>
            </w:pPr>
            <w:r>
              <w:rPr>
                <w:noProof/>
              </w:rPr>
              <w:t>89</w:t>
            </w:r>
          </w:p>
        </w:tc>
        <w:tc>
          <w:tcPr>
            <w:tcW w:w="3583" w:type="dxa"/>
            <w:shd w:val="clear" w:color="auto" w:fill="EAF1DD" w:themeFill="accent3" w:themeFillTint="33"/>
            <w:hideMark/>
          </w:tcPr>
          <w:p w14:paraId="09798163" w14:textId="77777777" w:rsidR="00FA40E8" w:rsidRDefault="00E74AE8">
            <w:pPr>
              <w:pStyle w:val="P68B1DB1-Normal38"/>
              <w:spacing w:after="0"/>
              <w:rPr>
                <w:noProof/>
                <w:szCs w:val="22"/>
              </w:rPr>
            </w:pPr>
            <w:r>
              <w:rPr>
                <w:noProof/>
              </w:rPr>
              <w:t xml:space="preserve">C.1.5 Étape vers la 5G — </w:t>
            </w:r>
            <w:r>
              <w:rPr>
                <w:noProof/>
              </w:rPr>
              <w:t>C.1.5.3. Innovation en matière de mobilité</w:t>
            </w:r>
          </w:p>
        </w:tc>
        <w:tc>
          <w:tcPr>
            <w:tcW w:w="1275" w:type="dxa"/>
            <w:shd w:val="clear" w:color="auto" w:fill="EAF1DD" w:themeFill="accent3" w:themeFillTint="33"/>
            <w:hideMark/>
          </w:tcPr>
          <w:p w14:paraId="15657222"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6FD83A8C" w14:textId="77777777" w:rsidR="00FA40E8" w:rsidRDefault="00E74AE8">
            <w:pPr>
              <w:pStyle w:val="P68B1DB1-Normal38"/>
              <w:spacing w:after="0"/>
              <w:rPr>
                <w:noProof/>
                <w:szCs w:val="22"/>
              </w:rPr>
            </w:pPr>
            <w:r>
              <w:rPr>
                <w:noProof/>
              </w:rPr>
              <w:t>Désigner une autorité compétente pour la gestion des mesures d’innovation dans le domaine des transports</w:t>
            </w:r>
          </w:p>
        </w:tc>
      </w:tr>
      <w:tr w:rsidR="00FA40E8" w14:paraId="7B8CAB0C" w14:textId="77777777">
        <w:trPr>
          <w:cantSplit/>
          <w:trHeight w:val="300"/>
        </w:trPr>
        <w:tc>
          <w:tcPr>
            <w:tcW w:w="1308" w:type="dxa"/>
            <w:shd w:val="clear" w:color="auto" w:fill="EAF1DD" w:themeFill="accent3" w:themeFillTint="33"/>
            <w:noWrap/>
            <w:vAlign w:val="center"/>
            <w:hideMark/>
          </w:tcPr>
          <w:p w14:paraId="36D46384" w14:textId="77777777" w:rsidR="00FA40E8" w:rsidRDefault="00E74AE8">
            <w:pPr>
              <w:pStyle w:val="P68B1DB1-Normal38"/>
              <w:spacing w:after="0"/>
              <w:jc w:val="center"/>
              <w:rPr>
                <w:noProof/>
                <w:szCs w:val="22"/>
              </w:rPr>
            </w:pPr>
            <w:r>
              <w:rPr>
                <w:noProof/>
              </w:rPr>
              <w:t>91</w:t>
            </w:r>
          </w:p>
        </w:tc>
        <w:tc>
          <w:tcPr>
            <w:tcW w:w="3583" w:type="dxa"/>
            <w:shd w:val="clear" w:color="auto" w:fill="EAF1DD" w:themeFill="accent3" w:themeFillTint="33"/>
            <w:hideMark/>
          </w:tcPr>
          <w:p w14:paraId="0CFA8564" w14:textId="77777777" w:rsidR="00FA40E8" w:rsidRDefault="00E74AE8">
            <w:pPr>
              <w:pStyle w:val="P68B1DB1-Normal38"/>
              <w:spacing w:after="0"/>
              <w:rPr>
                <w:noProof/>
                <w:szCs w:val="22"/>
              </w:rPr>
            </w:pPr>
            <w:r>
              <w:rPr>
                <w:noProof/>
              </w:rPr>
              <w:t>D.1.1. Enseignement général moderne — Contexte des compétences de base</w:t>
            </w:r>
            <w:r>
              <w:rPr>
                <w:noProof/>
              </w:rPr>
              <w:br/>
              <w:t xml:space="preserve">D.1.1.1: Améliorer la </w:t>
            </w:r>
            <w:r>
              <w:rPr>
                <w:noProof/>
              </w:rPr>
              <w:t>qualité de l’éducation</w:t>
            </w:r>
          </w:p>
        </w:tc>
        <w:tc>
          <w:tcPr>
            <w:tcW w:w="1275" w:type="dxa"/>
            <w:shd w:val="clear" w:color="auto" w:fill="EAF1DD" w:themeFill="accent3" w:themeFillTint="33"/>
            <w:hideMark/>
          </w:tcPr>
          <w:p w14:paraId="01DBF6EB"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6E9C4194" w14:textId="77777777" w:rsidR="00FA40E8" w:rsidRDefault="00E74AE8">
            <w:pPr>
              <w:pStyle w:val="P68B1DB1-Normal38"/>
              <w:spacing w:after="0"/>
              <w:rPr>
                <w:noProof/>
                <w:szCs w:val="22"/>
              </w:rPr>
            </w:pPr>
            <w:r>
              <w:rPr>
                <w:noProof/>
              </w:rPr>
              <w:t>Entrée en vigueur de la législation sur la méthodologie de la procédure d’évaluation externe de la qualité des activités des établissements d’enseignement mettant en œuvre des programmes d’enseignement scolaire</w:t>
            </w:r>
          </w:p>
        </w:tc>
      </w:tr>
      <w:tr w:rsidR="00FA40E8" w14:paraId="0C553CF1" w14:textId="77777777">
        <w:trPr>
          <w:cantSplit/>
          <w:trHeight w:val="300"/>
        </w:trPr>
        <w:tc>
          <w:tcPr>
            <w:tcW w:w="1308" w:type="dxa"/>
            <w:shd w:val="clear" w:color="auto" w:fill="EAF1DD" w:themeFill="accent3" w:themeFillTint="33"/>
            <w:noWrap/>
            <w:vAlign w:val="center"/>
            <w:hideMark/>
          </w:tcPr>
          <w:p w14:paraId="5E8AEBDC" w14:textId="77777777" w:rsidR="00FA40E8" w:rsidRDefault="00E74AE8">
            <w:pPr>
              <w:pStyle w:val="P68B1DB1-Normal38"/>
              <w:spacing w:after="0"/>
              <w:jc w:val="center"/>
              <w:rPr>
                <w:noProof/>
                <w:szCs w:val="22"/>
              </w:rPr>
            </w:pPr>
            <w:r>
              <w:rPr>
                <w:noProof/>
              </w:rPr>
              <w:t>93</w:t>
            </w:r>
          </w:p>
        </w:tc>
        <w:tc>
          <w:tcPr>
            <w:tcW w:w="3583" w:type="dxa"/>
            <w:shd w:val="clear" w:color="auto" w:fill="EAF1DD" w:themeFill="accent3" w:themeFillTint="33"/>
            <w:hideMark/>
          </w:tcPr>
          <w:p w14:paraId="1287448C" w14:textId="77777777" w:rsidR="00FA40E8" w:rsidRDefault="00E74AE8">
            <w:pPr>
              <w:pStyle w:val="P68B1DB1-Normal38"/>
              <w:spacing w:after="0"/>
              <w:rPr>
                <w:noProof/>
                <w:szCs w:val="22"/>
              </w:rPr>
            </w:pPr>
            <w:r>
              <w:rPr>
                <w:noProof/>
              </w:rPr>
              <w:t xml:space="preserve">D.1.1. </w:t>
            </w:r>
            <w:r>
              <w:rPr>
                <w:noProof/>
              </w:rPr>
              <w:t>Enseignement général moderne — Contexte des compétences de base</w:t>
            </w:r>
            <w:r>
              <w:rPr>
                <w:noProof/>
              </w:rPr>
              <w:br/>
              <w:t>D.1.1.2. Réorganisation du réseau scolaire</w:t>
            </w:r>
          </w:p>
        </w:tc>
        <w:tc>
          <w:tcPr>
            <w:tcW w:w="1275" w:type="dxa"/>
            <w:shd w:val="clear" w:color="auto" w:fill="EAF1DD" w:themeFill="accent3" w:themeFillTint="33"/>
            <w:hideMark/>
          </w:tcPr>
          <w:p w14:paraId="6A5D585E"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1A14001E" w14:textId="77777777" w:rsidR="00FA40E8" w:rsidRDefault="00E74AE8">
            <w:pPr>
              <w:pStyle w:val="P68B1DB1-Normal38"/>
              <w:spacing w:after="0"/>
              <w:rPr>
                <w:noProof/>
                <w:szCs w:val="22"/>
              </w:rPr>
            </w:pPr>
            <w:r>
              <w:rPr>
                <w:noProof/>
              </w:rPr>
              <w:t>Entrée en vigueur des modifications apportées aux règles relatives à la création d’un réseau d’écoles menant des programmes d’enseignement form</w:t>
            </w:r>
            <w:r>
              <w:rPr>
                <w:noProof/>
              </w:rPr>
              <w:t>el</w:t>
            </w:r>
          </w:p>
        </w:tc>
      </w:tr>
      <w:tr w:rsidR="00FA40E8" w14:paraId="56CCF1B0" w14:textId="77777777">
        <w:trPr>
          <w:cantSplit/>
          <w:trHeight w:val="300"/>
        </w:trPr>
        <w:tc>
          <w:tcPr>
            <w:tcW w:w="1308" w:type="dxa"/>
            <w:shd w:val="clear" w:color="auto" w:fill="EAF1DD" w:themeFill="accent3" w:themeFillTint="33"/>
            <w:noWrap/>
            <w:vAlign w:val="center"/>
            <w:hideMark/>
          </w:tcPr>
          <w:p w14:paraId="3D0FAC50" w14:textId="77777777" w:rsidR="00FA40E8" w:rsidRDefault="00E74AE8">
            <w:pPr>
              <w:pStyle w:val="P68B1DB1-Normal38"/>
              <w:spacing w:after="0"/>
              <w:jc w:val="center"/>
              <w:rPr>
                <w:noProof/>
                <w:szCs w:val="22"/>
              </w:rPr>
            </w:pPr>
            <w:r>
              <w:rPr>
                <w:noProof/>
              </w:rPr>
              <w:t>94</w:t>
            </w:r>
          </w:p>
        </w:tc>
        <w:tc>
          <w:tcPr>
            <w:tcW w:w="3583" w:type="dxa"/>
            <w:shd w:val="clear" w:color="auto" w:fill="EAF1DD" w:themeFill="accent3" w:themeFillTint="33"/>
            <w:hideMark/>
          </w:tcPr>
          <w:p w14:paraId="1D524CD6" w14:textId="77777777" w:rsidR="00FA40E8" w:rsidRDefault="00E74AE8">
            <w:pPr>
              <w:pStyle w:val="P68B1DB1-Normal38"/>
              <w:spacing w:after="0"/>
              <w:rPr>
                <w:noProof/>
                <w:szCs w:val="22"/>
              </w:rPr>
            </w:pPr>
            <w:r>
              <w:rPr>
                <w:noProof/>
              </w:rPr>
              <w:t>D.1.1. Enseignement général moderne — Contexte des compétences de base</w:t>
            </w:r>
            <w:r>
              <w:rPr>
                <w:noProof/>
              </w:rPr>
              <w:br/>
              <w:t>D.1.1.2. Réorganisation du réseau scolaire</w:t>
            </w:r>
          </w:p>
        </w:tc>
        <w:tc>
          <w:tcPr>
            <w:tcW w:w="1275" w:type="dxa"/>
            <w:shd w:val="clear" w:color="auto" w:fill="EAF1DD" w:themeFill="accent3" w:themeFillTint="33"/>
            <w:hideMark/>
          </w:tcPr>
          <w:p w14:paraId="795A6410"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1BBDAE1B" w14:textId="77777777" w:rsidR="00FA40E8" w:rsidRDefault="00E74AE8">
            <w:pPr>
              <w:pStyle w:val="P68B1DB1-Normal38"/>
              <w:spacing w:after="0"/>
              <w:rPr>
                <w:noProof/>
                <w:szCs w:val="22"/>
              </w:rPr>
            </w:pPr>
            <w:r>
              <w:rPr>
                <w:noProof/>
              </w:rPr>
              <w:t>Plans de transformation du réseau d’écoles d’enseignement général élaborés et approuvés par les municipalités conformément aux rè</w:t>
            </w:r>
            <w:r>
              <w:rPr>
                <w:noProof/>
              </w:rPr>
              <w:t>gles récemment approuvées pour le développement du réseau d’écoles mettant en œuvre des programmes d’enseignement formel</w:t>
            </w:r>
          </w:p>
        </w:tc>
      </w:tr>
      <w:tr w:rsidR="00FA40E8" w14:paraId="6AAE1A13" w14:textId="77777777">
        <w:trPr>
          <w:cantSplit/>
          <w:trHeight w:val="300"/>
        </w:trPr>
        <w:tc>
          <w:tcPr>
            <w:tcW w:w="1308" w:type="dxa"/>
            <w:shd w:val="clear" w:color="auto" w:fill="EAF1DD" w:themeFill="accent3" w:themeFillTint="33"/>
            <w:noWrap/>
            <w:vAlign w:val="center"/>
            <w:hideMark/>
          </w:tcPr>
          <w:p w14:paraId="0F60C967" w14:textId="77777777" w:rsidR="00FA40E8" w:rsidRDefault="00E74AE8">
            <w:pPr>
              <w:pStyle w:val="P68B1DB1-Normal38"/>
              <w:spacing w:after="0"/>
              <w:jc w:val="center"/>
              <w:rPr>
                <w:noProof/>
                <w:szCs w:val="22"/>
              </w:rPr>
            </w:pPr>
            <w:r>
              <w:rPr>
                <w:noProof/>
              </w:rPr>
              <w:t>95</w:t>
            </w:r>
          </w:p>
        </w:tc>
        <w:tc>
          <w:tcPr>
            <w:tcW w:w="3583" w:type="dxa"/>
            <w:shd w:val="clear" w:color="auto" w:fill="EAF1DD" w:themeFill="accent3" w:themeFillTint="33"/>
            <w:hideMark/>
          </w:tcPr>
          <w:p w14:paraId="0F1B2D71" w14:textId="77777777" w:rsidR="00FA40E8" w:rsidRDefault="00E74AE8">
            <w:pPr>
              <w:pStyle w:val="P68B1DB1-Normal38"/>
              <w:spacing w:after="0"/>
              <w:rPr>
                <w:noProof/>
                <w:szCs w:val="22"/>
              </w:rPr>
            </w:pPr>
            <w:r>
              <w:rPr>
                <w:noProof/>
              </w:rPr>
              <w:t>D.1.1.Enseignement général moderne — Contexte des compétences de base D.1.1.3: Programme des écoles du millénaire</w:t>
            </w:r>
          </w:p>
        </w:tc>
        <w:tc>
          <w:tcPr>
            <w:tcW w:w="1275" w:type="dxa"/>
            <w:shd w:val="clear" w:color="auto" w:fill="EAF1DD" w:themeFill="accent3" w:themeFillTint="33"/>
            <w:hideMark/>
          </w:tcPr>
          <w:p w14:paraId="20AB044C"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5BD08C95" w14:textId="77777777" w:rsidR="00FA40E8" w:rsidRDefault="00E74AE8">
            <w:pPr>
              <w:pStyle w:val="P68B1DB1-Normal38"/>
              <w:spacing w:after="0"/>
              <w:rPr>
                <w:noProof/>
                <w:szCs w:val="22"/>
              </w:rPr>
            </w:pPr>
            <w:r>
              <w:rPr>
                <w:noProof/>
              </w:rPr>
              <w:t xml:space="preserve">Entrée en </w:t>
            </w:r>
            <w:r>
              <w:rPr>
                <w:noProof/>
              </w:rPr>
              <w:t>vigueur de la législation relative au programme de progrès scolaire du Millénaire</w:t>
            </w:r>
          </w:p>
        </w:tc>
      </w:tr>
      <w:tr w:rsidR="00FA40E8" w14:paraId="7C42606D" w14:textId="77777777">
        <w:trPr>
          <w:cantSplit/>
          <w:trHeight w:val="300"/>
        </w:trPr>
        <w:tc>
          <w:tcPr>
            <w:tcW w:w="1308" w:type="dxa"/>
            <w:shd w:val="clear" w:color="auto" w:fill="EAF1DD" w:themeFill="accent3" w:themeFillTint="33"/>
            <w:noWrap/>
            <w:vAlign w:val="center"/>
            <w:hideMark/>
          </w:tcPr>
          <w:p w14:paraId="342B44F6" w14:textId="77777777" w:rsidR="00FA40E8" w:rsidRDefault="00E74AE8">
            <w:pPr>
              <w:pStyle w:val="P68B1DB1-Normal38"/>
              <w:spacing w:after="0"/>
              <w:jc w:val="center"/>
              <w:rPr>
                <w:noProof/>
                <w:szCs w:val="22"/>
              </w:rPr>
            </w:pPr>
            <w:r>
              <w:rPr>
                <w:noProof/>
              </w:rPr>
              <w:t>105</w:t>
            </w:r>
          </w:p>
        </w:tc>
        <w:tc>
          <w:tcPr>
            <w:tcW w:w="3583" w:type="dxa"/>
            <w:shd w:val="clear" w:color="auto" w:fill="EAF1DD" w:themeFill="accent3" w:themeFillTint="33"/>
            <w:hideMark/>
          </w:tcPr>
          <w:p w14:paraId="7B016715" w14:textId="77777777" w:rsidR="00FA40E8" w:rsidRDefault="00E74AE8">
            <w:pPr>
              <w:pStyle w:val="P68B1DB1-Normal38"/>
              <w:spacing w:after="0"/>
              <w:rPr>
                <w:noProof/>
                <w:szCs w:val="22"/>
              </w:rPr>
            </w:pPr>
            <w:r>
              <w:rPr>
                <w:noProof/>
              </w:rPr>
              <w:t>D.1.1. Enseignement général moderne — Contexte des compétences de base</w:t>
            </w:r>
            <w:r>
              <w:rPr>
                <w:noProof/>
              </w:rPr>
              <w:br/>
              <w:t>D.1.1.7: Améliorer l’éducation et l’accueil de la petite enfance</w:t>
            </w:r>
          </w:p>
        </w:tc>
        <w:tc>
          <w:tcPr>
            <w:tcW w:w="1275" w:type="dxa"/>
            <w:shd w:val="clear" w:color="auto" w:fill="EAF1DD" w:themeFill="accent3" w:themeFillTint="33"/>
            <w:hideMark/>
          </w:tcPr>
          <w:p w14:paraId="7FDC8909"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4A821A93" w14:textId="77777777" w:rsidR="00FA40E8" w:rsidRDefault="00E74AE8">
            <w:pPr>
              <w:pStyle w:val="P68B1DB1-Normal38"/>
              <w:spacing w:after="0"/>
              <w:rPr>
                <w:noProof/>
                <w:szCs w:val="22"/>
              </w:rPr>
            </w:pPr>
            <w:r>
              <w:rPr>
                <w:noProof/>
              </w:rPr>
              <w:t>Étude sur la faisabilité du</w:t>
            </w:r>
            <w:r>
              <w:rPr>
                <w:noProof/>
              </w:rPr>
              <w:t xml:space="preserve"> développement des infrastructures d’éducation de la petite enfance dans les municipalités</w:t>
            </w:r>
          </w:p>
        </w:tc>
      </w:tr>
      <w:tr w:rsidR="00FA40E8" w14:paraId="3AF4ED16" w14:textId="77777777">
        <w:trPr>
          <w:cantSplit/>
          <w:trHeight w:val="300"/>
        </w:trPr>
        <w:tc>
          <w:tcPr>
            <w:tcW w:w="1308" w:type="dxa"/>
            <w:shd w:val="clear" w:color="auto" w:fill="EAF1DD" w:themeFill="accent3" w:themeFillTint="33"/>
            <w:noWrap/>
            <w:vAlign w:val="center"/>
            <w:hideMark/>
          </w:tcPr>
          <w:p w14:paraId="197A2C70" w14:textId="77777777" w:rsidR="00FA40E8" w:rsidRDefault="00E74AE8">
            <w:pPr>
              <w:pStyle w:val="P68B1DB1-Normal38"/>
              <w:spacing w:after="0"/>
              <w:jc w:val="center"/>
              <w:rPr>
                <w:noProof/>
                <w:szCs w:val="22"/>
              </w:rPr>
            </w:pPr>
            <w:r>
              <w:rPr>
                <w:noProof/>
              </w:rPr>
              <w:t>110</w:t>
            </w:r>
          </w:p>
        </w:tc>
        <w:tc>
          <w:tcPr>
            <w:tcW w:w="3583" w:type="dxa"/>
            <w:shd w:val="clear" w:color="auto" w:fill="EAF1DD" w:themeFill="accent3" w:themeFillTint="33"/>
            <w:hideMark/>
          </w:tcPr>
          <w:p w14:paraId="7F077B75" w14:textId="77777777" w:rsidR="00FA40E8" w:rsidRDefault="00E74AE8">
            <w:pPr>
              <w:pStyle w:val="P68B1DB1-Normal38"/>
              <w:spacing w:after="0"/>
              <w:rPr>
                <w:noProof/>
                <w:szCs w:val="22"/>
              </w:rPr>
            </w:pPr>
            <w:r>
              <w:rPr>
                <w:noProof/>
              </w:rPr>
              <w:t>D.1.3. Système d’orientation professionnelle pour équilibrer l’offre et la demande sur le marché du travail</w:t>
            </w:r>
          </w:p>
        </w:tc>
        <w:tc>
          <w:tcPr>
            <w:tcW w:w="1275" w:type="dxa"/>
            <w:shd w:val="clear" w:color="auto" w:fill="EAF1DD" w:themeFill="accent3" w:themeFillTint="33"/>
            <w:hideMark/>
          </w:tcPr>
          <w:p w14:paraId="5D182F3D"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03D91B32" w14:textId="77777777" w:rsidR="00FA40E8" w:rsidRDefault="00E74AE8">
            <w:pPr>
              <w:spacing w:after="0"/>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rPr>
              <w:t xml:space="preserve">Entrée en vigueur de la </w:t>
            </w:r>
            <w:r>
              <w:rPr>
                <w:rFonts w:ascii="Times New Roman" w:eastAsia="Calibri" w:hAnsi="Times New Roman" w:cs="Times New Roman"/>
                <w:noProof/>
              </w:rPr>
              <w:t xml:space="preserve">résolution du </w:t>
            </w:r>
            <w:r>
              <w:rPr>
                <w:rFonts w:ascii="Times New Roman" w:eastAsia="Times New Roman" w:hAnsi="Times New Roman" w:cs="Times New Roman"/>
                <w:noProof/>
                <w:color w:val="000000"/>
              </w:rPr>
              <w:t>gouvernement sur les procédures régissant le système d’orientation professionnelle (orientation professionnelle)</w:t>
            </w:r>
          </w:p>
        </w:tc>
      </w:tr>
      <w:tr w:rsidR="00FA40E8" w14:paraId="21DBC641" w14:textId="77777777">
        <w:trPr>
          <w:cantSplit/>
          <w:trHeight w:val="300"/>
        </w:trPr>
        <w:tc>
          <w:tcPr>
            <w:tcW w:w="1308" w:type="dxa"/>
            <w:shd w:val="clear" w:color="auto" w:fill="EAF1DD" w:themeFill="accent3" w:themeFillTint="33"/>
            <w:noWrap/>
            <w:vAlign w:val="center"/>
            <w:hideMark/>
          </w:tcPr>
          <w:p w14:paraId="61382701" w14:textId="77777777" w:rsidR="00FA40E8" w:rsidRDefault="00E74AE8">
            <w:pPr>
              <w:pStyle w:val="P68B1DB1-Normal38"/>
              <w:spacing w:after="0"/>
              <w:jc w:val="center"/>
              <w:rPr>
                <w:noProof/>
                <w:szCs w:val="22"/>
              </w:rPr>
            </w:pPr>
            <w:r>
              <w:rPr>
                <w:noProof/>
              </w:rPr>
              <w:t>112</w:t>
            </w:r>
          </w:p>
        </w:tc>
        <w:tc>
          <w:tcPr>
            <w:tcW w:w="3583" w:type="dxa"/>
            <w:shd w:val="clear" w:color="auto" w:fill="EAF1DD" w:themeFill="accent3" w:themeFillTint="33"/>
            <w:hideMark/>
          </w:tcPr>
          <w:p w14:paraId="423D2C2D" w14:textId="69B433B9" w:rsidR="00FA40E8" w:rsidRDefault="00E74AE8">
            <w:pPr>
              <w:pStyle w:val="P68B1DB1-Normal38"/>
              <w:spacing w:after="0"/>
              <w:rPr>
                <w:noProof/>
                <w:szCs w:val="22"/>
              </w:rPr>
            </w:pPr>
            <w:r>
              <w:rPr>
                <w:noProof/>
              </w:rPr>
              <w:t xml:space="preserve">D.1.4. Compétences en matière de transformation numérique acquises dans l’enseignement et la formation professionnels </w:t>
            </w:r>
            <w:r>
              <w:rPr>
                <w:noProof/>
              </w:rPr>
              <w:br/>
              <w:t xml:space="preserve">D.1.4.1 Plateforme </w:t>
            </w:r>
            <w:r>
              <w:rPr>
                <w:noProof/>
              </w:rPr>
              <w:t>nationale pour l’avancement de l’enseignement et de la formation professionnels</w:t>
            </w:r>
          </w:p>
        </w:tc>
        <w:tc>
          <w:tcPr>
            <w:tcW w:w="1275" w:type="dxa"/>
            <w:shd w:val="clear" w:color="auto" w:fill="EAF1DD" w:themeFill="accent3" w:themeFillTint="33"/>
            <w:hideMark/>
          </w:tcPr>
          <w:p w14:paraId="3FD499E2"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5A203D48" w14:textId="77777777" w:rsidR="00FA40E8" w:rsidRDefault="00E74AE8">
            <w:pPr>
              <w:pStyle w:val="P68B1DB1-Normal38"/>
              <w:spacing w:after="0"/>
              <w:rPr>
                <w:noProof/>
                <w:szCs w:val="22"/>
              </w:rPr>
            </w:pPr>
            <w:r>
              <w:rPr>
                <w:noProof/>
              </w:rPr>
              <w:t>Entrée en vigueur de la législation relative à la mise en place de la plateforme nationale sur le progrès de l’enseignement et de la formation professionnels</w:t>
            </w:r>
          </w:p>
        </w:tc>
      </w:tr>
      <w:tr w:rsidR="00FA40E8" w14:paraId="40C27B93" w14:textId="77777777">
        <w:trPr>
          <w:cantSplit/>
          <w:trHeight w:val="300"/>
        </w:trPr>
        <w:tc>
          <w:tcPr>
            <w:tcW w:w="1308" w:type="dxa"/>
            <w:shd w:val="clear" w:color="auto" w:fill="EAF1DD" w:themeFill="accent3" w:themeFillTint="33"/>
            <w:noWrap/>
            <w:vAlign w:val="center"/>
            <w:hideMark/>
          </w:tcPr>
          <w:p w14:paraId="07516FF4" w14:textId="77777777" w:rsidR="00FA40E8" w:rsidRDefault="00E74AE8">
            <w:pPr>
              <w:pStyle w:val="P68B1DB1-Normal38"/>
              <w:spacing w:after="0"/>
              <w:jc w:val="center"/>
              <w:rPr>
                <w:noProof/>
                <w:szCs w:val="22"/>
              </w:rPr>
            </w:pPr>
            <w:r>
              <w:rPr>
                <w:noProof/>
              </w:rPr>
              <w:t>116</w:t>
            </w:r>
          </w:p>
        </w:tc>
        <w:tc>
          <w:tcPr>
            <w:tcW w:w="3583" w:type="dxa"/>
            <w:shd w:val="clear" w:color="auto" w:fill="EAF1DD" w:themeFill="accent3" w:themeFillTint="33"/>
            <w:hideMark/>
          </w:tcPr>
          <w:p w14:paraId="5A4089ED" w14:textId="17086A45" w:rsidR="00FA40E8" w:rsidRDefault="00E74AE8">
            <w:pPr>
              <w:pStyle w:val="P68B1DB1-Normal38"/>
              <w:spacing w:after="0"/>
              <w:rPr>
                <w:noProof/>
                <w:szCs w:val="22"/>
              </w:rPr>
            </w:pPr>
            <w:r>
              <w:rPr>
                <w:noProof/>
              </w:rPr>
              <w:t xml:space="preserve">D.1.4. Compétences en matière de transformation numérique acquises dans l’enseignement et la formation professionnels </w:t>
            </w:r>
            <w:r>
              <w:rPr>
                <w:noProof/>
              </w:rPr>
              <w:br/>
              <w:t>D.1.4.3: Apprentissage et formations</w:t>
            </w:r>
          </w:p>
        </w:tc>
        <w:tc>
          <w:tcPr>
            <w:tcW w:w="1275" w:type="dxa"/>
            <w:shd w:val="clear" w:color="auto" w:fill="EAF1DD" w:themeFill="accent3" w:themeFillTint="33"/>
            <w:hideMark/>
          </w:tcPr>
          <w:p w14:paraId="78F84254"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67158CAB" w14:textId="77777777" w:rsidR="00FA40E8" w:rsidRDefault="00E74AE8">
            <w:pPr>
              <w:pStyle w:val="P68B1DB1-Normal38"/>
              <w:spacing w:after="0"/>
              <w:rPr>
                <w:noProof/>
                <w:szCs w:val="22"/>
              </w:rPr>
            </w:pPr>
            <w:r>
              <w:rPr>
                <w:noProof/>
              </w:rPr>
              <w:t>Entrée en vigueur de la législation établissant un programme de soutien à l’apprentissage et à</w:t>
            </w:r>
            <w:r>
              <w:rPr>
                <w:noProof/>
              </w:rPr>
              <w:t xml:space="preserve"> la formation par le travail</w:t>
            </w:r>
          </w:p>
        </w:tc>
      </w:tr>
      <w:tr w:rsidR="00FA40E8" w14:paraId="662C8D3E" w14:textId="77777777">
        <w:trPr>
          <w:cantSplit/>
          <w:trHeight w:val="300"/>
        </w:trPr>
        <w:tc>
          <w:tcPr>
            <w:tcW w:w="1308" w:type="dxa"/>
            <w:shd w:val="clear" w:color="auto" w:fill="EAF1DD" w:themeFill="accent3" w:themeFillTint="33"/>
            <w:noWrap/>
            <w:vAlign w:val="center"/>
            <w:hideMark/>
          </w:tcPr>
          <w:p w14:paraId="000B8F1F" w14:textId="77777777" w:rsidR="00FA40E8" w:rsidRDefault="00E74AE8">
            <w:pPr>
              <w:pStyle w:val="P68B1DB1-Normal38"/>
              <w:spacing w:after="0"/>
              <w:jc w:val="center"/>
              <w:rPr>
                <w:noProof/>
                <w:szCs w:val="22"/>
              </w:rPr>
            </w:pPr>
            <w:r>
              <w:rPr>
                <w:noProof/>
              </w:rPr>
              <w:t>126</w:t>
            </w:r>
          </w:p>
        </w:tc>
        <w:tc>
          <w:tcPr>
            <w:tcW w:w="3583" w:type="dxa"/>
            <w:shd w:val="clear" w:color="auto" w:fill="EAF1DD" w:themeFill="accent3" w:themeFillTint="33"/>
            <w:hideMark/>
          </w:tcPr>
          <w:p w14:paraId="567E4E22" w14:textId="1EAFF2D9" w:rsidR="00FA40E8" w:rsidRDefault="00E74AE8">
            <w:pPr>
              <w:pStyle w:val="P68B1DB1-Normal38"/>
              <w:spacing w:after="0"/>
              <w:rPr>
                <w:noProof/>
                <w:szCs w:val="22"/>
              </w:rPr>
            </w:pPr>
            <w:r>
              <w:rPr>
                <w:noProof/>
              </w:rPr>
              <w:t>E.1.1. Un enseignement supérieur de qualité et des établissements d’enseignement supérieur solides — E.1.1.4. Promotion systématique de la R &amp; D dans les établissements d’enseignement supérieur et analyse de la recherche</w:t>
            </w:r>
          </w:p>
        </w:tc>
        <w:tc>
          <w:tcPr>
            <w:tcW w:w="1275" w:type="dxa"/>
            <w:shd w:val="clear" w:color="auto" w:fill="EAF1DD" w:themeFill="accent3" w:themeFillTint="33"/>
            <w:hideMark/>
          </w:tcPr>
          <w:p w14:paraId="46885F32"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78B8D767" w14:textId="77777777" w:rsidR="00FA40E8" w:rsidRDefault="00E74AE8">
            <w:pPr>
              <w:pStyle w:val="P68B1DB1-Normal38"/>
              <w:spacing w:after="0"/>
              <w:rPr>
                <w:noProof/>
                <w:szCs w:val="22"/>
              </w:rPr>
            </w:pPr>
            <w:r>
              <w:rPr>
                <w:noProof/>
              </w:rPr>
              <w:t>Entrée en vigueur de l’acte juridique établissant l’agence chargée de la mise en œuvre de la politique scientifique</w:t>
            </w:r>
          </w:p>
        </w:tc>
      </w:tr>
      <w:tr w:rsidR="00FA40E8" w14:paraId="34B3E2AB" w14:textId="77777777">
        <w:trPr>
          <w:cantSplit/>
          <w:trHeight w:val="300"/>
        </w:trPr>
        <w:tc>
          <w:tcPr>
            <w:tcW w:w="1308" w:type="dxa"/>
            <w:shd w:val="clear" w:color="auto" w:fill="EAF1DD" w:themeFill="accent3" w:themeFillTint="33"/>
            <w:noWrap/>
            <w:vAlign w:val="center"/>
            <w:hideMark/>
          </w:tcPr>
          <w:p w14:paraId="5633630E" w14:textId="77777777" w:rsidR="00FA40E8" w:rsidRDefault="00E74AE8">
            <w:pPr>
              <w:pStyle w:val="P68B1DB1-Normal38"/>
              <w:spacing w:after="0"/>
              <w:jc w:val="center"/>
              <w:rPr>
                <w:noProof/>
                <w:szCs w:val="22"/>
              </w:rPr>
            </w:pPr>
            <w:r>
              <w:rPr>
                <w:noProof/>
              </w:rPr>
              <w:t>127</w:t>
            </w:r>
          </w:p>
        </w:tc>
        <w:tc>
          <w:tcPr>
            <w:tcW w:w="3583" w:type="dxa"/>
            <w:shd w:val="clear" w:color="auto" w:fill="EAF1DD" w:themeFill="accent3" w:themeFillTint="33"/>
            <w:hideMark/>
          </w:tcPr>
          <w:p w14:paraId="0C6C00A2" w14:textId="0AC8080A" w:rsidR="00FA40E8" w:rsidRDefault="00E74AE8">
            <w:pPr>
              <w:pStyle w:val="P68B1DB1-Normal38"/>
              <w:spacing w:after="0"/>
              <w:rPr>
                <w:noProof/>
                <w:szCs w:val="22"/>
              </w:rPr>
            </w:pPr>
            <w:r>
              <w:rPr>
                <w:noProof/>
              </w:rPr>
              <w:t>E.1.2. Mise en œuvre efficace de la politique d’innovation, augmentation de la demande d’innovation, soutien à l’écosystème des j</w:t>
            </w:r>
            <w:r>
              <w:rPr>
                <w:noProof/>
              </w:rPr>
              <w:t>eunes pousses et à l’innovation verte — E.1.2.1. Mise en œuvre efficace de la politique d’innovation par la création d’une agence unique de promotion de l’innovation et l’optimisation du réseau des agences existantes</w:t>
            </w:r>
          </w:p>
        </w:tc>
        <w:tc>
          <w:tcPr>
            <w:tcW w:w="1275" w:type="dxa"/>
            <w:shd w:val="clear" w:color="auto" w:fill="EAF1DD" w:themeFill="accent3" w:themeFillTint="33"/>
            <w:hideMark/>
          </w:tcPr>
          <w:p w14:paraId="2660F396"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706D85D3" w14:textId="77777777" w:rsidR="00FA40E8" w:rsidRDefault="00E74AE8">
            <w:pPr>
              <w:pStyle w:val="P68B1DB1-Normal38"/>
              <w:spacing w:after="0"/>
              <w:rPr>
                <w:noProof/>
                <w:szCs w:val="22"/>
              </w:rPr>
            </w:pPr>
            <w:r>
              <w:rPr>
                <w:noProof/>
              </w:rPr>
              <w:t>L’entrée en vigueur de la résolution du gouvernement portant création de l’Agence pour l’innovation et transfert des fonctions de promotion de l’innovation d’autres agences</w:t>
            </w:r>
          </w:p>
        </w:tc>
      </w:tr>
      <w:tr w:rsidR="00FA40E8" w14:paraId="0AD2623E" w14:textId="77777777">
        <w:trPr>
          <w:cantSplit/>
          <w:trHeight w:val="300"/>
        </w:trPr>
        <w:tc>
          <w:tcPr>
            <w:tcW w:w="1308" w:type="dxa"/>
            <w:shd w:val="clear" w:color="auto" w:fill="EAF1DD" w:themeFill="accent3" w:themeFillTint="33"/>
            <w:noWrap/>
            <w:vAlign w:val="center"/>
            <w:hideMark/>
          </w:tcPr>
          <w:p w14:paraId="740B8D10" w14:textId="77777777" w:rsidR="00FA40E8" w:rsidRDefault="00E74AE8">
            <w:pPr>
              <w:pStyle w:val="P68B1DB1-Normal38"/>
              <w:spacing w:after="0"/>
              <w:jc w:val="center"/>
              <w:rPr>
                <w:noProof/>
                <w:szCs w:val="22"/>
              </w:rPr>
            </w:pPr>
            <w:r>
              <w:rPr>
                <w:noProof/>
              </w:rPr>
              <w:t>128</w:t>
            </w:r>
          </w:p>
        </w:tc>
        <w:tc>
          <w:tcPr>
            <w:tcW w:w="3583" w:type="dxa"/>
            <w:shd w:val="clear" w:color="auto" w:fill="EAF1DD" w:themeFill="accent3" w:themeFillTint="33"/>
            <w:hideMark/>
          </w:tcPr>
          <w:p w14:paraId="7A2FA1EF" w14:textId="61813693" w:rsidR="00FA40E8" w:rsidRDefault="00E74AE8">
            <w:pPr>
              <w:pStyle w:val="P68B1DB1-Normal38"/>
              <w:spacing w:after="0"/>
              <w:rPr>
                <w:noProof/>
                <w:szCs w:val="22"/>
              </w:rPr>
            </w:pPr>
            <w:r>
              <w:rPr>
                <w:noProof/>
              </w:rPr>
              <w:t xml:space="preserve">E.1.2 Mise en œuvre efficace de la politique d’innovation, augmentation de la </w:t>
            </w:r>
            <w:r>
              <w:rPr>
                <w:noProof/>
              </w:rPr>
              <w:t>demande d’innovation, soutien à l’écosystème des jeunes pousses et innovation verte — E.1.2.1. Mise en œuvre efficace de la politique d’innovation par la création d’une agence unique de promotion de l’innovation et l’optimisation du réseau des agences exis</w:t>
            </w:r>
            <w:r>
              <w:rPr>
                <w:noProof/>
              </w:rPr>
              <w:t>tantes</w:t>
            </w:r>
          </w:p>
        </w:tc>
        <w:tc>
          <w:tcPr>
            <w:tcW w:w="1275" w:type="dxa"/>
            <w:shd w:val="clear" w:color="auto" w:fill="EAF1DD" w:themeFill="accent3" w:themeFillTint="33"/>
            <w:hideMark/>
          </w:tcPr>
          <w:p w14:paraId="1064493C"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725A3C90" w14:textId="77777777" w:rsidR="00FA40E8" w:rsidRDefault="00E74AE8">
            <w:pPr>
              <w:pStyle w:val="P68B1DB1-Normal38"/>
              <w:spacing w:after="0"/>
              <w:rPr>
                <w:noProof/>
                <w:szCs w:val="22"/>
              </w:rPr>
            </w:pPr>
            <w:r>
              <w:rPr>
                <w:noProof/>
              </w:rPr>
              <w:t>Entrée en vigueur de la législation révisée sur les activités innovantes</w:t>
            </w:r>
          </w:p>
        </w:tc>
      </w:tr>
      <w:tr w:rsidR="00FA40E8" w14:paraId="0D29F0CC" w14:textId="77777777">
        <w:trPr>
          <w:cantSplit/>
          <w:trHeight w:val="300"/>
        </w:trPr>
        <w:tc>
          <w:tcPr>
            <w:tcW w:w="1308" w:type="dxa"/>
            <w:shd w:val="clear" w:color="auto" w:fill="EAF1DD" w:themeFill="accent3" w:themeFillTint="33"/>
            <w:noWrap/>
            <w:vAlign w:val="center"/>
            <w:hideMark/>
          </w:tcPr>
          <w:p w14:paraId="440F96CD" w14:textId="77777777" w:rsidR="00FA40E8" w:rsidRDefault="00E74AE8">
            <w:pPr>
              <w:pStyle w:val="P68B1DB1-Normal38"/>
              <w:spacing w:after="0"/>
              <w:jc w:val="center"/>
              <w:rPr>
                <w:noProof/>
                <w:szCs w:val="22"/>
              </w:rPr>
            </w:pPr>
            <w:r>
              <w:rPr>
                <w:noProof/>
              </w:rPr>
              <w:t>132</w:t>
            </w:r>
          </w:p>
        </w:tc>
        <w:tc>
          <w:tcPr>
            <w:tcW w:w="3583" w:type="dxa"/>
            <w:shd w:val="clear" w:color="auto" w:fill="EAF1DD" w:themeFill="accent3" w:themeFillTint="33"/>
            <w:hideMark/>
          </w:tcPr>
          <w:p w14:paraId="25190BBE" w14:textId="417ECA81" w:rsidR="00FA40E8" w:rsidRDefault="00E74AE8">
            <w:pPr>
              <w:pStyle w:val="P68B1DB1-Normal38"/>
              <w:spacing w:after="0"/>
              <w:rPr>
                <w:noProof/>
                <w:szCs w:val="22"/>
              </w:rPr>
            </w:pPr>
            <w:r>
              <w:rPr>
                <w:noProof/>
              </w:rPr>
              <w:t>E.1.3. Missions conjointes pour la science et l’innovation dans le domaine de la spécialisation intelligente — E.1.3.1. Définir des priorités en matière de spécialis</w:t>
            </w:r>
            <w:r>
              <w:rPr>
                <w:noProof/>
              </w:rPr>
              <w:t>ation intelligente</w:t>
            </w:r>
          </w:p>
        </w:tc>
        <w:tc>
          <w:tcPr>
            <w:tcW w:w="1275" w:type="dxa"/>
            <w:shd w:val="clear" w:color="auto" w:fill="EAF1DD" w:themeFill="accent3" w:themeFillTint="33"/>
            <w:hideMark/>
          </w:tcPr>
          <w:p w14:paraId="4CE4469F"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6C76305A" w14:textId="77777777" w:rsidR="00FA40E8" w:rsidRDefault="00E74AE8">
            <w:pPr>
              <w:pStyle w:val="P68B1DB1-Normal38"/>
              <w:spacing w:after="0"/>
              <w:rPr>
                <w:noProof/>
                <w:szCs w:val="22"/>
              </w:rPr>
            </w:pPr>
            <w:r>
              <w:rPr>
                <w:noProof/>
              </w:rPr>
              <w:t>Entrée en vigueur du concept révisé de spécialisation intelligente</w:t>
            </w:r>
          </w:p>
        </w:tc>
      </w:tr>
      <w:tr w:rsidR="00FA40E8" w14:paraId="7CDF9C6F" w14:textId="77777777">
        <w:trPr>
          <w:cantSplit/>
          <w:trHeight w:val="300"/>
        </w:trPr>
        <w:tc>
          <w:tcPr>
            <w:tcW w:w="1308" w:type="dxa"/>
            <w:shd w:val="clear" w:color="auto" w:fill="EAF1DD" w:themeFill="accent3" w:themeFillTint="33"/>
            <w:noWrap/>
            <w:vAlign w:val="center"/>
            <w:hideMark/>
          </w:tcPr>
          <w:p w14:paraId="1D077E94" w14:textId="77777777" w:rsidR="00FA40E8" w:rsidRDefault="00E74AE8">
            <w:pPr>
              <w:pStyle w:val="P68B1DB1-Normal38"/>
              <w:spacing w:after="0"/>
              <w:jc w:val="center"/>
              <w:rPr>
                <w:noProof/>
                <w:szCs w:val="22"/>
              </w:rPr>
            </w:pPr>
            <w:r>
              <w:rPr>
                <w:noProof/>
              </w:rPr>
              <w:t>142</w:t>
            </w:r>
          </w:p>
        </w:tc>
        <w:tc>
          <w:tcPr>
            <w:tcW w:w="3583" w:type="dxa"/>
            <w:shd w:val="clear" w:color="auto" w:fill="EAF1DD" w:themeFill="accent3" w:themeFillTint="33"/>
            <w:hideMark/>
          </w:tcPr>
          <w:p w14:paraId="438FBDA5" w14:textId="58A85C9D" w:rsidR="00FA40E8" w:rsidRDefault="00E74AE8">
            <w:pPr>
              <w:pStyle w:val="P68B1DB1-Normal38"/>
              <w:spacing w:after="0"/>
              <w:rPr>
                <w:noProof/>
                <w:szCs w:val="22"/>
              </w:rPr>
            </w:pPr>
            <w:r>
              <w:rPr>
                <w:noProof/>
              </w:rPr>
              <w:t>F.1.2. Un système fiscal plus juste et plus propice à la croissance. — F.1.2.1. La suppression ou la réduction des exonérations fiscales et des régimes fiscaux</w:t>
            </w:r>
            <w:r>
              <w:rPr>
                <w:noProof/>
              </w:rPr>
              <w:t xml:space="preserve"> spéciaux qui sont inefficaces, ne reflètent plus les priorités de l’État ou ne sont pas conformes au pacte vert;</w:t>
            </w:r>
          </w:p>
        </w:tc>
        <w:tc>
          <w:tcPr>
            <w:tcW w:w="1275" w:type="dxa"/>
            <w:shd w:val="clear" w:color="auto" w:fill="EAF1DD" w:themeFill="accent3" w:themeFillTint="33"/>
            <w:hideMark/>
          </w:tcPr>
          <w:p w14:paraId="7C6B4086"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39974FDD" w14:textId="77777777" w:rsidR="00FA40E8" w:rsidRDefault="00E74AE8">
            <w:pPr>
              <w:pStyle w:val="P68B1DB1-Normal38"/>
              <w:spacing w:after="0"/>
              <w:rPr>
                <w:noProof/>
                <w:szCs w:val="22"/>
              </w:rPr>
            </w:pPr>
            <w:r>
              <w:rPr>
                <w:noProof/>
              </w:rPr>
              <w:t>Présentation au parlement des propositions formulées sur la base d’une analyse approfondie en vue de la suppression des exonérations fis</w:t>
            </w:r>
            <w:r>
              <w:rPr>
                <w:noProof/>
              </w:rPr>
              <w:t>cales et des régimes fiscaux spéciaux</w:t>
            </w:r>
          </w:p>
        </w:tc>
      </w:tr>
      <w:tr w:rsidR="00FA40E8" w14:paraId="4226485F" w14:textId="77777777">
        <w:trPr>
          <w:cantSplit/>
          <w:trHeight w:val="300"/>
        </w:trPr>
        <w:tc>
          <w:tcPr>
            <w:tcW w:w="1308" w:type="dxa"/>
            <w:shd w:val="clear" w:color="auto" w:fill="EAF1DD" w:themeFill="accent3" w:themeFillTint="33"/>
            <w:noWrap/>
            <w:vAlign w:val="center"/>
            <w:hideMark/>
          </w:tcPr>
          <w:p w14:paraId="298155A5" w14:textId="77777777" w:rsidR="00FA40E8" w:rsidRDefault="00E74AE8">
            <w:pPr>
              <w:pStyle w:val="P68B1DB1-Normal38"/>
              <w:spacing w:after="0"/>
              <w:jc w:val="center"/>
              <w:rPr>
                <w:noProof/>
                <w:szCs w:val="22"/>
              </w:rPr>
            </w:pPr>
            <w:r>
              <w:rPr>
                <w:noProof/>
              </w:rPr>
              <w:t>144</w:t>
            </w:r>
          </w:p>
        </w:tc>
        <w:tc>
          <w:tcPr>
            <w:tcW w:w="3583" w:type="dxa"/>
            <w:shd w:val="clear" w:color="auto" w:fill="EAF1DD" w:themeFill="accent3" w:themeFillTint="33"/>
            <w:hideMark/>
          </w:tcPr>
          <w:p w14:paraId="61BF7694" w14:textId="35178BAE" w:rsidR="00FA40E8" w:rsidRDefault="00E74AE8">
            <w:pPr>
              <w:pStyle w:val="P68B1DB1-Normal38"/>
              <w:spacing w:after="0"/>
              <w:rPr>
                <w:noProof/>
                <w:szCs w:val="22"/>
              </w:rPr>
            </w:pPr>
            <w:r>
              <w:rPr>
                <w:noProof/>
              </w:rPr>
              <w:t>F.1.2. Un système fiscal plus juste et plus propice à la croissance — F.1.2.2. Sous-mesure 2: Élargissement de l’assiette fiscale à des sources qui n’entravent pas la croissance économique</w:t>
            </w:r>
          </w:p>
        </w:tc>
        <w:tc>
          <w:tcPr>
            <w:tcW w:w="1275" w:type="dxa"/>
            <w:shd w:val="clear" w:color="auto" w:fill="EAF1DD" w:themeFill="accent3" w:themeFillTint="33"/>
            <w:hideMark/>
          </w:tcPr>
          <w:p w14:paraId="0934EB3A"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4E30D348" w14:textId="77777777" w:rsidR="00FA40E8" w:rsidRDefault="00E74AE8">
            <w:pPr>
              <w:pStyle w:val="P68B1DB1-Normal38"/>
              <w:spacing w:after="0"/>
              <w:rPr>
                <w:noProof/>
                <w:szCs w:val="22"/>
              </w:rPr>
            </w:pPr>
            <w:r>
              <w:rPr>
                <w:noProof/>
              </w:rPr>
              <w:t>Présentation au Pa</w:t>
            </w:r>
            <w:r>
              <w:rPr>
                <w:noProof/>
              </w:rPr>
              <w:t>rlement, sur la base d’une analyse approfondie, des propositions visant à étendre les taxes environnementales et la taxation d’autres sources moins préjudiciables à la croissance économique</w:t>
            </w:r>
          </w:p>
        </w:tc>
      </w:tr>
      <w:tr w:rsidR="00FA40E8" w14:paraId="0C39815B" w14:textId="77777777">
        <w:trPr>
          <w:cantSplit/>
          <w:trHeight w:val="300"/>
        </w:trPr>
        <w:tc>
          <w:tcPr>
            <w:tcW w:w="1308" w:type="dxa"/>
            <w:shd w:val="clear" w:color="auto" w:fill="EAF1DD" w:themeFill="accent3" w:themeFillTint="33"/>
            <w:noWrap/>
            <w:vAlign w:val="center"/>
            <w:hideMark/>
          </w:tcPr>
          <w:p w14:paraId="51B34ED6" w14:textId="77777777" w:rsidR="00FA40E8" w:rsidRDefault="00E74AE8">
            <w:pPr>
              <w:pStyle w:val="P68B1DB1-Normal38"/>
              <w:spacing w:after="0"/>
              <w:jc w:val="center"/>
              <w:rPr>
                <w:noProof/>
                <w:szCs w:val="22"/>
              </w:rPr>
            </w:pPr>
            <w:r>
              <w:rPr>
                <w:noProof/>
              </w:rPr>
              <w:t>146</w:t>
            </w:r>
          </w:p>
        </w:tc>
        <w:tc>
          <w:tcPr>
            <w:tcW w:w="3583" w:type="dxa"/>
            <w:shd w:val="clear" w:color="auto" w:fill="EAF1DD" w:themeFill="accent3" w:themeFillTint="33"/>
            <w:hideMark/>
          </w:tcPr>
          <w:p w14:paraId="66E437EA" w14:textId="77777777" w:rsidR="00FA40E8" w:rsidRDefault="00E74AE8">
            <w:pPr>
              <w:pStyle w:val="P68B1DB1-Normal38"/>
              <w:spacing w:after="0"/>
              <w:rPr>
                <w:noProof/>
                <w:szCs w:val="22"/>
              </w:rPr>
            </w:pPr>
            <w:r>
              <w:rPr>
                <w:noProof/>
              </w:rPr>
              <w:t>F.1.2. Un système fiscal plus juste et plus propice à la croi</w:t>
            </w:r>
            <w:r>
              <w:rPr>
                <w:noProof/>
              </w:rPr>
              <w:t>ssance — F.1.2.3. Une évaluation de l’efficacité de la fiscalité et des cotisations d’assurance sociale dans la prévention de la pauvreté et la réduction des inégalités de revenus;</w:t>
            </w:r>
          </w:p>
        </w:tc>
        <w:tc>
          <w:tcPr>
            <w:tcW w:w="1275" w:type="dxa"/>
            <w:shd w:val="clear" w:color="auto" w:fill="EAF1DD" w:themeFill="accent3" w:themeFillTint="33"/>
            <w:hideMark/>
          </w:tcPr>
          <w:p w14:paraId="5C41F37B"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6926AFF7" w14:textId="77777777" w:rsidR="00FA40E8" w:rsidRDefault="00E74AE8">
            <w:pPr>
              <w:pStyle w:val="P68B1DB1-Normal38"/>
              <w:spacing w:after="0"/>
              <w:rPr>
                <w:noProof/>
                <w:szCs w:val="22"/>
              </w:rPr>
            </w:pPr>
            <w:r>
              <w:rPr>
                <w:noProof/>
              </w:rPr>
              <w:t xml:space="preserve">Réalisation de l’étude sur l’efficacité de l’impôt sur le revenu des </w:t>
            </w:r>
            <w:r>
              <w:rPr>
                <w:noProof/>
              </w:rPr>
              <w:t>personnes physiques et des cotisations d’assurance sociale dans la réduction de la pauvreté et des inégalités de revenus</w:t>
            </w:r>
          </w:p>
        </w:tc>
      </w:tr>
      <w:tr w:rsidR="00FA40E8" w14:paraId="4BEAEF49" w14:textId="77777777">
        <w:trPr>
          <w:cantSplit/>
          <w:trHeight w:val="300"/>
        </w:trPr>
        <w:tc>
          <w:tcPr>
            <w:tcW w:w="1308" w:type="dxa"/>
            <w:shd w:val="clear" w:color="auto" w:fill="EAF1DD" w:themeFill="accent3" w:themeFillTint="33"/>
            <w:noWrap/>
            <w:vAlign w:val="center"/>
            <w:hideMark/>
          </w:tcPr>
          <w:p w14:paraId="152445BF" w14:textId="77777777" w:rsidR="00FA40E8" w:rsidRDefault="00E74AE8">
            <w:pPr>
              <w:pStyle w:val="P68B1DB1-Normal38"/>
              <w:spacing w:after="0"/>
              <w:jc w:val="center"/>
              <w:rPr>
                <w:noProof/>
                <w:szCs w:val="22"/>
              </w:rPr>
            </w:pPr>
            <w:r>
              <w:rPr>
                <w:noProof/>
              </w:rPr>
              <w:t>152</w:t>
            </w:r>
          </w:p>
        </w:tc>
        <w:tc>
          <w:tcPr>
            <w:tcW w:w="3583" w:type="dxa"/>
            <w:shd w:val="clear" w:color="auto" w:fill="EAF1DD" w:themeFill="accent3" w:themeFillTint="33"/>
            <w:hideMark/>
          </w:tcPr>
          <w:p w14:paraId="2B946104" w14:textId="77777777" w:rsidR="00FA40E8" w:rsidRDefault="00E74AE8">
            <w:pPr>
              <w:pStyle w:val="P68B1DB1-Normal38"/>
              <w:spacing w:after="0"/>
              <w:rPr>
                <w:noProof/>
                <w:szCs w:val="22"/>
              </w:rPr>
            </w:pPr>
            <w:r>
              <w:rPr>
                <w:noProof/>
              </w:rPr>
              <w:t>F.1.3. Viabilité à long terme et transparence du budget national — F.1.3.4. Promouvoir les partenariats public-privé</w:t>
            </w:r>
          </w:p>
        </w:tc>
        <w:tc>
          <w:tcPr>
            <w:tcW w:w="1275" w:type="dxa"/>
            <w:shd w:val="clear" w:color="auto" w:fill="EAF1DD" w:themeFill="accent3" w:themeFillTint="33"/>
            <w:hideMark/>
          </w:tcPr>
          <w:p w14:paraId="765AABDE"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0F80668D" w14:textId="77777777" w:rsidR="00FA40E8" w:rsidRDefault="00E74AE8">
            <w:pPr>
              <w:pStyle w:val="P68B1DB1-Normal38"/>
              <w:spacing w:after="0"/>
              <w:rPr>
                <w:noProof/>
                <w:szCs w:val="22"/>
              </w:rPr>
            </w:pPr>
            <w:r>
              <w:rPr>
                <w:noProof/>
              </w:rPr>
              <w:t xml:space="preserve">Entrée </w:t>
            </w:r>
            <w:r>
              <w:rPr>
                <w:noProof/>
              </w:rPr>
              <w:t>en vigueur des modifications des règles relatives à la préparation et à la mise en œuvre des partenariats public-privé</w:t>
            </w:r>
          </w:p>
        </w:tc>
      </w:tr>
      <w:tr w:rsidR="00FA40E8" w14:paraId="30113101" w14:textId="77777777">
        <w:trPr>
          <w:cantSplit/>
          <w:trHeight w:val="300"/>
        </w:trPr>
        <w:tc>
          <w:tcPr>
            <w:tcW w:w="1308" w:type="dxa"/>
            <w:shd w:val="clear" w:color="auto" w:fill="EAF1DD" w:themeFill="accent3" w:themeFillTint="33"/>
            <w:noWrap/>
            <w:vAlign w:val="center"/>
            <w:hideMark/>
          </w:tcPr>
          <w:p w14:paraId="0EEAA8FA" w14:textId="77777777" w:rsidR="00FA40E8" w:rsidRDefault="00E74AE8">
            <w:pPr>
              <w:pStyle w:val="P68B1DB1-Normal38"/>
              <w:spacing w:after="0"/>
              <w:jc w:val="center"/>
              <w:rPr>
                <w:noProof/>
                <w:szCs w:val="22"/>
              </w:rPr>
            </w:pPr>
            <w:r>
              <w:rPr>
                <w:noProof/>
              </w:rPr>
              <w:t>155</w:t>
            </w:r>
          </w:p>
        </w:tc>
        <w:tc>
          <w:tcPr>
            <w:tcW w:w="3583" w:type="dxa"/>
            <w:shd w:val="clear" w:color="auto" w:fill="EAF1DD" w:themeFill="accent3" w:themeFillTint="33"/>
            <w:hideMark/>
          </w:tcPr>
          <w:p w14:paraId="5B61300C" w14:textId="77777777" w:rsidR="00FA40E8" w:rsidRDefault="00E74AE8">
            <w:pPr>
              <w:pStyle w:val="P68B1DB1-Normal38"/>
              <w:spacing w:after="0"/>
              <w:rPr>
                <w:noProof/>
                <w:szCs w:val="22"/>
              </w:rPr>
            </w:pPr>
            <w:r>
              <w:rPr>
                <w:noProof/>
              </w:rPr>
              <w:t>F.1.4. Amélioration du respect des obligations fiscales — F.1.4.1. Plus de transparence dans le commerce des véhicules d’occasion</w:t>
            </w:r>
          </w:p>
        </w:tc>
        <w:tc>
          <w:tcPr>
            <w:tcW w:w="1275" w:type="dxa"/>
            <w:shd w:val="clear" w:color="auto" w:fill="EAF1DD" w:themeFill="accent3" w:themeFillTint="33"/>
            <w:hideMark/>
          </w:tcPr>
          <w:p w14:paraId="3A7D2329" w14:textId="77777777" w:rsidR="00FA40E8" w:rsidRDefault="00E74AE8">
            <w:pPr>
              <w:pStyle w:val="P68B1DB1-Normal38"/>
              <w:spacing w:after="0"/>
              <w:jc w:val="center"/>
              <w:rPr>
                <w:noProof/>
                <w:szCs w:val="22"/>
              </w:rPr>
            </w:pPr>
            <w:r>
              <w:rPr>
                <w:noProof/>
              </w:rPr>
              <w:t>Ét</w:t>
            </w:r>
            <w:r>
              <w:rPr>
                <w:noProof/>
              </w:rPr>
              <w:t>ape</w:t>
            </w:r>
          </w:p>
        </w:tc>
        <w:tc>
          <w:tcPr>
            <w:tcW w:w="3613" w:type="dxa"/>
            <w:shd w:val="clear" w:color="auto" w:fill="EAF1DD" w:themeFill="accent3" w:themeFillTint="33"/>
            <w:hideMark/>
          </w:tcPr>
          <w:p w14:paraId="6DBABDD3" w14:textId="77777777" w:rsidR="00FA40E8" w:rsidRDefault="00E74AE8">
            <w:pPr>
              <w:pStyle w:val="P68B1DB1-Normal38"/>
              <w:spacing w:after="0"/>
              <w:rPr>
                <w:noProof/>
                <w:szCs w:val="22"/>
              </w:rPr>
            </w:pPr>
            <w:r>
              <w:rPr>
                <w:noProof/>
              </w:rPr>
              <w:t>L’inspection nationale des impôts et les douanes obtiennent des données sur les propriétaires de véhicules auprès du système comptable des propriétaires de véhicules</w:t>
            </w:r>
          </w:p>
        </w:tc>
      </w:tr>
      <w:tr w:rsidR="00FA40E8" w14:paraId="4B664706" w14:textId="77777777">
        <w:trPr>
          <w:cantSplit/>
          <w:trHeight w:val="300"/>
        </w:trPr>
        <w:tc>
          <w:tcPr>
            <w:tcW w:w="1308" w:type="dxa"/>
            <w:shd w:val="clear" w:color="auto" w:fill="EAF1DD" w:themeFill="accent3" w:themeFillTint="33"/>
            <w:noWrap/>
            <w:vAlign w:val="center"/>
            <w:hideMark/>
          </w:tcPr>
          <w:p w14:paraId="1E91B5D4" w14:textId="77777777" w:rsidR="00FA40E8" w:rsidRDefault="00E74AE8">
            <w:pPr>
              <w:pStyle w:val="P68B1DB1-Normal38"/>
              <w:spacing w:after="0"/>
              <w:jc w:val="center"/>
              <w:rPr>
                <w:noProof/>
                <w:szCs w:val="22"/>
              </w:rPr>
            </w:pPr>
            <w:r>
              <w:rPr>
                <w:noProof/>
              </w:rPr>
              <w:t>168</w:t>
            </w:r>
          </w:p>
        </w:tc>
        <w:tc>
          <w:tcPr>
            <w:tcW w:w="3583" w:type="dxa"/>
            <w:shd w:val="clear" w:color="auto" w:fill="EAF1DD" w:themeFill="accent3" w:themeFillTint="33"/>
            <w:hideMark/>
          </w:tcPr>
          <w:p w14:paraId="56F93DE9" w14:textId="6AAF8084" w:rsidR="00FA40E8" w:rsidRDefault="00E74AE8">
            <w:pPr>
              <w:spacing w:after="0"/>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 xml:space="preserve">F.1.6. </w:t>
            </w:r>
            <w:r>
              <w:rPr>
                <w:rFonts w:ascii="Times New Roman" w:eastAsia="Calibri" w:hAnsi="Times New Roman" w:cs="Times New Roman"/>
                <w:noProof/>
              </w:rPr>
              <w:t>Une administration fiscale intelligente pour réduire l’écart de TVA</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rPr>
              <w:t xml:space="preserve"> </w:t>
            </w:r>
            <w:r>
              <w:rPr>
                <w:rFonts w:ascii="Times New Roman" w:hAnsi="Times New Roman" w:cs="Times New Roman"/>
                <w:noProof/>
              </w:rPr>
              <w:t>F.1.6.3. Robotisation des processus d’entreprise à l’inspection nationale des impôts</w:t>
            </w:r>
          </w:p>
        </w:tc>
        <w:tc>
          <w:tcPr>
            <w:tcW w:w="1275" w:type="dxa"/>
            <w:shd w:val="clear" w:color="auto" w:fill="EAF1DD" w:themeFill="accent3" w:themeFillTint="33"/>
            <w:hideMark/>
          </w:tcPr>
          <w:p w14:paraId="32C900D1"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64311E5A" w14:textId="77777777" w:rsidR="00FA40E8" w:rsidRDefault="00E74AE8">
            <w:pPr>
              <w:pStyle w:val="P68B1DB1-Normal38"/>
              <w:spacing w:after="0"/>
              <w:rPr>
                <w:noProof/>
                <w:szCs w:val="22"/>
              </w:rPr>
            </w:pPr>
            <w:r>
              <w:rPr>
                <w:noProof/>
              </w:rPr>
              <w:t>Achèvement de l’automatisation de deux processus opérationnels par l’inspection nationale des impôts</w:t>
            </w:r>
          </w:p>
        </w:tc>
      </w:tr>
      <w:tr w:rsidR="00FA40E8" w14:paraId="458132BD" w14:textId="77777777">
        <w:trPr>
          <w:cantSplit/>
          <w:trHeight w:val="300"/>
        </w:trPr>
        <w:tc>
          <w:tcPr>
            <w:tcW w:w="1308" w:type="dxa"/>
            <w:shd w:val="clear" w:color="auto" w:fill="EAF1DD" w:themeFill="accent3" w:themeFillTint="33"/>
            <w:noWrap/>
            <w:vAlign w:val="center"/>
            <w:hideMark/>
          </w:tcPr>
          <w:p w14:paraId="2DBF9356" w14:textId="77777777" w:rsidR="00FA40E8" w:rsidRDefault="00E74AE8">
            <w:pPr>
              <w:pStyle w:val="P68B1DB1-Normal38"/>
              <w:spacing w:after="0"/>
              <w:jc w:val="center"/>
              <w:rPr>
                <w:noProof/>
                <w:szCs w:val="22"/>
              </w:rPr>
            </w:pPr>
            <w:r>
              <w:rPr>
                <w:noProof/>
              </w:rPr>
              <w:t>179</w:t>
            </w:r>
          </w:p>
        </w:tc>
        <w:tc>
          <w:tcPr>
            <w:tcW w:w="3583" w:type="dxa"/>
            <w:shd w:val="clear" w:color="auto" w:fill="EAF1DD" w:themeFill="accent3" w:themeFillTint="33"/>
            <w:hideMark/>
          </w:tcPr>
          <w:p w14:paraId="29842223" w14:textId="77777777" w:rsidR="00FA40E8" w:rsidRDefault="00E74AE8">
            <w:pPr>
              <w:pStyle w:val="P68B1DB1-Normal38"/>
              <w:spacing w:after="0"/>
              <w:rPr>
                <w:noProof/>
                <w:szCs w:val="22"/>
              </w:rPr>
            </w:pPr>
            <w:r>
              <w:rPr>
                <w:noProof/>
              </w:rPr>
              <w:t>F.1.9. Système de répertoire pour l’audit et les contrôles</w:t>
            </w:r>
          </w:p>
        </w:tc>
        <w:tc>
          <w:tcPr>
            <w:tcW w:w="1275" w:type="dxa"/>
            <w:shd w:val="clear" w:color="auto" w:fill="EAF1DD" w:themeFill="accent3" w:themeFillTint="33"/>
            <w:hideMark/>
          </w:tcPr>
          <w:p w14:paraId="4D1E4EAA"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1EBCA135" w14:textId="77777777" w:rsidR="00FA40E8" w:rsidRDefault="00E74AE8">
            <w:pPr>
              <w:pStyle w:val="P68B1DB1-Normal38"/>
              <w:spacing w:after="0"/>
              <w:rPr>
                <w:noProof/>
                <w:szCs w:val="22"/>
              </w:rPr>
            </w:pPr>
            <w:r>
              <w:rPr>
                <w:noProof/>
              </w:rPr>
              <w:t>Système de répertoire pour l’audit et les contrôles: informations pour le suivi de la mise en œuvre de la FRR</w:t>
            </w:r>
          </w:p>
        </w:tc>
      </w:tr>
      <w:tr w:rsidR="00FA40E8" w14:paraId="2574D6E4" w14:textId="77777777">
        <w:trPr>
          <w:cantSplit/>
          <w:trHeight w:val="300"/>
        </w:trPr>
        <w:tc>
          <w:tcPr>
            <w:tcW w:w="1308" w:type="dxa"/>
            <w:shd w:val="clear" w:color="auto" w:fill="EAF1DD" w:themeFill="accent3" w:themeFillTint="33"/>
            <w:noWrap/>
            <w:vAlign w:val="center"/>
            <w:hideMark/>
          </w:tcPr>
          <w:p w14:paraId="08845741" w14:textId="77777777" w:rsidR="00FA40E8" w:rsidRDefault="00E74AE8">
            <w:pPr>
              <w:pStyle w:val="P68B1DB1-Normal38"/>
              <w:spacing w:after="0"/>
              <w:jc w:val="center"/>
              <w:rPr>
                <w:noProof/>
                <w:szCs w:val="22"/>
              </w:rPr>
            </w:pPr>
            <w:r>
              <w:rPr>
                <w:noProof/>
              </w:rPr>
              <w:t>182</w:t>
            </w:r>
          </w:p>
        </w:tc>
        <w:tc>
          <w:tcPr>
            <w:tcW w:w="3583" w:type="dxa"/>
            <w:shd w:val="clear" w:color="auto" w:fill="EAF1DD" w:themeFill="accent3" w:themeFillTint="33"/>
            <w:hideMark/>
          </w:tcPr>
          <w:p w14:paraId="5813FCE1" w14:textId="77777777" w:rsidR="00FA40E8" w:rsidRDefault="00E74AE8">
            <w:pPr>
              <w:pStyle w:val="P68B1DB1-Normal38"/>
              <w:spacing w:after="0"/>
              <w:rPr>
                <w:noProof/>
                <w:szCs w:val="22"/>
              </w:rPr>
            </w:pPr>
            <w:r>
              <w:rPr>
                <w:noProof/>
              </w:rPr>
              <w:t xml:space="preserve">G.1.1. Protection du revenu minimum garanti — G.1.1.2. Mesures supplémentaires visant à accroître l’adéquation et la viabilité des </w:t>
            </w:r>
            <w:r>
              <w:rPr>
                <w:noProof/>
              </w:rPr>
              <w:t>prestations sociales</w:t>
            </w:r>
          </w:p>
        </w:tc>
        <w:tc>
          <w:tcPr>
            <w:tcW w:w="1275" w:type="dxa"/>
            <w:shd w:val="clear" w:color="auto" w:fill="EAF1DD" w:themeFill="accent3" w:themeFillTint="33"/>
            <w:hideMark/>
          </w:tcPr>
          <w:p w14:paraId="11D91A49"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50D20E21" w14:textId="77777777" w:rsidR="00FA40E8" w:rsidRDefault="00E74AE8">
            <w:pPr>
              <w:pStyle w:val="P68B1DB1-Normal38"/>
              <w:spacing w:after="0"/>
              <w:rPr>
                <w:noProof/>
                <w:szCs w:val="22"/>
              </w:rPr>
            </w:pPr>
            <w:r>
              <w:rPr>
                <w:noProof/>
              </w:rPr>
              <w:t>Entrée en vigueur de la législation introduisant une prestation supplémentaire pour les personnes handicapées et les personnes âgées célibataires</w:t>
            </w:r>
          </w:p>
        </w:tc>
      </w:tr>
      <w:tr w:rsidR="00FA40E8" w14:paraId="682E8DEE" w14:textId="77777777">
        <w:trPr>
          <w:cantSplit/>
          <w:trHeight w:val="300"/>
        </w:trPr>
        <w:tc>
          <w:tcPr>
            <w:tcW w:w="1308" w:type="dxa"/>
            <w:shd w:val="clear" w:color="auto" w:fill="EAF1DD" w:themeFill="accent3" w:themeFillTint="33"/>
            <w:noWrap/>
            <w:vAlign w:val="center"/>
            <w:hideMark/>
          </w:tcPr>
          <w:p w14:paraId="0E64A693" w14:textId="77777777" w:rsidR="00FA40E8" w:rsidRDefault="00E74AE8">
            <w:pPr>
              <w:pStyle w:val="P68B1DB1-Normal38"/>
              <w:spacing w:after="0"/>
              <w:jc w:val="center"/>
              <w:rPr>
                <w:noProof/>
                <w:szCs w:val="22"/>
              </w:rPr>
            </w:pPr>
            <w:r>
              <w:rPr>
                <w:noProof/>
              </w:rPr>
              <w:t>185</w:t>
            </w:r>
          </w:p>
        </w:tc>
        <w:tc>
          <w:tcPr>
            <w:tcW w:w="3583" w:type="dxa"/>
            <w:shd w:val="clear" w:color="auto" w:fill="EAF1DD" w:themeFill="accent3" w:themeFillTint="33"/>
            <w:hideMark/>
          </w:tcPr>
          <w:p w14:paraId="4656FC4A" w14:textId="77777777" w:rsidR="00FA40E8" w:rsidRDefault="00E74AE8">
            <w:pPr>
              <w:pStyle w:val="P68B1DB1-Normal38"/>
              <w:spacing w:after="0"/>
              <w:rPr>
                <w:noProof/>
                <w:szCs w:val="22"/>
              </w:rPr>
            </w:pPr>
            <w:r>
              <w:rPr>
                <w:noProof/>
              </w:rPr>
              <w:t>G.1.1. Protection du revenu minimum garanti — G.1.1.3. Accréditation de l’aide</w:t>
            </w:r>
            <w:r>
              <w:rPr>
                <w:noProof/>
              </w:rPr>
              <w:t xml:space="preserve"> sociale</w:t>
            </w:r>
          </w:p>
        </w:tc>
        <w:tc>
          <w:tcPr>
            <w:tcW w:w="1275" w:type="dxa"/>
            <w:shd w:val="clear" w:color="auto" w:fill="EAF1DD" w:themeFill="accent3" w:themeFillTint="33"/>
            <w:hideMark/>
          </w:tcPr>
          <w:p w14:paraId="12198724"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786224E6" w14:textId="77777777" w:rsidR="00FA40E8" w:rsidRDefault="00E74AE8">
            <w:pPr>
              <w:pStyle w:val="P68B1DB1-Normal38"/>
              <w:spacing w:after="0"/>
              <w:rPr>
                <w:noProof/>
                <w:szCs w:val="22"/>
              </w:rPr>
            </w:pPr>
            <w:r>
              <w:rPr>
                <w:noProof/>
              </w:rPr>
              <w:t>Entrée en vigueur de la législation sur les exigences relatives à la fourniture de services sociaux agréés</w:t>
            </w:r>
          </w:p>
        </w:tc>
      </w:tr>
      <w:tr w:rsidR="00FA40E8" w14:paraId="728763E4" w14:textId="77777777">
        <w:trPr>
          <w:cantSplit/>
          <w:trHeight w:val="300"/>
        </w:trPr>
        <w:tc>
          <w:tcPr>
            <w:tcW w:w="1308" w:type="dxa"/>
            <w:shd w:val="clear" w:color="auto" w:fill="EAF1DD" w:themeFill="accent3" w:themeFillTint="33"/>
            <w:noWrap/>
            <w:vAlign w:val="center"/>
            <w:hideMark/>
          </w:tcPr>
          <w:p w14:paraId="5D07BF66" w14:textId="77777777" w:rsidR="00FA40E8" w:rsidRDefault="00E74AE8">
            <w:pPr>
              <w:pStyle w:val="P68B1DB1-Normal38"/>
              <w:spacing w:after="0"/>
              <w:jc w:val="center"/>
              <w:rPr>
                <w:noProof/>
                <w:szCs w:val="22"/>
              </w:rPr>
            </w:pPr>
            <w:r>
              <w:rPr>
                <w:noProof/>
              </w:rPr>
              <w:t>186</w:t>
            </w:r>
          </w:p>
        </w:tc>
        <w:tc>
          <w:tcPr>
            <w:tcW w:w="3583" w:type="dxa"/>
            <w:shd w:val="clear" w:color="auto" w:fill="EAF1DD" w:themeFill="accent3" w:themeFillTint="33"/>
            <w:hideMark/>
          </w:tcPr>
          <w:p w14:paraId="0D468107" w14:textId="69E241EF" w:rsidR="00FA40E8" w:rsidRDefault="00E74AE8">
            <w:pPr>
              <w:pStyle w:val="P68B1DB1-Normal38"/>
              <w:spacing w:after="0"/>
              <w:rPr>
                <w:noProof/>
                <w:szCs w:val="22"/>
              </w:rPr>
            </w:pPr>
            <w:r>
              <w:rPr>
                <w:noProof/>
              </w:rPr>
              <w:t xml:space="preserve">G.1.2. Aide à l’emploi axée sur le client — G.1.2.1. Optimisation et numérisation des processus opérationnels des services de </w:t>
            </w:r>
            <w:r>
              <w:rPr>
                <w:noProof/>
              </w:rPr>
              <w:t>l’emploi, en garantissant une orientation systématique vers les clients</w:t>
            </w:r>
          </w:p>
        </w:tc>
        <w:tc>
          <w:tcPr>
            <w:tcW w:w="1275" w:type="dxa"/>
            <w:shd w:val="clear" w:color="auto" w:fill="EAF1DD" w:themeFill="accent3" w:themeFillTint="33"/>
            <w:hideMark/>
          </w:tcPr>
          <w:p w14:paraId="64D09C44"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3207DBC8" w14:textId="77777777" w:rsidR="00FA40E8" w:rsidRDefault="00E74AE8">
            <w:pPr>
              <w:pStyle w:val="P68B1DB1-Normal38"/>
              <w:spacing w:after="0"/>
              <w:rPr>
                <w:noProof/>
                <w:szCs w:val="22"/>
              </w:rPr>
            </w:pPr>
            <w:r>
              <w:rPr>
                <w:noProof/>
              </w:rPr>
              <w:t>Entrée en vigueur de la législation régissant les processus opérationnels du service de l’emploi</w:t>
            </w:r>
          </w:p>
        </w:tc>
      </w:tr>
      <w:tr w:rsidR="00FA40E8" w14:paraId="66FD78FD" w14:textId="77777777">
        <w:trPr>
          <w:cantSplit/>
          <w:trHeight w:val="300"/>
        </w:trPr>
        <w:tc>
          <w:tcPr>
            <w:tcW w:w="1308" w:type="dxa"/>
            <w:shd w:val="clear" w:color="auto" w:fill="EAF1DD" w:themeFill="accent3" w:themeFillTint="33"/>
            <w:noWrap/>
            <w:vAlign w:val="center"/>
            <w:hideMark/>
          </w:tcPr>
          <w:p w14:paraId="4F1012AB" w14:textId="77777777" w:rsidR="00FA40E8" w:rsidRDefault="00E74AE8">
            <w:pPr>
              <w:pStyle w:val="P68B1DB1-Normal38"/>
              <w:spacing w:after="0"/>
              <w:jc w:val="center"/>
              <w:rPr>
                <w:noProof/>
                <w:szCs w:val="22"/>
              </w:rPr>
            </w:pPr>
            <w:r>
              <w:rPr>
                <w:noProof/>
              </w:rPr>
              <w:t>188</w:t>
            </w:r>
          </w:p>
        </w:tc>
        <w:tc>
          <w:tcPr>
            <w:tcW w:w="3583" w:type="dxa"/>
            <w:shd w:val="clear" w:color="auto" w:fill="EAF1DD" w:themeFill="accent3" w:themeFillTint="33"/>
            <w:hideMark/>
          </w:tcPr>
          <w:p w14:paraId="36A9193E" w14:textId="64C8675A" w:rsidR="00FA40E8" w:rsidRDefault="00E74AE8">
            <w:pPr>
              <w:pStyle w:val="P68B1DB1-Normal38"/>
              <w:spacing w:after="0"/>
              <w:rPr>
                <w:noProof/>
                <w:szCs w:val="22"/>
              </w:rPr>
            </w:pPr>
            <w:r>
              <w:rPr>
                <w:noProof/>
              </w:rPr>
              <w:t xml:space="preserve">G.1.2. Aide à l’emploi axée sur le client — G.1.2.2. Accroître la portée et </w:t>
            </w:r>
            <w:r>
              <w:rPr>
                <w:noProof/>
              </w:rPr>
              <w:t>la diversité des mesures de soutien à l’emploi</w:t>
            </w:r>
          </w:p>
        </w:tc>
        <w:tc>
          <w:tcPr>
            <w:tcW w:w="1275" w:type="dxa"/>
            <w:shd w:val="clear" w:color="auto" w:fill="EAF1DD" w:themeFill="accent3" w:themeFillTint="33"/>
            <w:hideMark/>
          </w:tcPr>
          <w:p w14:paraId="103A2150"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hideMark/>
          </w:tcPr>
          <w:p w14:paraId="53EABAA7" w14:textId="77777777" w:rsidR="00FA40E8" w:rsidRDefault="00E74AE8">
            <w:pPr>
              <w:pStyle w:val="P68B1DB1-Normal38"/>
              <w:spacing w:after="0"/>
              <w:rPr>
                <w:noProof/>
                <w:szCs w:val="22"/>
              </w:rPr>
            </w:pPr>
            <w:r>
              <w:rPr>
                <w:noProof/>
              </w:rPr>
              <w:t xml:space="preserve">Entrée en vigueur de la législation régissant le régime d’aide à l’emploi pour la mise en œuvre des mesures pilotes </w:t>
            </w:r>
          </w:p>
          <w:p w14:paraId="211CBFF9" w14:textId="45EA988A" w:rsidR="00FA40E8" w:rsidRDefault="00E74AE8">
            <w:pPr>
              <w:pStyle w:val="P68B1DB1-Normal38"/>
              <w:spacing w:after="0"/>
              <w:rPr>
                <w:noProof/>
                <w:szCs w:val="22"/>
              </w:rPr>
            </w:pPr>
            <w:r>
              <w:rPr>
                <w:noProof/>
              </w:rPr>
              <w:t>(Promouvoir l’esprit d’entreprise et soutenir l’apprentissage qui offre des qualificat</w:t>
            </w:r>
            <w:r>
              <w:rPr>
                <w:noProof/>
              </w:rPr>
              <w:t>ions et des compétences à haute valeur ajoutée, en mettant l’accent sur la transition numérique et écologique)</w:t>
            </w:r>
          </w:p>
        </w:tc>
      </w:tr>
      <w:tr w:rsidR="00FA40E8" w14:paraId="1B42C0B9" w14:textId="77777777">
        <w:trPr>
          <w:cantSplit/>
          <w:trHeight w:val="300"/>
        </w:trPr>
        <w:tc>
          <w:tcPr>
            <w:tcW w:w="1308" w:type="dxa"/>
            <w:shd w:val="clear" w:color="auto" w:fill="EAF1DD" w:themeFill="accent3" w:themeFillTint="33"/>
            <w:hideMark/>
          </w:tcPr>
          <w:p w14:paraId="25177155" w14:textId="77777777" w:rsidR="00FA40E8" w:rsidRDefault="00FA40E8">
            <w:pPr>
              <w:spacing w:after="0"/>
              <w:jc w:val="center"/>
              <w:rPr>
                <w:rFonts w:ascii="Times New Roman" w:eastAsia="Times New Roman" w:hAnsi="Times New Roman" w:cs="Times New Roman"/>
                <w:noProof/>
                <w:color w:val="000000"/>
                <w:szCs w:val="22"/>
              </w:rPr>
            </w:pPr>
          </w:p>
        </w:tc>
        <w:tc>
          <w:tcPr>
            <w:tcW w:w="3583" w:type="dxa"/>
            <w:shd w:val="clear" w:color="auto" w:fill="EAF1DD" w:themeFill="accent3" w:themeFillTint="33"/>
            <w:hideMark/>
          </w:tcPr>
          <w:p w14:paraId="0F63812E" w14:textId="77777777" w:rsidR="00FA40E8" w:rsidRDefault="00FA40E8">
            <w:pPr>
              <w:spacing w:after="0"/>
              <w:rPr>
                <w:rFonts w:ascii="Times New Roman" w:eastAsia="Times New Roman" w:hAnsi="Times New Roman" w:cs="Times New Roman"/>
                <w:noProof/>
                <w:szCs w:val="22"/>
              </w:rPr>
            </w:pPr>
          </w:p>
        </w:tc>
        <w:tc>
          <w:tcPr>
            <w:tcW w:w="1275" w:type="dxa"/>
            <w:shd w:val="clear" w:color="auto" w:fill="EAF1DD" w:themeFill="accent3" w:themeFillTint="33"/>
            <w:vAlign w:val="center"/>
            <w:hideMark/>
          </w:tcPr>
          <w:p w14:paraId="775F7722" w14:textId="77777777" w:rsidR="00FA40E8" w:rsidRDefault="00E74AE8">
            <w:pPr>
              <w:pStyle w:val="P68B1DB1-Normal38"/>
              <w:spacing w:after="0"/>
              <w:jc w:val="center"/>
              <w:rPr>
                <w:noProof/>
                <w:szCs w:val="22"/>
              </w:rPr>
            </w:pPr>
            <w:r>
              <w:rPr>
                <w:noProof/>
              </w:rPr>
              <w:t>Montant de l’acompte</w:t>
            </w:r>
          </w:p>
        </w:tc>
        <w:tc>
          <w:tcPr>
            <w:tcW w:w="3613" w:type="dxa"/>
            <w:shd w:val="clear" w:color="auto" w:fill="EAF1DD" w:themeFill="accent3" w:themeFillTint="33"/>
            <w:noWrap/>
            <w:vAlign w:val="center"/>
            <w:hideMark/>
          </w:tcPr>
          <w:p w14:paraId="246A40C0" w14:textId="407F7611" w:rsidR="00FA40E8" w:rsidRDefault="00E74AE8">
            <w:pPr>
              <w:spacing w:after="0"/>
              <w:rPr>
                <w:rFonts w:ascii="Times New Roman" w:eastAsia="Calibri" w:hAnsi="Times New Roman" w:cs="Times New Roman"/>
                <w:noProof/>
                <w:color w:val="000000"/>
              </w:rPr>
            </w:pP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color w:val="000000" w:themeColor="text1"/>
              </w:rPr>
              <w:t>649</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color w:val="000000" w:themeColor="text1"/>
              </w:rPr>
              <w:t>543</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color w:val="000000" w:themeColor="text1"/>
              </w:rPr>
              <w:t>707</w:t>
            </w:r>
            <w:r>
              <w:rPr>
                <w:rFonts w:ascii="Times New Roman" w:eastAsia="Times New Roman" w:hAnsi="Times New Roman" w:cs="Times New Roman"/>
                <w:noProof/>
                <w:color w:val="000000" w:themeColor="text1"/>
              </w:rPr>
              <w:t xml:space="preserve"> EUR</w:t>
            </w:r>
          </w:p>
        </w:tc>
      </w:tr>
    </w:tbl>
    <w:p w14:paraId="6AE82ACF" w14:textId="2F400850" w:rsidR="00FA40E8" w:rsidRDefault="00E74AE8">
      <w:pPr>
        <w:pStyle w:val="P68B1DB1-ListParagraph36"/>
        <w:keepNext/>
        <w:keepLines/>
        <w:numPr>
          <w:ilvl w:val="1"/>
          <w:numId w:val="110"/>
        </w:numPr>
        <w:spacing w:before="480" w:line="240" w:lineRule="auto"/>
        <w:jc w:val="both"/>
        <w:rPr>
          <w:noProof/>
        </w:rPr>
      </w:pPr>
      <w:r>
        <w:rPr>
          <w:noProof/>
        </w:rPr>
        <w:t>Deuxième tranche (soutien non remboursable):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3721"/>
        <w:gridCol w:w="1276"/>
        <w:gridCol w:w="3651"/>
      </w:tblGrid>
      <w:tr w:rsidR="00FA40E8" w14:paraId="165F9E90" w14:textId="77777777">
        <w:trPr>
          <w:cantSplit/>
          <w:tblHeader/>
        </w:trPr>
        <w:tc>
          <w:tcPr>
            <w:tcW w:w="1207" w:type="dxa"/>
            <w:shd w:val="clear" w:color="auto" w:fill="BDD7EE"/>
            <w:vAlign w:val="center"/>
          </w:tcPr>
          <w:p w14:paraId="67BF2A7A" w14:textId="77777777" w:rsidR="00FA40E8" w:rsidRDefault="00E74AE8">
            <w:pPr>
              <w:pStyle w:val="P68B1DB1-Normal37"/>
              <w:keepNext/>
              <w:keepLines/>
              <w:spacing w:after="0"/>
              <w:jc w:val="center"/>
              <w:rPr>
                <w:bCs/>
                <w:noProof/>
                <w:szCs w:val="22"/>
              </w:rPr>
            </w:pPr>
            <w:r>
              <w:rPr>
                <w:noProof/>
              </w:rPr>
              <w:t>Numéro séquentiel</w:t>
            </w:r>
          </w:p>
        </w:tc>
        <w:tc>
          <w:tcPr>
            <w:tcW w:w="3721" w:type="dxa"/>
            <w:shd w:val="clear" w:color="auto" w:fill="BDD7EE"/>
            <w:vAlign w:val="center"/>
          </w:tcPr>
          <w:p w14:paraId="2BCD7E16" w14:textId="77777777" w:rsidR="00FA40E8" w:rsidRDefault="00E74AE8">
            <w:pPr>
              <w:pStyle w:val="P68B1DB1-Normal37"/>
              <w:keepNext/>
              <w:keepLines/>
              <w:spacing w:after="0"/>
              <w:jc w:val="center"/>
              <w:rPr>
                <w:bCs/>
                <w:noProof/>
                <w:szCs w:val="22"/>
              </w:rPr>
            </w:pPr>
            <w:r>
              <w:rPr>
                <w:noProof/>
              </w:rPr>
              <w:t xml:space="preserve">Mesure connexe </w:t>
            </w:r>
            <w:r>
              <w:rPr>
                <w:noProof/>
              </w:rPr>
              <w:br/>
              <w:t xml:space="preserve">(Réforme ou </w:t>
            </w:r>
            <w:r>
              <w:rPr>
                <w:noProof/>
              </w:rPr>
              <w:t>investissement)</w:t>
            </w:r>
          </w:p>
        </w:tc>
        <w:tc>
          <w:tcPr>
            <w:tcW w:w="1276" w:type="dxa"/>
            <w:shd w:val="clear" w:color="auto" w:fill="BDD7EE"/>
            <w:vAlign w:val="center"/>
          </w:tcPr>
          <w:p w14:paraId="056ADDD3" w14:textId="77777777" w:rsidR="00FA40E8" w:rsidRDefault="00E74AE8">
            <w:pPr>
              <w:pStyle w:val="P68B1DB1-Normal37"/>
              <w:keepNext/>
              <w:keepLines/>
              <w:spacing w:after="0"/>
              <w:jc w:val="center"/>
              <w:rPr>
                <w:bCs/>
                <w:noProof/>
                <w:szCs w:val="22"/>
              </w:rPr>
            </w:pPr>
            <w:r>
              <w:rPr>
                <w:noProof/>
              </w:rPr>
              <w:t>Étape/cible</w:t>
            </w:r>
          </w:p>
        </w:tc>
        <w:tc>
          <w:tcPr>
            <w:tcW w:w="3651" w:type="dxa"/>
            <w:shd w:val="clear" w:color="auto" w:fill="BDD7EE"/>
            <w:vAlign w:val="center"/>
          </w:tcPr>
          <w:p w14:paraId="6FCC943B" w14:textId="77777777" w:rsidR="00FA40E8" w:rsidRDefault="00E74AE8">
            <w:pPr>
              <w:pStyle w:val="P68B1DB1-Normal37"/>
              <w:keepNext/>
              <w:keepLines/>
              <w:spacing w:after="0"/>
              <w:jc w:val="center"/>
              <w:rPr>
                <w:bCs/>
                <w:noProof/>
                <w:szCs w:val="22"/>
              </w:rPr>
            </w:pPr>
            <w:r>
              <w:rPr>
                <w:noProof/>
              </w:rPr>
              <w:t>Nom</w:t>
            </w:r>
          </w:p>
        </w:tc>
      </w:tr>
      <w:tr w:rsidR="00FA40E8" w14:paraId="1020A5B3" w14:textId="77777777">
        <w:trPr>
          <w:cantSplit/>
        </w:trPr>
        <w:tc>
          <w:tcPr>
            <w:tcW w:w="1207" w:type="dxa"/>
            <w:shd w:val="clear" w:color="auto" w:fill="EAF1DD" w:themeFill="accent3" w:themeFillTint="33"/>
            <w:vAlign w:val="center"/>
          </w:tcPr>
          <w:p w14:paraId="6D52A8FE" w14:textId="77777777" w:rsidR="00FA40E8" w:rsidRDefault="00E74AE8">
            <w:pPr>
              <w:pStyle w:val="P68B1DB1-Normal39"/>
              <w:spacing w:after="0"/>
              <w:jc w:val="center"/>
              <w:rPr>
                <w:noProof/>
                <w:color w:val="000000"/>
                <w:szCs w:val="22"/>
              </w:rPr>
            </w:pPr>
            <w:r>
              <w:rPr>
                <w:noProof/>
              </w:rPr>
              <w:t>1</w:t>
            </w:r>
          </w:p>
        </w:tc>
        <w:tc>
          <w:tcPr>
            <w:tcW w:w="3721" w:type="dxa"/>
            <w:shd w:val="clear" w:color="auto" w:fill="EAF1DD" w:themeFill="accent3" w:themeFillTint="33"/>
          </w:tcPr>
          <w:p w14:paraId="1729F856" w14:textId="77777777" w:rsidR="00FA40E8" w:rsidRDefault="00E74AE8">
            <w:pPr>
              <w:pStyle w:val="P68B1DB1-Normal38"/>
              <w:spacing w:after="0"/>
              <w:textAlignment w:val="baseline"/>
              <w:rPr>
                <w:noProof/>
                <w:szCs w:val="22"/>
              </w:rPr>
            </w:pPr>
            <w:r>
              <w:rPr>
                <w:noProof/>
              </w:rPr>
              <w:t>A.1.1. Améliorer la qualité et l’accessibilité des services et promouvoir l’innovation</w:t>
            </w:r>
          </w:p>
          <w:p w14:paraId="4028A9A0" w14:textId="77777777" w:rsidR="00FA40E8" w:rsidRDefault="00FA40E8">
            <w:pPr>
              <w:spacing w:after="0"/>
              <w:textAlignment w:val="baseline"/>
              <w:rPr>
                <w:rFonts w:ascii="Times New Roman" w:eastAsia="Times New Roman" w:hAnsi="Times New Roman" w:cs="Times New Roman"/>
                <w:noProof/>
                <w:szCs w:val="22"/>
              </w:rPr>
            </w:pPr>
          </w:p>
          <w:p w14:paraId="7300234F" w14:textId="77777777" w:rsidR="00FA40E8" w:rsidRDefault="00E74AE8">
            <w:pPr>
              <w:pStyle w:val="P68B1DB1-Normal38"/>
              <w:spacing w:after="0"/>
              <w:rPr>
                <w:noProof/>
                <w:szCs w:val="22"/>
              </w:rPr>
            </w:pPr>
            <w:r>
              <w:rPr>
                <w:noProof/>
              </w:rPr>
              <w:t>A.1.1.1. Cadre législatif régissant l’organisation, la gestion et la fourniture de services d’ambulances</w:t>
            </w:r>
          </w:p>
        </w:tc>
        <w:tc>
          <w:tcPr>
            <w:tcW w:w="1276" w:type="dxa"/>
            <w:shd w:val="clear" w:color="auto" w:fill="EAF1DD" w:themeFill="accent3" w:themeFillTint="33"/>
          </w:tcPr>
          <w:p w14:paraId="675772C7"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20DB177C" w14:textId="77777777" w:rsidR="00FA40E8" w:rsidRDefault="00E74AE8">
            <w:pPr>
              <w:pStyle w:val="P68B1DB1-Normal38"/>
              <w:spacing w:after="0"/>
              <w:rPr>
                <w:noProof/>
                <w:szCs w:val="22"/>
              </w:rPr>
            </w:pPr>
            <w:r>
              <w:rPr>
                <w:noProof/>
              </w:rPr>
              <w:t>Entrée en vigueur de la loi modifiée sur les établissements de soins de santé et de la loi sur le système de santé de la République de Lituanie et de la législation connexe</w:t>
            </w:r>
          </w:p>
        </w:tc>
      </w:tr>
      <w:tr w:rsidR="00FA40E8" w14:paraId="78DD6809" w14:textId="77777777">
        <w:trPr>
          <w:cantSplit/>
        </w:trPr>
        <w:tc>
          <w:tcPr>
            <w:tcW w:w="1207" w:type="dxa"/>
            <w:shd w:val="clear" w:color="auto" w:fill="EAF1DD" w:themeFill="accent3" w:themeFillTint="33"/>
            <w:vAlign w:val="center"/>
          </w:tcPr>
          <w:p w14:paraId="4F81799A" w14:textId="77777777" w:rsidR="00FA40E8" w:rsidRDefault="00E74AE8">
            <w:pPr>
              <w:pStyle w:val="P68B1DB1-Normal39"/>
              <w:spacing w:after="0"/>
              <w:jc w:val="center"/>
              <w:rPr>
                <w:noProof/>
                <w:color w:val="000000"/>
                <w:szCs w:val="22"/>
              </w:rPr>
            </w:pPr>
            <w:r>
              <w:rPr>
                <w:noProof/>
              </w:rPr>
              <w:t>2</w:t>
            </w:r>
          </w:p>
        </w:tc>
        <w:tc>
          <w:tcPr>
            <w:tcW w:w="3721" w:type="dxa"/>
            <w:shd w:val="clear" w:color="auto" w:fill="EAF1DD" w:themeFill="accent3" w:themeFillTint="33"/>
          </w:tcPr>
          <w:p w14:paraId="3522DDEA" w14:textId="77777777" w:rsidR="00FA40E8" w:rsidRDefault="00E74AE8">
            <w:pPr>
              <w:pStyle w:val="P68B1DB1-Normal38"/>
              <w:spacing w:after="0"/>
              <w:textAlignment w:val="baseline"/>
              <w:rPr>
                <w:noProof/>
                <w:szCs w:val="22"/>
              </w:rPr>
            </w:pPr>
            <w:r>
              <w:rPr>
                <w:noProof/>
              </w:rPr>
              <w:t xml:space="preserve">A.1.1. Améliorer la qualité et l’accessibilité des services et promouvoir </w:t>
            </w:r>
            <w:r>
              <w:rPr>
                <w:noProof/>
              </w:rPr>
              <w:t>l’innovation</w:t>
            </w:r>
          </w:p>
          <w:p w14:paraId="15A8331A" w14:textId="77777777" w:rsidR="00FA40E8" w:rsidRDefault="00FA40E8">
            <w:pPr>
              <w:spacing w:after="0"/>
              <w:textAlignment w:val="baseline"/>
              <w:rPr>
                <w:rFonts w:ascii="Times New Roman" w:eastAsia="Times New Roman" w:hAnsi="Times New Roman" w:cs="Times New Roman"/>
                <w:noProof/>
                <w:szCs w:val="22"/>
              </w:rPr>
            </w:pPr>
          </w:p>
          <w:p w14:paraId="70BD1ECB" w14:textId="77777777" w:rsidR="00FA40E8" w:rsidRDefault="00E74AE8">
            <w:pPr>
              <w:pStyle w:val="P68B1DB1-Normal38"/>
              <w:spacing w:after="0"/>
              <w:textAlignment w:val="baseline"/>
              <w:rPr>
                <w:noProof/>
                <w:szCs w:val="22"/>
              </w:rPr>
            </w:pPr>
            <w:r>
              <w:rPr>
                <w:noProof/>
              </w:rPr>
              <w:t>A.1.1.2. Développement d’un système de santé numérique facilitant l’utilisation secondaire des données de santé</w:t>
            </w:r>
          </w:p>
        </w:tc>
        <w:tc>
          <w:tcPr>
            <w:tcW w:w="1276" w:type="dxa"/>
            <w:shd w:val="clear" w:color="auto" w:fill="EAF1DD" w:themeFill="accent3" w:themeFillTint="33"/>
          </w:tcPr>
          <w:p w14:paraId="22535459" w14:textId="77777777" w:rsidR="00FA40E8" w:rsidRDefault="00E74AE8">
            <w:pPr>
              <w:pStyle w:val="P68B1DB1-Normal39"/>
              <w:spacing w:after="0"/>
              <w:jc w:val="center"/>
              <w:rPr>
                <w:noProof/>
                <w:color w:val="000000"/>
                <w:szCs w:val="22"/>
              </w:rPr>
            </w:pPr>
            <w:r>
              <w:rPr>
                <w:noProof/>
              </w:rPr>
              <w:t>Étape</w:t>
            </w:r>
          </w:p>
        </w:tc>
        <w:tc>
          <w:tcPr>
            <w:tcW w:w="3651" w:type="dxa"/>
            <w:shd w:val="clear" w:color="auto" w:fill="EAF1DD" w:themeFill="accent3" w:themeFillTint="33"/>
          </w:tcPr>
          <w:p w14:paraId="71D7A4E2" w14:textId="77777777" w:rsidR="00FA40E8" w:rsidRDefault="00E74AE8">
            <w:pPr>
              <w:pStyle w:val="P68B1DB1-Normal38"/>
              <w:spacing w:after="0"/>
              <w:textAlignment w:val="baseline"/>
              <w:rPr>
                <w:noProof/>
                <w:szCs w:val="22"/>
              </w:rPr>
            </w:pPr>
            <w:r>
              <w:rPr>
                <w:noProof/>
              </w:rPr>
              <w:t>Entrée en vigueur de la législation régissant l’utilisation secondaire des données de santé</w:t>
            </w:r>
          </w:p>
        </w:tc>
      </w:tr>
      <w:tr w:rsidR="00FA40E8" w14:paraId="528CD88E" w14:textId="77777777">
        <w:trPr>
          <w:cantSplit/>
        </w:trPr>
        <w:tc>
          <w:tcPr>
            <w:tcW w:w="1207" w:type="dxa"/>
            <w:shd w:val="clear" w:color="auto" w:fill="EAF1DD" w:themeFill="accent3" w:themeFillTint="33"/>
            <w:vAlign w:val="center"/>
          </w:tcPr>
          <w:p w14:paraId="60ED1DE0" w14:textId="77777777" w:rsidR="00FA40E8" w:rsidRDefault="00E74AE8">
            <w:pPr>
              <w:pStyle w:val="P68B1DB1-Normal39"/>
              <w:spacing w:after="0"/>
              <w:jc w:val="center"/>
              <w:rPr>
                <w:noProof/>
                <w:color w:val="000000"/>
                <w:szCs w:val="22"/>
              </w:rPr>
            </w:pPr>
            <w:r>
              <w:rPr>
                <w:noProof/>
              </w:rPr>
              <w:t>3</w:t>
            </w:r>
          </w:p>
        </w:tc>
        <w:tc>
          <w:tcPr>
            <w:tcW w:w="3721" w:type="dxa"/>
            <w:shd w:val="clear" w:color="auto" w:fill="EAF1DD" w:themeFill="accent3" w:themeFillTint="33"/>
          </w:tcPr>
          <w:p w14:paraId="039FF6EA" w14:textId="77777777" w:rsidR="00FA40E8" w:rsidRDefault="00E74AE8">
            <w:pPr>
              <w:pStyle w:val="P68B1DB1-Normal38"/>
              <w:spacing w:after="0"/>
              <w:textAlignment w:val="baseline"/>
              <w:rPr>
                <w:noProof/>
                <w:szCs w:val="22"/>
              </w:rPr>
            </w:pPr>
            <w:r>
              <w:rPr>
                <w:noProof/>
              </w:rPr>
              <w:t xml:space="preserve">A.1.1. Améliorer la qualité </w:t>
            </w:r>
            <w:r>
              <w:rPr>
                <w:noProof/>
              </w:rPr>
              <w:t>et l’accessibilité des services et promouvoir l’innovation</w:t>
            </w:r>
          </w:p>
          <w:p w14:paraId="2AD02F00" w14:textId="77777777" w:rsidR="00FA40E8" w:rsidRDefault="00FA40E8">
            <w:pPr>
              <w:spacing w:after="0"/>
              <w:textAlignment w:val="baseline"/>
              <w:rPr>
                <w:rFonts w:ascii="Times New Roman" w:eastAsia="Times New Roman" w:hAnsi="Times New Roman" w:cs="Times New Roman"/>
                <w:noProof/>
                <w:szCs w:val="22"/>
              </w:rPr>
            </w:pPr>
          </w:p>
          <w:p w14:paraId="0FA7CB20" w14:textId="77777777" w:rsidR="00FA40E8" w:rsidRDefault="00E74AE8">
            <w:pPr>
              <w:pStyle w:val="P68B1DB1-Normal38"/>
              <w:spacing w:after="0"/>
              <w:rPr>
                <w:noProof/>
                <w:szCs w:val="22"/>
              </w:rPr>
            </w:pPr>
            <w:r>
              <w:rPr>
                <w:noProof/>
              </w:rPr>
              <w:t>A.1.1.3. Plan d’action pour le développement de la médecine familiale 2016-2025</w:t>
            </w:r>
          </w:p>
        </w:tc>
        <w:tc>
          <w:tcPr>
            <w:tcW w:w="1276" w:type="dxa"/>
            <w:shd w:val="clear" w:color="auto" w:fill="EAF1DD" w:themeFill="accent3" w:themeFillTint="33"/>
          </w:tcPr>
          <w:p w14:paraId="33283FFA"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2A2B19E3" w14:textId="77777777" w:rsidR="00FA40E8" w:rsidRDefault="00E74AE8">
            <w:pPr>
              <w:pStyle w:val="P68B1DB1-Normal38"/>
              <w:spacing w:after="0"/>
              <w:rPr>
                <w:noProof/>
                <w:szCs w:val="22"/>
              </w:rPr>
            </w:pPr>
            <w:r>
              <w:rPr>
                <w:noProof/>
              </w:rPr>
              <w:t>Adoption du plan d’action actualisé pour le développement de la médecine familiale pour la période 2016-2025</w:t>
            </w:r>
          </w:p>
        </w:tc>
      </w:tr>
      <w:tr w:rsidR="00FA40E8" w14:paraId="0519F5A9" w14:textId="77777777">
        <w:trPr>
          <w:cantSplit/>
        </w:trPr>
        <w:tc>
          <w:tcPr>
            <w:tcW w:w="1207" w:type="dxa"/>
            <w:shd w:val="clear" w:color="auto" w:fill="EAF1DD" w:themeFill="accent3" w:themeFillTint="33"/>
            <w:vAlign w:val="center"/>
          </w:tcPr>
          <w:p w14:paraId="005C972E" w14:textId="77777777" w:rsidR="00FA40E8" w:rsidRDefault="00E74AE8">
            <w:pPr>
              <w:pStyle w:val="P68B1DB1-Normal39"/>
              <w:spacing w:after="0"/>
              <w:jc w:val="center"/>
              <w:rPr>
                <w:noProof/>
                <w:color w:val="000000"/>
                <w:szCs w:val="22"/>
              </w:rPr>
            </w:pPr>
            <w:r>
              <w:rPr>
                <w:noProof/>
              </w:rPr>
              <w:t>27</w:t>
            </w:r>
          </w:p>
        </w:tc>
        <w:tc>
          <w:tcPr>
            <w:tcW w:w="3721" w:type="dxa"/>
            <w:shd w:val="clear" w:color="auto" w:fill="EAF1DD" w:themeFill="accent3" w:themeFillTint="33"/>
          </w:tcPr>
          <w:p w14:paraId="7B208025" w14:textId="77777777" w:rsidR="00FA40E8" w:rsidRDefault="00E74AE8">
            <w:pPr>
              <w:pStyle w:val="P68B1DB1-Normal38"/>
              <w:spacing w:after="0"/>
              <w:rPr>
                <w:noProof/>
                <w:szCs w:val="22"/>
              </w:rPr>
            </w:pPr>
            <w:r>
              <w:rPr>
                <w:noProof/>
              </w:rPr>
              <w:t>B.1.1 Production d’électricité plus durable dans le pays — B.1.1.3 Installation d’autres infrastructures de stockage de l’électricité</w:t>
            </w:r>
          </w:p>
        </w:tc>
        <w:tc>
          <w:tcPr>
            <w:tcW w:w="1276" w:type="dxa"/>
            <w:shd w:val="clear" w:color="auto" w:fill="EAF1DD" w:themeFill="accent3" w:themeFillTint="33"/>
          </w:tcPr>
          <w:p w14:paraId="28E113BD" w14:textId="77777777" w:rsidR="00FA40E8" w:rsidRDefault="00E74AE8">
            <w:pPr>
              <w:pStyle w:val="P68B1DB1-Normal38"/>
              <w:spacing w:after="0"/>
              <w:jc w:val="center"/>
              <w:rPr>
                <w:noProof/>
                <w:szCs w:val="22"/>
              </w:rPr>
            </w:pPr>
            <w:r>
              <w:rPr>
                <w:noProof/>
              </w:rPr>
              <w:t>Objectif</w:t>
            </w:r>
          </w:p>
        </w:tc>
        <w:tc>
          <w:tcPr>
            <w:tcW w:w="3651" w:type="dxa"/>
            <w:shd w:val="clear" w:color="auto" w:fill="EAF1DD" w:themeFill="accent3" w:themeFillTint="33"/>
          </w:tcPr>
          <w:p w14:paraId="5DBF0B1B" w14:textId="77777777" w:rsidR="00FA40E8" w:rsidRDefault="00E74AE8">
            <w:pPr>
              <w:pStyle w:val="P68B1DB1-Normal38"/>
              <w:spacing w:after="0"/>
              <w:rPr>
                <w:noProof/>
                <w:szCs w:val="22"/>
              </w:rPr>
            </w:pPr>
            <w:r>
              <w:rPr>
                <w:noProof/>
              </w:rPr>
              <w:t>Capacité installée des nouvelles installations de stockage d’électricité (MW)</w:t>
            </w:r>
          </w:p>
        </w:tc>
      </w:tr>
      <w:tr w:rsidR="00FA40E8" w14:paraId="5BBFDE72" w14:textId="77777777">
        <w:trPr>
          <w:cantSplit/>
        </w:trPr>
        <w:tc>
          <w:tcPr>
            <w:tcW w:w="1207" w:type="dxa"/>
            <w:shd w:val="clear" w:color="auto" w:fill="EAF1DD" w:themeFill="accent3" w:themeFillTint="33"/>
            <w:vAlign w:val="center"/>
          </w:tcPr>
          <w:p w14:paraId="4FF2089E" w14:textId="77777777" w:rsidR="00FA40E8" w:rsidRDefault="00E74AE8">
            <w:pPr>
              <w:pStyle w:val="P68B1DB1-Normal39"/>
              <w:spacing w:after="0"/>
              <w:jc w:val="center"/>
              <w:rPr>
                <w:noProof/>
                <w:color w:val="000000"/>
                <w:szCs w:val="22"/>
              </w:rPr>
            </w:pPr>
            <w:r>
              <w:rPr>
                <w:noProof/>
              </w:rPr>
              <w:t>50</w:t>
            </w:r>
          </w:p>
        </w:tc>
        <w:tc>
          <w:tcPr>
            <w:tcW w:w="3721" w:type="dxa"/>
            <w:shd w:val="clear" w:color="auto" w:fill="EAF1DD" w:themeFill="accent3" w:themeFillTint="33"/>
          </w:tcPr>
          <w:p w14:paraId="13418665" w14:textId="77777777" w:rsidR="00FA40E8" w:rsidRDefault="00E74AE8">
            <w:pPr>
              <w:pStyle w:val="P68B1DB1-Normal38"/>
              <w:spacing w:after="0"/>
              <w:rPr>
                <w:noProof/>
                <w:szCs w:val="22"/>
              </w:rPr>
            </w:pPr>
            <w:r>
              <w:rPr>
                <w:noProof/>
              </w:rPr>
              <w:t>B.1.3 Accélérer la rénovatio</w:t>
            </w:r>
            <w:r>
              <w:rPr>
                <w:noProof/>
              </w:rPr>
              <w:t>n des bâtiments et un environnement urbain durable — B.1.3.2. Outils pour faciliter la coordination de la rénovation des bâtiments et l’assistance technique</w:t>
            </w:r>
          </w:p>
        </w:tc>
        <w:tc>
          <w:tcPr>
            <w:tcW w:w="1276" w:type="dxa"/>
            <w:shd w:val="clear" w:color="auto" w:fill="EAF1DD" w:themeFill="accent3" w:themeFillTint="33"/>
          </w:tcPr>
          <w:p w14:paraId="53CD80DF"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0DD5BCFD" w14:textId="77777777" w:rsidR="00FA40E8" w:rsidRDefault="00E74AE8">
            <w:pPr>
              <w:pStyle w:val="P68B1DB1-Normal38"/>
              <w:spacing w:after="0"/>
              <w:rPr>
                <w:noProof/>
                <w:szCs w:val="22"/>
              </w:rPr>
            </w:pPr>
            <w:r>
              <w:rPr>
                <w:noProof/>
              </w:rPr>
              <w:t>Création et mise en service d’un centre de compétences pour la rénovation des bâtiments</w:t>
            </w:r>
          </w:p>
        </w:tc>
      </w:tr>
      <w:tr w:rsidR="00FA40E8" w14:paraId="25A9FB36" w14:textId="77777777">
        <w:trPr>
          <w:cantSplit/>
        </w:trPr>
        <w:tc>
          <w:tcPr>
            <w:tcW w:w="1207" w:type="dxa"/>
            <w:shd w:val="clear" w:color="auto" w:fill="EAF1DD" w:themeFill="accent3" w:themeFillTint="33"/>
            <w:vAlign w:val="center"/>
          </w:tcPr>
          <w:p w14:paraId="6AC59F84" w14:textId="77777777" w:rsidR="00FA40E8" w:rsidRDefault="00E74AE8">
            <w:pPr>
              <w:pStyle w:val="P68B1DB1-Normal39"/>
              <w:spacing w:after="0"/>
              <w:jc w:val="center"/>
              <w:rPr>
                <w:noProof/>
                <w:color w:val="000000"/>
                <w:szCs w:val="22"/>
              </w:rPr>
            </w:pPr>
            <w:r>
              <w:rPr>
                <w:noProof/>
              </w:rPr>
              <w:t>57</w:t>
            </w:r>
          </w:p>
        </w:tc>
        <w:tc>
          <w:tcPr>
            <w:tcW w:w="3721" w:type="dxa"/>
            <w:shd w:val="clear" w:color="auto" w:fill="EAF1DD" w:themeFill="accent3" w:themeFillTint="33"/>
          </w:tcPr>
          <w:p w14:paraId="3A857E91" w14:textId="7731E38C" w:rsidR="00FA40E8" w:rsidRDefault="00E74AE8">
            <w:pPr>
              <w:pStyle w:val="P68B1DB1-Normal38"/>
              <w:spacing w:after="0"/>
              <w:rPr>
                <w:noProof/>
              </w:rPr>
            </w:pPr>
            <w:r>
              <w:rPr>
                <w:noProof/>
              </w:rPr>
              <w:t>B.1.4 Maintien d’une capacité d’absorption croissante des GES</w:t>
            </w:r>
          </w:p>
        </w:tc>
        <w:tc>
          <w:tcPr>
            <w:tcW w:w="1276" w:type="dxa"/>
            <w:shd w:val="clear" w:color="auto" w:fill="EAF1DD" w:themeFill="accent3" w:themeFillTint="33"/>
          </w:tcPr>
          <w:p w14:paraId="2E556502"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1D10B986" w14:textId="77777777" w:rsidR="00FA40E8" w:rsidRDefault="00E74AE8">
            <w:pPr>
              <w:pStyle w:val="P68B1DB1-Normal38"/>
              <w:spacing w:after="0"/>
              <w:rPr>
                <w:noProof/>
                <w:szCs w:val="22"/>
              </w:rPr>
            </w:pPr>
            <w:r>
              <w:rPr>
                <w:noProof/>
              </w:rPr>
              <w:t>Entrée en vigueur de la législation réglementant la restauration des zones humides (tourbières) ainsi que la poursuite de leur protection et de leur utilisation durable</w:t>
            </w:r>
          </w:p>
        </w:tc>
      </w:tr>
      <w:tr w:rsidR="00FA40E8" w14:paraId="7071E777" w14:textId="77777777">
        <w:trPr>
          <w:cantSplit/>
        </w:trPr>
        <w:tc>
          <w:tcPr>
            <w:tcW w:w="1207" w:type="dxa"/>
            <w:shd w:val="clear" w:color="auto" w:fill="EAF1DD" w:themeFill="accent3" w:themeFillTint="33"/>
            <w:vAlign w:val="center"/>
          </w:tcPr>
          <w:p w14:paraId="0516FC92" w14:textId="77777777" w:rsidR="00FA40E8" w:rsidRDefault="00E74AE8">
            <w:pPr>
              <w:pStyle w:val="P68B1DB1-Normal39"/>
              <w:spacing w:after="0"/>
              <w:jc w:val="center"/>
              <w:rPr>
                <w:noProof/>
                <w:szCs w:val="22"/>
              </w:rPr>
            </w:pPr>
            <w:r>
              <w:rPr>
                <w:noProof/>
              </w:rPr>
              <w:t>60a</w:t>
            </w:r>
          </w:p>
        </w:tc>
        <w:tc>
          <w:tcPr>
            <w:tcW w:w="3721" w:type="dxa"/>
            <w:shd w:val="clear" w:color="auto" w:fill="EAF1DD" w:themeFill="accent3" w:themeFillTint="33"/>
          </w:tcPr>
          <w:p w14:paraId="5DE4181F" w14:textId="77777777" w:rsidR="00FA40E8" w:rsidRDefault="00E74AE8">
            <w:pPr>
              <w:pStyle w:val="P68B1DB1-Normal38"/>
              <w:spacing w:after="0"/>
              <w:rPr>
                <w:noProof/>
                <w:szCs w:val="22"/>
              </w:rPr>
            </w:pPr>
            <w:r>
              <w:rPr>
                <w:noProof/>
              </w:rPr>
              <w:t>C.1.1a Transfo</w:t>
            </w:r>
            <w:r>
              <w:rPr>
                <w:noProof/>
              </w:rPr>
              <w:t>rmation de la gouvernance publique des technologies de l’information — Développement de la cybersécurité de l’État</w:t>
            </w:r>
          </w:p>
        </w:tc>
        <w:tc>
          <w:tcPr>
            <w:tcW w:w="1276" w:type="dxa"/>
            <w:shd w:val="clear" w:color="auto" w:fill="EAF1DD" w:themeFill="accent3" w:themeFillTint="33"/>
          </w:tcPr>
          <w:p w14:paraId="127E481D"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11A134C3" w14:textId="77777777" w:rsidR="00FA40E8" w:rsidRDefault="00E74AE8">
            <w:pPr>
              <w:pStyle w:val="P68B1DB1-Normal38"/>
              <w:spacing w:after="0"/>
              <w:rPr>
                <w:noProof/>
                <w:szCs w:val="22"/>
              </w:rPr>
            </w:pPr>
            <w:r>
              <w:rPr>
                <w:noProof/>
              </w:rPr>
              <w:t>Adoption du programme de développement de la cybersécurité.</w:t>
            </w:r>
          </w:p>
        </w:tc>
      </w:tr>
      <w:tr w:rsidR="00FA40E8" w14:paraId="1A7E5E5D" w14:textId="77777777">
        <w:trPr>
          <w:cantSplit/>
        </w:trPr>
        <w:tc>
          <w:tcPr>
            <w:tcW w:w="1207" w:type="dxa"/>
            <w:shd w:val="clear" w:color="auto" w:fill="EAF1DD" w:themeFill="accent3" w:themeFillTint="33"/>
            <w:vAlign w:val="center"/>
          </w:tcPr>
          <w:p w14:paraId="5CC9BD22" w14:textId="77777777" w:rsidR="00FA40E8" w:rsidRDefault="00E74AE8">
            <w:pPr>
              <w:pStyle w:val="P68B1DB1-Normal39"/>
              <w:spacing w:after="0"/>
              <w:jc w:val="center"/>
              <w:rPr>
                <w:noProof/>
                <w:color w:val="000000"/>
                <w:szCs w:val="22"/>
              </w:rPr>
            </w:pPr>
            <w:r>
              <w:rPr>
                <w:noProof/>
              </w:rPr>
              <w:t>64</w:t>
            </w:r>
          </w:p>
        </w:tc>
        <w:tc>
          <w:tcPr>
            <w:tcW w:w="3721" w:type="dxa"/>
            <w:shd w:val="clear" w:color="auto" w:fill="EAF1DD" w:themeFill="accent3" w:themeFillTint="33"/>
          </w:tcPr>
          <w:p w14:paraId="4269B9C3" w14:textId="517A94C1" w:rsidR="00FA40E8" w:rsidRDefault="00E74AE8">
            <w:pPr>
              <w:pStyle w:val="P68B1DB1-Normal38"/>
              <w:spacing w:after="0"/>
              <w:rPr>
                <w:noProof/>
                <w:szCs w:val="22"/>
              </w:rPr>
            </w:pPr>
            <w:r>
              <w:rPr>
                <w:noProof/>
              </w:rPr>
              <w:t>C.1.2 Gestion des données et données ouvertes</w:t>
            </w:r>
          </w:p>
        </w:tc>
        <w:tc>
          <w:tcPr>
            <w:tcW w:w="1276" w:type="dxa"/>
            <w:shd w:val="clear" w:color="auto" w:fill="EAF1DD" w:themeFill="accent3" w:themeFillTint="33"/>
          </w:tcPr>
          <w:p w14:paraId="6D0843B5"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711A56BC" w14:textId="77777777" w:rsidR="00FA40E8" w:rsidRDefault="00E74AE8">
            <w:pPr>
              <w:pStyle w:val="P68B1DB1-Normal38"/>
              <w:spacing w:after="0"/>
              <w:rPr>
                <w:noProof/>
                <w:szCs w:val="22"/>
              </w:rPr>
            </w:pPr>
            <w:r>
              <w:rPr>
                <w:noProof/>
              </w:rPr>
              <w:t xml:space="preserve">Entrée en vigueur </w:t>
            </w:r>
            <w:r>
              <w:rPr>
                <w:noProof/>
              </w:rPr>
              <w:t>de la législation sur le traitement efficace des données.</w:t>
            </w:r>
          </w:p>
        </w:tc>
      </w:tr>
      <w:tr w:rsidR="00FA40E8" w14:paraId="53850E08" w14:textId="77777777">
        <w:trPr>
          <w:cantSplit/>
        </w:trPr>
        <w:tc>
          <w:tcPr>
            <w:tcW w:w="1207" w:type="dxa"/>
            <w:shd w:val="clear" w:color="auto" w:fill="EAF1DD" w:themeFill="accent3" w:themeFillTint="33"/>
            <w:vAlign w:val="center"/>
          </w:tcPr>
          <w:p w14:paraId="7CF6D732" w14:textId="77777777" w:rsidR="00FA40E8" w:rsidRDefault="00E74AE8">
            <w:pPr>
              <w:pStyle w:val="P68B1DB1-Normal39"/>
              <w:spacing w:after="0"/>
              <w:jc w:val="center"/>
              <w:rPr>
                <w:noProof/>
              </w:rPr>
            </w:pPr>
            <w:r>
              <w:rPr>
                <w:noProof/>
              </w:rPr>
              <w:t>68</w:t>
            </w:r>
          </w:p>
        </w:tc>
        <w:tc>
          <w:tcPr>
            <w:tcW w:w="3721" w:type="dxa"/>
            <w:shd w:val="clear" w:color="auto" w:fill="EAF1DD" w:themeFill="accent3" w:themeFillTint="33"/>
          </w:tcPr>
          <w:p w14:paraId="24AA88F6" w14:textId="77777777" w:rsidR="00FA40E8" w:rsidRDefault="00E74AE8">
            <w:pPr>
              <w:pStyle w:val="P68B1DB1-Normal38"/>
              <w:spacing w:after="0"/>
              <w:rPr>
                <w:noProof/>
                <w:color w:val="000000" w:themeColor="text1"/>
              </w:rPr>
            </w:pPr>
            <w:r>
              <w:rPr>
                <w:noProof/>
              </w:rPr>
              <w:t>C.1.3 Services axés sur le client</w:t>
            </w:r>
          </w:p>
        </w:tc>
        <w:tc>
          <w:tcPr>
            <w:tcW w:w="1276" w:type="dxa"/>
            <w:shd w:val="clear" w:color="auto" w:fill="EAF1DD" w:themeFill="accent3" w:themeFillTint="33"/>
          </w:tcPr>
          <w:p w14:paraId="3D54F925" w14:textId="77777777" w:rsidR="00FA40E8" w:rsidRDefault="00E74AE8">
            <w:pPr>
              <w:pStyle w:val="P68B1DB1-Normal38"/>
              <w:spacing w:after="0"/>
              <w:jc w:val="center"/>
              <w:rPr>
                <w:noProof/>
                <w:color w:val="000000" w:themeColor="text1"/>
              </w:rPr>
            </w:pPr>
            <w:r>
              <w:rPr>
                <w:noProof/>
              </w:rPr>
              <w:t>Étape</w:t>
            </w:r>
          </w:p>
        </w:tc>
        <w:tc>
          <w:tcPr>
            <w:tcW w:w="3651" w:type="dxa"/>
            <w:shd w:val="clear" w:color="auto" w:fill="EAF1DD" w:themeFill="accent3" w:themeFillTint="33"/>
          </w:tcPr>
          <w:p w14:paraId="7FE6C79F" w14:textId="77777777" w:rsidR="00FA40E8" w:rsidRDefault="00E74AE8">
            <w:pPr>
              <w:pStyle w:val="P68B1DB1-Normal38"/>
              <w:spacing w:after="0"/>
              <w:rPr>
                <w:noProof/>
                <w:color w:val="000000" w:themeColor="text1"/>
              </w:rPr>
            </w:pPr>
            <w:r>
              <w:rPr>
                <w:noProof/>
              </w:rPr>
              <w:t>Entrée en vigueur du règlement modifié sur la fourniture d’informations aux personnes handicapées</w:t>
            </w:r>
          </w:p>
        </w:tc>
      </w:tr>
      <w:tr w:rsidR="00FA40E8" w14:paraId="5192CA2F" w14:textId="77777777">
        <w:trPr>
          <w:cantSplit/>
        </w:trPr>
        <w:tc>
          <w:tcPr>
            <w:tcW w:w="1207" w:type="dxa"/>
            <w:shd w:val="clear" w:color="auto" w:fill="EAF1DD" w:themeFill="accent3" w:themeFillTint="33"/>
            <w:vAlign w:val="center"/>
          </w:tcPr>
          <w:p w14:paraId="327818B5" w14:textId="77777777" w:rsidR="00FA40E8" w:rsidRDefault="00E74AE8">
            <w:pPr>
              <w:pStyle w:val="P68B1DB1-Normal39"/>
              <w:spacing w:after="0"/>
              <w:jc w:val="center"/>
              <w:rPr>
                <w:noProof/>
              </w:rPr>
            </w:pPr>
            <w:r>
              <w:rPr>
                <w:noProof/>
              </w:rPr>
              <w:t>69</w:t>
            </w:r>
          </w:p>
        </w:tc>
        <w:tc>
          <w:tcPr>
            <w:tcW w:w="3721" w:type="dxa"/>
            <w:shd w:val="clear" w:color="auto" w:fill="EAF1DD" w:themeFill="accent3" w:themeFillTint="33"/>
          </w:tcPr>
          <w:p w14:paraId="44589C63" w14:textId="77777777" w:rsidR="00FA40E8" w:rsidRDefault="00E74AE8">
            <w:pPr>
              <w:pStyle w:val="P68B1DB1-Normal38"/>
              <w:spacing w:after="0"/>
              <w:rPr>
                <w:noProof/>
                <w:color w:val="000000" w:themeColor="text1"/>
              </w:rPr>
            </w:pPr>
            <w:r>
              <w:rPr>
                <w:noProof/>
              </w:rPr>
              <w:t>C.1.3 Services axés sur le client</w:t>
            </w:r>
          </w:p>
        </w:tc>
        <w:tc>
          <w:tcPr>
            <w:tcW w:w="1276" w:type="dxa"/>
            <w:shd w:val="clear" w:color="auto" w:fill="EAF1DD" w:themeFill="accent3" w:themeFillTint="33"/>
          </w:tcPr>
          <w:p w14:paraId="16746A7E" w14:textId="77777777" w:rsidR="00FA40E8" w:rsidRDefault="00E74AE8">
            <w:pPr>
              <w:pStyle w:val="P68B1DB1-Normal38"/>
              <w:spacing w:after="0"/>
              <w:jc w:val="center"/>
              <w:rPr>
                <w:noProof/>
                <w:color w:val="000000" w:themeColor="text1"/>
              </w:rPr>
            </w:pPr>
            <w:r>
              <w:rPr>
                <w:noProof/>
              </w:rPr>
              <w:t>Étape</w:t>
            </w:r>
          </w:p>
        </w:tc>
        <w:tc>
          <w:tcPr>
            <w:tcW w:w="3651" w:type="dxa"/>
            <w:shd w:val="clear" w:color="auto" w:fill="EAF1DD" w:themeFill="accent3" w:themeFillTint="33"/>
          </w:tcPr>
          <w:p w14:paraId="0B26262A" w14:textId="77777777" w:rsidR="00FA40E8" w:rsidRDefault="00E74AE8">
            <w:pPr>
              <w:pStyle w:val="P68B1DB1-Normal38"/>
              <w:spacing w:after="0"/>
              <w:rPr>
                <w:noProof/>
                <w:color w:val="000000" w:themeColor="text1"/>
              </w:rPr>
            </w:pPr>
            <w:r>
              <w:rPr>
                <w:noProof/>
              </w:rPr>
              <w:t xml:space="preserve">Publication </w:t>
            </w:r>
            <w:r>
              <w:rPr>
                <w:noProof/>
              </w:rPr>
              <w:t>d’un appel d’offres pour des solutions et des outils innovants visant à garantir de meilleures possibilités de communication pour les personnes handicapées</w:t>
            </w:r>
          </w:p>
        </w:tc>
      </w:tr>
      <w:tr w:rsidR="00FA40E8" w14:paraId="76D0AC3B" w14:textId="77777777">
        <w:trPr>
          <w:cantSplit/>
        </w:trPr>
        <w:tc>
          <w:tcPr>
            <w:tcW w:w="1207" w:type="dxa"/>
            <w:shd w:val="clear" w:color="auto" w:fill="EAF1DD" w:themeFill="accent3" w:themeFillTint="33"/>
            <w:vAlign w:val="center"/>
          </w:tcPr>
          <w:p w14:paraId="07635E5F" w14:textId="77777777" w:rsidR="00FA40E8" w:rsidRDefault="00E74AE8">
            <w:pPr>
              <w:pStyle w:val="P68B1DB1-Normal39"/>
              <w:spacing w:after="0"/>
              <w:jc w:val="center"/>
              <w:rPr>
                <w:noProof/>
                <w:color w:val="000000"/>
                <w:szCs w:val="22"/>
              </w:rPr>
            </w:pPr>
            <w:r>
              <w:rPr>
                <w:noProof/>
              </w:rPr>
              <w:t>76</w:t>
            </w:r>
          </w:p>
        </w:tc>
        <w:tc>
          <w:tcPr>
            <w:tcW w:w="3721" w:type="dxa"/>
            <w:shd w:val="clear" w:color="auto" w:fill="EAF1DD" w:themeFill="accent3" w:themeFillTint="33"/>
          </w:tcPr>
          <w:p w14:paraId="0A280834" w14:textId="7EBC0E9A" w:rsidR="00FA40E8" w:rsidRDefault="00E74AE8">
            <w:pPr>
              <w:pStyle w:val="P68B1DB1-Normal38"/>
              <w:spacing w:after="0"/>
              <w:rPr>
                <w:noProof/>
                <w:szCs w:val="22"/>
              </w:rPr>
            </w:pPr>
            <w:r>
              <w:rPr>
                <w:noProof/>
              </w:rPr>
              <w:t xml:space="preserve">C.1.4 Solutions technologiques dans les affaires et la vie quotidienne — C.1.4.2. Numérisation </w:t>
            </w:r>
            <w:r>
              <w:rPr>
                <w:noProof/>
              </w:rPr>
              <w:t>des ressources culturelles</w:t>
            </w:r>
          </w:p>
        </w:tc>
        <w:tc>
          <w:tcPr>
            <w:tcW w:w="1276" w:type="dxa"/>
            <w:shd w:val="clear" w:color="auto" w:fill="EAF1DD" w:themeFill="accent3" w:themeFillTint="33"/>
          </w:tcPr>
          <w:p w14:paraId="3CCF7461" w14:textId="77777777" w:rsidR="00FA40E8" w:rsidRDefault="00E74AE8">
            <w:pPr>
              <w:pStyle w:val="P68B1DB1-Normal38"/>
              <w:spacing w:after="0"/>
              <w:jc w:val="center"/>
              <w:rPr>
                <w:noProof/>
                <w:szCs w:val="22"/>
              </w:rPr>
            </w:pPr>
            <w:r>
              <w:rPr>
                <w:noProof/>
              </w:rPr>
              <w:t>Objectif</w:t>
            </w:r>
          </w:p>
        </w:tc>
        <w:tc>
          <w:tcPr>
            <w:tcW w:w="3651" w:type="dxa"/>
            <w:shd w:val="clear" w:color="auto" w:fill="EAF1DD" w:themeFill="accent3" w:themeFillTint="33"/>
          </w:tcPr>
          <w:p w14:paraId="7DB07DA2" w14:textId="77777777" w:rsidR="00FA40E8" w:rsidRDefault="00E74AE8">
            <w:pPr>
              <w:pStyle w:val="P68B1DB1-Normal38"/>
              <w:spacing w:after="0"/>
              <w:rPr>
                <w:noProof/>
              </w:rPr>
            </w:pPr>
            <w:r>
              <w:rPr>
                <w:noProof/>
              </w:rPr>
              <w:t>Contrats signés avec les propriétaires des ressources culturelles numériques et numérisées pour l’ouverture des ressources et rendus accessibles aux utilisateurs</w:t>
            </w:r>
          </w:p>
        </w:tc>
      </w:tr>
      <w:tr w:rsidR="00FA40E8" w14:paraId="6C4A35F0" w14:textId="77777777">
        <w:trPr>
          <w:cantSplit/>
        </w:trPr>
        <w:tc>
          <w:tcPr>
            <w:tcW w:w="1207" w:type="dxa"/>
            <w:shd w:val="clear" w:color="auto" w:fill="EAF1DD" w:themeFill="accent3" w:themeFillTint="33"/>
            <w:vAlign w:val="center"/>
          </w:tcPr>
          <w:p w14:paraId="3E6C415B" w14:textId="77777777" w:rsidR="00FA40E8" w:rsidRDefault="00E74AE8">
            <w:pPr>
              <w:pStyle w:val="P68B1DB1-Normal39"/>
              <w:spacing w:after="0"/>
              <w:jc w:val="center"/>
              <w:rPr>
                <w:noProof/>
                <w:color w:val="000000"/>
                <w:szCs w:val="22"/>
              </w:rPr>
            </w:pPr>
            <w:r>
              <w:rPr>
                <w:noProof/>
              </w:rPr>
              <w:t>80</w:t>
            </w:r>
          </w:p>
        </w:tc>
        <w:tc>
          <w:tcPr>
            <w:tcW w:w="3721" w:type="dxa"/>
            <w:shd w:val="clear" w:color="auto" w:fill="EAF1DD" w:themeFill="accent3" w:themeFillTint="33"/>
          </w:tcPr>
          <w:p w14:paraId="5A140584" w14:textId="43C3B045" w:rsidR="00FA40E8" w:rsidRDefault="00E74AE8">
            <w:pPr>
              <w:pStyle w:val="P68B1DB1-Normal38"/>
              <w:spacing w:after="0"/>
              <w:rPr>
                <w:noProof/>
                <w:szCs w:val="22"/>
              </w:rPr>
            </w:pPr>
            <w:r>
              <w:rPr>
                <w:noProof/>
              </w:rPr>
              <w:t>C.1.4 Solutions technologiques dans les affaires et la</w:t>
            </w:r>
            <w:r>
              <w:rPr>
                <w:noProof/>
              </w:rPr>
              <w:t xml:space="preserve"> vie quotidienne — C.1.4.4. Instruments financiers pour la création d’entreprises et l’innovation numérique</w:t>
            </w:r>
          </w:p>
        </w:tc>
        <w:tc>
          <w:tcPr>
            <w:tcW w:w="1276" w:type="dxa"/>
            <w:shd w:val="clear" w:color="auto" w:fill="EAF1DD" w:themeFill="accent3" w:themeFillTint="33"/>
          </w:tcPr>
          <w:p w14:paraId="4D248167"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0C852E34" w14:textId="77777777" w:rsidR="00FA40E8" w:rsidRDefault="00E74AE8">
            <w:pPr>
              <w:pStyle w:val="P68B1DB1-Normal38"/>
              <w:spacing w:after="0"/>
              <w:rPr>
                <w:noProof/>
                <w:szCs w:val="22"/>
              </w:rPr>
            </w:pPr>
            <w:r>
              <w:rPr>
                <w:noProof/>
              </w:rPr>
              <w:t>Publication de l’appel d’offres et approbation des conditions de financement pour le développement et le déploiement de solutions technologiqu</w:t>
            </w:r>
            <w:r>
              <w:rPr>
                <w:noProof/>
              </w:rPr>
              <w:t>es innovantes dans les entreprises</w:t>
            </w:r>
          </w:p>
        </w:tc>
      </w:tr>
      <w:tr w:rsidR="00FA40E8" w14:paraId="4915703E" w14:textId="77777777">
        <w:trPr>
          <w:cantSplit/>
        </w:trPr>
        <w:tc>
          <w:tcPr>
            <w:tcW w:w="1207" w:type="dxa"/>
            <w:shd w:val="clear" w:color="auto" w:fill="EAF1DD" w:themeFill="accent3" w:themeFillTint="33"/>
            <w:vAlign w:val="center"/>
          </w:tcPr>
          <w:p w14:paraId="7604291A" w14:textId="77777777" w:rsidR="00FA40E8" w:rsidRDefault="00E74AE8">
            <w:pPr>
              <w:pStyle w:val="P68B1DB1-Normal39"/>
              <w:spacing w:after="0"/>
              <w:jc w:val="center"/>
              <w:rPr>
                <w:noProof/>
                <w:color w:val="000000"/>
                <w:szCs w:val="22"/>
              </w:rPr>
            </w:pPr>
            <w:r>
              <w:rPr>
                <w:noProof/>
              </w:rPr>
              <w:t>92</w:t>
            </w:r>
          </w:p>
        </w:tc>
        <w:tc>
          <w:tcPr>
            <w:tcW w:w="3721" w:type="dxa"/>
            <w:shd w:val="clear" w:color="auto" w:fill="EAF1DD" w:themeFill="accent3" w:themeFillTint="33"/>
          </w:tcPr>
          <w:p w14:paraId="18A9C076" w14:textId="77777777" w:rsidR="00FA40E8" w:rsidRDefault="00E74AE8">
            <w:pPr>
              <w:pStyle w:val="P68B1DB1-Normal38"/>
              <w:spacing w:after="0"/>
              <w:textAlignment w:val="baseline"/>
              <w:rPr>
                <w:noProof/>
                <w:szCs w:val="22"/>
              </w:rPr>
            </w:pPr>
            <w:r>
              <w:rPr>
                <w:noProof/>
              </w:rPr>
              <w:t>D.1.1. Enseignement général moderne — Contexte des compétences de base</w:t>
            </w:r>
          </w:p>
          <w:p w14:paraId="434925A4" w14:textId="77777777" w:rsidR="00FA40E8" w:rsidRDefault="00E74AE8">
            <w:pPr>
              <w:pStyle w:val="P68B1DB1-Normal38"/>
              <w:spacing w:after="0"/>
              <w:rPr>
                <w:noProof/>
                <w:szCs w:val="22"/>
              </w:rPr>
            </w:pPr>
            <w:r>
              <w:rPr>
                <w:noProof/>
              </w:rPr>
              <w:t>D.1.1.1: Améliorer la qualité de l’éducation</w:t>
            </w:r>
          </w:p>
        </w:tc>
        <w:tc>
          <w:tcPr>
            <w:tcW w:w="1276" w:type="dxa"/>
            <w:shd w:val="clear" w:color="auto" w:fill="EAF1DD" w:themeFill="accent3" w:themeFillTint="33"/>
          </w:tcPr>
          <w:p w14:paraId="6835D5F3"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745DAF27" w14:textId="77777777" w:rsidR="00FA40E8" w:rsidRDefault="00E74AE8">
            <w:pPr>
              <w:pStyle w:val="P68B1DB1-Normal38"/>
              <w:spacing w:after="0"/>
              <w:rPr>
                <w:noProof/>
                <w:szCs w:val="22"/>
              </w:rPr>
            </w:pPr>
            <w:r>
              <w:rPr>
                <w:noProof/>
              </w:rPr>
              <w:t xml:space="preserve">Entrée en vigueur des programmes révisés d’enseignement préprimaire, primaire, secondaire </w:t>
            </w:r>
            <w:r>
              <w:rPr>
                <w:noProof/>
              </w:rPr>
              <w:t>inférieur et secondaire (programmes d’études)</w:t>
            </w:r>
          </w:p>
        </w:tc>
      </w:tr>
      <w:tr w:rsidR="00FA40E8" w14:paraId="610DE874" w14:textId="77777777">
        <w:trPr>
          <w:cantSplit/>
        </w:trPr>
        <w:tc>
          <w:tcPr>
            <w:tcW w:w="1207" w:type="dxa"/>
            <w:shd w:val="clear" w:color="auto" w:fill="EAF1DD" w:themeFill="accent3" w:themeFillTint="33"/>
            <w:vAlign w:val="center"/>
          </w:tcPr>
          <w:p w14:paraId="567FC4C7" w14:textId="77777777" w:rsidR="00FA40E8" w:rsidRDefault="00E74AE8">
            <w:pPr>
              <w:pStyle w:val="P68B1DB1-Normal39"/>
              <w:spacing w:after="0"/>
              <w:jc w:val="center"/>
              <w:rPr>
                <w:noProof/>
                <w:color w:val="000000"/>
                <w:szCs w:val="22"/>
              </w:rPr>
            </w:pPr>
            <w:r>
              <w:rPr>
                <w:noProof/>
              </w:rPr>
              <w:t>99</w:t>
            </w:r>
          </w:p>
        </w:tc>
        <w:tc>
          <w:tcPr>
            <w:tcW w:w="3721" w:type="dxa"/>
            <w:shd w:val="clear" w:color="auto" w:fill="EAF1DD" w:themeFill="accent3" w:themeFillTint="33"/>
          </w:tcPr>
          <w:p w14:paraId="7EACE05A" w14:textId="77777777" w:rsidR="00FA40E8" w:rsidRDefault="00E74AE8">
            <w:pPr>
              <w:pStyle w:val="P68B1DB1-Normal38"/>
              <w:spacing w:after="0"/>
              <w:textAlignment w:val="baseline"/>
              <w:rPr>
                <w:noProof/>
                <w:szCs w:val="22"/>
              </w:rPr>
            </w:pPr>
            <w:r>
              <w:rPr>
                <w:noProof/>
              </w:rPr>
              <w:t>D.1.1. Enseignement général moderne — Contexte des compétences de base</w:t>
            </w:r>
          </w:p>
          <w:p w14:paraId="4927E9A3" w14:textId="4FF37BBA" w:rsidR="00FA40E8" w:rsidRDefault="00E74AE8">
            <w:pPr>
              <w:pStyle w:val="P68B1DB1-Normal38"/>
              <w:spacing w:after="0"/>
              <w:rPr>
                <w:noProof/>
                <w:szCs w:val="22"/>
              </w:rPr>
            </w:pPr>
            <w:r>
              <w:rPr>
                <w:noProof/>
              </w:rPr>
              <w:t>D.1.1.4: Formation du personnel pédagogique</w:t>
            </w:r>
          </w:p>
        </w:tc>
        <w:tc>
          <w:tcPr>
            <w:tcW w:w="1276" w:type="dxa"/>
            <w:shd w:val="clear" w:color="auto" w:fill="EAF1DD" w:themeFill="accent3" w:themeFillTint="33"/>
          </w:tcPr>
          <w:p w14:paraId="1B3ADF52"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3C95FCBE" w14:textId="26A12979" w:rsidR="00FA40E8" w:rsidRDefault="00E74AE8">
            <w:pPr>
              <w:pStyle w:val="P68B1DB1-Normal38"/>
              <w:spacing w:after="0"/>
              <w:rPr>
                <w:noProof/>
                <w:szCs w:val="22"/>
              </w:rPr>
            </w:pPr>
            <w:r>
              <w:rPr>
                <w:noProof/>
              </w:rPr>
              <w:t>Entrée en vigueur de la législation fixant les exigences relatives à la préparation e</w:t>
            </w:r>
            <w:r>
              <w:rPr>
                <w:noProof/>
              </w:rPr>
              <w:t>t à la mise en œuvre des programmes nationaux de développement des qualifications du personnel pédagogique</w:t>
            </w:r>
          </w:p>
        </w:tc>
      </w:tr>
      <w:tr w:rsidR="00FA40E8" w14:paraId="61313819" w14:textId="77777777">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6D9B8567" w14:textId="77777777" w:rsidR="00FA40E8" w:rsidRDefault="00E74AE8">
            <w:pPr>
              <w:pStyle w:val="P68B1DB1-Normal39"/>
              <w:spacing w:after="0"/>
              <w:jc w:val="center"/>
              <w:rPr>
                <w:noProof/>
                <w:szCs w:val="22"/>
              </w:rPr>
            </w:pPr>
            <w:r>
              <w:rPr>
                <w:noProof/>
              </w:rPr>
              <w:t>106</w:t>
            </w:r>
          </w:p>
        </w:tc>
        <w:tc>
          <w:tcPr>
            <w:tcW w:w="3721" w:type="dxa"/>
            <w:shd w:val="clear" w:color="auto" w:fill="EAF1DD" w:themeFill="accent3" w:themeFillTint="33"/>
          </w:tcPr>
          <w:p w14:paraId="0259A367" w14:textId="77777777" w:rsidR="00FA40E8" w:rsidRDefault="00E74AE8">
            <w:pPr>
              <w:pStyle w:val="P68B1DB1-Normal38"/>
              <w:spacing w:after="0" w:line="240" w:lineRule="auto"/>
              <w:textAlignment w:val="baseline"/>
              <w:rPr>
                <w:noProof/>
                <w:szCs w:val="22"/>
              </w:rPr>
            </w:pPr>
            <w:r>
              <w:rPr>
                <w:noProof/>
              </w:rPr>
              <w:t>D.1.1. Enseignement général moderne — Contexte des compétences de base</w:t>
            </w:r>
          </w:p>
          <w:p w14:paraId="43DE57F2" w14:textId="77777777" w:rsidR="00FA40E8" w:rsidRDefault="00E74AE8">
            <w:pPr>
              <w:pStyle w:val="P68B1DB1-Normal38"/>
              <w:spacing w:after="0" w:line="240" w:lineRule="auto"/>
              <w:rPr>
                <w:noProof/>
              </w:rPr>
            </w:pPr>
            <w:r>
              <w:rPr>
                <w:noProof/>
              </w:rPr>
              <w:t>D.1.1.7: Améliorer l’éducation et l’accueil de la petite enfance</w:t>
            </w:r>
          </w:p>
        </w:tc>
        <w:tc>
          <w:tcPr>
            <w:tcW w:w="1276" w:type="dxa"/>
            <w:shd w:val="clear" w:color="auto" w:fill="EAF1DD" w:themeFill="accent3" w:themeFillTint="33"/>
          </w:tcPr>
          <w:p w14:paraId="43E0BB3A"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1F7B8886" w14:textId="77777777" w:rsidR="00FA40E8" w:rsidRDefault="00E74AE8">
            <w:pPr>
              <w:pStyle w:val="P68B1DB1-Normal38"/>
              <w:spacing w:after="0"/>
              <w:rPr>
                <w:noProof/>
                <w:szCs w:val="22"/>
              </w:rPr>
            </w:pPr>
            <w:r>
              <w:rPr>
                <w:noProof/>
              </w:rPr>
              <w:t>Entrée en vigueur de la législation sur les critères (lignes directrices) applicables aux programmes d’enseignement préscolaire</w:t>
            </w:r>
          </w:p>
        </w:tc>
      </w:tr>
      <w:tr w:rsidR="00FA40E8" w14:paraId="54CA9E1E" w14:textId="77777777">
        <w:trPr>
          <w:cantSplit/>
        </w:trPr>
        <w:tc>
          <w:tcPr>
            <w:tcW w:w="1207" w:type="dxa"/>
            <w:shd w:val="clear" w:color="auto" w:fill="EAF1DD" w:themeFill="accent3" w:themeFillTint="33"/>
            <w:vAlign w:val="center"/>
          </w:tcPr>
          <w:p w14:paraId="3841F27F" w14:textId="77777777" w:rsidR="00FA40E8" w:rsidRDefault="00E74AE8">
            <w:pPr>
              <w:pStyle w:val="P68B1DB1-Normal39"/>
              <w:spacing w:after="0"/>
              <w:jc w:val="center"/>
              <w:rPr>
                <w:noProof/>
                <w:color w:val="000000"/>
                <w:szCs w:val="22"/>
              </w:rPr>
            </w:pPr>
            <w:r>
              <w:rPr>
                <w:noProof/>
              </w:rPr>
              <w:t>107</w:t>
            </w:r>
          </w:p>
        </w:tc>
        <w:tc>
          <w:tcPr>
            <w:tcW w:w="3721" w:type="dxa"/>
            <w:shd w:val="clear" w:color="auto" w:fill="EAF1DD" w:themeFill="accent3" w:themeFillTint="33"/>
          </w:tcPr>
          <w:p w14:paraId="5500BCB0" w14:textId="4ADE70CD" w:rsidR="00FA40E8" w:rsidRDefault="00E74AE8">
            <w:pPr>
              <w:spacing w:after="0"/>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rPr>
              <w:t>D.1.2. Accès des adultes au système informatique d’éducation et de formation tout au long de la</w:t>
            </w:r>
            <w:r>
              <w:rPr>
                <w:noProof/>
              </w:rPr>
              <w:t xml:space="preserve"> vie</w:t>
            </w:r>
          </w:p>
        </w:tc>
        <w:tc>
          <w:tcPr>
            <w:tcW w:w="1276" w:type="dxa"/>
            <w:shd w:val="clear" w:color="auto" w:fill="EAF1DD" w:themeFill="accent3" w:themeFillTint="33"/>
          </w:tcPr>
          <w:p w14:paraId="1853A1E1"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5B75E477" w14:textId="77777777" w:rsidR="00FA40E8" w:rsidRDefault="00E74AE8">
            <w:pPr>
              <w:pStyle w:val="P68B1DB1-Normal38"/>
              <w:spacing w:after="0"/>
              <w:rPr>
                <w:noProof/>
                <w:szCs w:val="22"/>
              </w:rPr>
            </w:pPr>
            <w:r>
              <w:rPr>
                <w:noProof/>
              </w:rPr>
              <w:t>Entrée en vigueur de la loi sur l’éducation des adultes établissant un modèle de système coordonné d’éducation et de formation tout au long de la vie et fixant les principes de fonctionnement</w:t>
            </w:r>
          </w:p>
        </w:tc>
      </w:tr>
      <w:tr w:rsidR="00FA40E8" w14:paraId="054E0D2C" w14:textId="77777777">
        <w:trPr>
          <w:cantSplit/>
        </w:trPr>
        <w:tc>
          <w:tcPr>
            <w:tcW w:w="1207" w:type="dxa"/>
            <w:shd w:val="clear" w:color="auto" w:fill="EAF1DD" w:themeFill="accent3" w:themeFillTint="33"/>
            <w:vAlign w:val="center"/>
          </w:tcPr>
          <w:p w14:paraId="7C20CC85" w14:textId="77777777" w:rsidR="00FA40E8" w:rsidRDefault="00E74AE8">
            <w:pPr>
              <w:pStyle w:val="P68B1DB1-Normal39"/>
              <w:spacing w:after="0"/>
              <w:jc w:val="center"/>
              <w:rPr>
                <w:noProof/>
                <w:color w:val="000000"/>
                <w:szCs w:val="22"/>
              </w:rPr>
            </w:pPr>
            <w:r>
              <w:rPr>
                <w:noProof/>
              </w:rPr>
              <w:t>115</w:t>
            </w:r>
          </w:p>
        </w:tc>
        <w:tc>
          <w:tcPr>
            <w:tcW w:w="3721" w:type="dxa"/>
            <w:shd w:val="clear" w:color="auto" w:fill="EAF1DD" w:themeFill="accent3" w:themeFillTint="33"/>
          </w:tcPr>
          <w:p w14:paraId="1153128A" w14:textId="529A4755" w:rsidR="00FA40E8" w:rsidRDefault="00E74AE8">
            <w:pPr>
              <w:pStyle w:val="P68B1DB1-Normal38"/>
              <w:spacing w:after="0"/>
              <w:textAlignment w:val="baseline"/>
              <w:rPr>
                <w:noProof/>
                <w:szCs w:val="22"/>
              </w:rPr>
            </w:pPr>
            <w:r>
              <w:rPr>
                <w:noProof/>
              </w:rPr>
              <w:t xml:space="preserve">D.1.4. Compétences en matière de transformation numérique </w:t>
            </w:r>
            <w:r>
              <w:rPr>
                <w:noProof/>
              </w:rPr>
              <w:t>acquises dans l’enseignement et la formation professionnels</w:t>
            </w:r>
          </w:p>
          <w:p w14:paraId="3AFAF44D" w14:textId="77777777" w:rsidR="00FA40E8" w:rsidRDefault="00E74AE8">
            <w:pPr>
              <w:pStyle w:val="P68B1DB1-Normal38"/>
              <w:spacing w:after="0"/>
              <w:rPr>
                <w:noProof/>
                <w:szCs w:val="22"/>
              </w:rPr>
            </w:pPr>
            <w:r>
              <w:rPr>
                <w:noProof/>
              </w:rPr>
              <w:t>D.1.4.2: Évaluation des compétences</w:t>
            </w:r>
          </w:p>
        </w:tc>
        <w:tc>
          <w:tcPr>
            <w:tcW w:w="1276" w:type="dxa"/>
            <w:shd w:val="clear" w:color="auto" w:fill="EAF1DD" w:themeFill="accent3" w:themeFillTint="33"/>
          </w:tcPr>
          <w:p w14:paraId="487B0257"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3215B1AD" w14:textId="77777777" w:rsidR="00FA40E8" w:rsidRDefault="00E74AE8">
            <w:pPr>
              <w:pStyle w:val="P68B1DB1-Normal38"/>
              <w:spacing w:after="0"/>
              <w:rPr>
                <w:noProof/>
                <w:szCs w:val="22"/>
              </w:rPr>
            </w:pPr>
            <w:r>
              <w:rPr>
                <w:noProof/>
              </w:rPr>
              <w:t>Entrée en vigueur de la modification de la loi sur la formation professionnelle relative aux centres d’excellence pour l’enseignement et la formation prof</w:t>
            </w:r>
            <w:r>
              <w:rPr>
                <w:noProof/>
              </w:rPr>
              <w:t>essionnels</w:t>
            </w:r>
          </w:p>
        </w:tc>
      </w:tr>
      <w:tr w:rsidR="00FA40E8" w14:paraId="13F8B216" w14:textId="77777777">
        <w:trPr>
          <w:cantSplit/>
        </w:trPr>
        <w:tc>
          <w:tcPr>
            <w:tcW w:w="1207" w:type="dxa"/>
            <w:shd w:val="clear" w:color="auto" w:fill="EAF1DD" w:themeFill="accent3" w:themeFillTint="33"/>
            <w:vAlign w:val="center"/>
          </w:tcPr>
          <w:p w14:paraId="1E5C03DD" w14:textId="77777777" w:rsidR="00FA40E8" w:rsidRDefault="00E74AE8">
            <w:pPr>
              <w:pStyle w:val="P68B1DB1-Normal39"/>
              <w:spacing w:after="0"/>
              <w:jc w:val="center"/>
              <w:rPr>
                <w:noProof/>
                <w:color w:val="000000"/>
                <w:szCs w:val="22"/>
              </w:rPr>
            </w:pPr>
            <w:r>
              <w:rPr>
                <w:noProof/>
              </w:rPr>
              <w:t>129</w:t>
            </w:r>
          </w:p>
        </w:tc>
        <w:tc>
          <w:tcPr>
            <w:tcW w:w="3721" w:type="dxa"/>
            <w:shd w:val="clear" w:color="auto" w:fill="EAF1DD" w:themeFill="accent3" w:themeFillTint="33"/>
          </w:tcPr>
          <w:p w14:paraId="4B0CF593" w14:textId="2E4BE0CE" w:rsidR="00FA40E8" w:rsidRDefault="00E74AE8">
            <w:pPr>
              <w:pStyle w:val="P68B1DB1-Normal38"/>
              <w:spacing w:after="0"/>
              <w:rPr>
                <w:noProof/>
                <w:szCs w:val="22"/>
              </w:rPr>
            </w:pPr>
            <w:r>
              <w:rPr>
                <w:noProof/>
              </w:rPr>
              <w:t>E.1.2. Mise en œuvre efficace de la politique d’innovation, augmentation de la demande d’innovation, soutien à l’écosystème des jeunes pousses et à l’innovation verte — E.1.2.1. Mise en œuvre efficace de la politique d’innovation par la cré</w:t>
            </w:r>
            <w:r>
              <w:rPr>
                <w:noProof/>
              </w:rPr>
              <w:t>ation d’une agence unique de promotion de l’innovation et l’optimisation du réseau des agences existantes</w:t>
            </w:r>
          </w:p>
        </w:tc>
        <w:tc>
          <w:tcPr>
            <w:tcW w:w="1276" w:type="dxa"/>
            <w:shd w:val="clear" w:color="auto" w:fill="EAF1DD" w:themeFill="accent3" w:themeFillTint="33"/>
          </w:tcPr>
          <w:p w14:paraId="4B35DC66"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6C550048" w14:textId="77777777" w:rsidR="00FA40E8" w:rsidRDefault="00E74AE8">
            <w:pPr>
              <w:pStyle w:val="P68B1DB1-Normal38"/>
              <w:spacing w:after="0"/>
              <w:rPr>
                <w:noProof/>
                <w:szCs w:val="22"/>
              </w:rPr>
            </w:pPr>
            <w:r>
              <w:rPr>
                <w:noProof/>
              </w:rPr>
              <w:t>Entrée en vigueur du cadre renouvelé d’incitations pour les entreprises à investir dans la R &amp; D</w:t>
            </w:r>
          </w:p>
        </w:tc>
      </w:tr>
      <w:tr w:rsidR="00FA40E8" w14:paraId="5B0705DB" w14:textId="77777777">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46D4A712" w14:textId="77777777" w:rsidR="00FA40E8" w:rsidRDefault="00E74AE8">
            <w:pPr>
              <w:pStyle w:val="P68B1DB1-Normal39"/>
              <w:spacing w:after="0"/>
              <w:jc w:val="center"/>
              <w:rPr>
                <w:noProof/>
                <w:szCs w:val="22"/>
              </w:rPr>
            </w:pPr>
            <w:r>
              <w:rPr>
                <w:noProof/>
              </w:rPr>
              <w:t>151</w:t>
            </w:r>
          </w:p>
        </w:tc>
        <w:tc>
          <w:tcPr>
            <w:tcW w:w="3721" w:type="dxa"/>
            <w:shd w:val="clear" w:color="auto" w:fill="EAF1DD" w:themeFill="accent3" w:themeFillTint="33"/>
          </w:tcPr>
          <w:p w14:paraId="671A3667" w14:textId="77777777" w:rsidR="00FA40E8" w:rsidRDefault="00E74AE8">
            <w:pPr>
              <w:pStyle w:val="P68B1DB1-Normal38"/>
              <w:spacing w:after="0"/>
              <w:rPr>
                <w:noProof/>
                <w:szCs w:val="22"/>
              </w:rPr>
            </w:pPr>
            <w:r>
              <w:rPr>
                <w:noProof/>
              </w:rPr>
              <w:t xml:space="preserve">F.1.3. Viabilité à long terme et </w:t>
            </w:r>
            <w:r>
              <w:rPr>
                <w:noProof/>
              </w:rPr>
              <w:t>transparence du budget national — F.1.3.3. Améliorer la structure des recettes municipales</w:t>
            </w:r>
          </w:p>
        </w:tc>
        <w:tc>
          <w:tcPr>
            <w:tcW w:w="1276" w:type="dxa"/>
            <w:shd w:val="clear" w:color="auto" w:fill="EAF1DD" w:themeFill="accent3" w:themeFillTint="33"/>
          </w:tcPr>
          <w:p w14:paraId="73A5F797"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41184475" w14:textId="77777777" w:rsidR="00FA40E8" w:rsidRDefault="00E74AE8">
            <w:pPr>
              <w:pStyle w:val="P68B1DB1-Normal38"/>
              <w:spacing w:after="0"/>
              <w:rPr>
                <w:noProof/>
                <w:szCs w:val="22"/>
              </w:rPr>
            </w:pPr>
            <w:r>
              <w:rPr>
                <w:noProof/>
              </w:rPr>
              <w:t>Entrée en vigueur de la modification de la loi sur la méthodologie de détermination des recettes du budget municipal et publication des conclusions de la compa</w:t>
            </w:r>
            <w:r>
              <w:rPr>
                <w:noProof/>
              </w:rPr>
              <w:t>raison systématique des indicateurs budgétaires municipaux et de l’évaluation de la capacité des municipalités à lever des recettes</w:t>
            </w:r>
          </w:p>
        </w:tc>
      </w:tr>
      <w:tr w:rsidR="00FA40E8" w14:paraId="2742C50F" w14:textId="77777777">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37789C18" w14:textId="77777777" w:rsidR="00FA40E8" w:rsidRDefault="00E74AE8">
            <w:pPr>
              <w:pStyle w:val="P68B1DB1-Normal39"/>
              <w:spacing w:after="0"/>
              <w:jc w:val="center"/>
              <w:rPr>
                <w:noProof/>
                <w:szCs w:val="22"/>
              </w:rPr>
            </w:pPr>
            <w:r>
              <w:rPr>
                <w:noProof/>
              </w:rPr>
              <w:t>156</w:t>
            </w:r>
          </w:p>
        </w:tc>
        <w:tc>
          <w:tcPr>
            <w:tcW w:w="3721" w:type="dxa"/>
            <w:shd w:val="clear" w:color="auto" w:fill="EAF1DD" w:themeFill="accent3" w:themeFillTint="33"/>
          </w:tcPr>
          <w:p w14:paraId="29091006" w14:textId="77777777" w:rsidR="00FA40E8" w:rsidRDefault="00E74AE8">
            <w:pPr>
              <w:pStyle w:val="P68B1DB1-Normal38"/>
              <w:spacing w:after="0"/>
              <w:rPr>
                <w:noProof/>
                <w:szCs w:val="22"/>
              </w:rPr>
            </w:pPr>
            <w:r>
              <w:rPr>
                <w:noProof/>
              </w:rPr>
              <w:t xml:space="preserve">F.1.4. Amélioration du respect des obligations fiscales — F.1.4.2. Fiscalité équitable des activités économiques en </w:t>
            </w:r>
            <w:r>
              <w:rPr>
                <w:noProof/>
              </w:rPr>
              <w:t>ligne</w:t>
            </w:r>
          </w:p>
        </w:tc>
        <w:tc>
          <w:tcPr>
            <w:tcW w:w="1276" w:type="dxa"/>
            <w:shd w:val="clear" w:color="auto" w:fill="EAF1DD" w:themeFill="accent3" w:themeFillTint="33"/>
          </w:tcPr>
          <w:p w14:paraId="5BB87EB5"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4FE1DF5D" w14:textId="77777777" w:rsidR="00FA40E8" w:rsidRDefault="00E74AE8">
            <w:pPr>
              <w:pStyle w:val="P68B1DB1-Normal38"/>
              <w:spacing w:after="0"/>
              <w:rPr>
                <w:noProof/>
                <w:szCs w:val="22"/>
              </w:rPr>
            </w:pPr>
            <w:r>
              <w:rPr>
                <w:noProof/>
              </w:rPr>
              <w:t>Entrée en vigueur de l’obligation légale pour les opérateurs de plateformes en ligne de collecter et de communiquer aux autorités fiscales des données sur les transactions effectuées sur des plateformes en ligne</w:t>
            </w:r>
          </w:p>
        </w:tc>
      </w:tr>
      <w:tr w:rsidR="00FA40E8" w14:paraId="68E07F94" w14:textId="77777777">
        <w:trPr>
          <w:cantSplit/>
        </w:trPr>
        <w:tc>
          <w:tcPr>
            <w:tcW w:w="1207" w:type="dxa"/>
            <w:shd w:val="clear" w:color="auto" w:fill="EAF1DD" w:themeFill="accent3" w:themeFillTint="33"/>
            <w:vAlign w:val="center"/>
          </w:tcPr>
          <w:p w14:paraId="478E94DC" w14:textId="77777777" w:rsidR="00FA40E8" w:rsidRDefault="00E74AE8">
            <w:pPr>
              <w:pStyle w:val="P68B1DB1-Normal39"/>
              <w:spacing w:after="0"/>
              <w:jc w:val="center"/>
              <w:rPr>
                <w:noProof/>
                <w:color w:val="000000"/>
                <w:szCs w:val="22"/>
              </w:rPr>
            </w:pPr>
            <w:r>
              <w:rPr>
                <w:noProof/>
              </w:rPr>
              <w:t>158</w:t>
            </w:r>
          </w:p>
        </w:tc>
        <w:tc>
          <w:tcPr>
            <w:tcW w:w="3721" w:type="dxa"/>
            <w:shd w:val="clear" w:color="auto" w:fill="EAF1DD" w:themeFill="accent3" w:themeFillTint="33"/>
          </w:tcPr>
          <w:p w14:paraId="43F18F8B" w14:textId="77777777" w:rsidR="00FA40E8" w:rsidRDefault="00E74AE8">
            <w:pPr>
              <w:pStyle w:val="P68B1DB1-Normal38"/>
              <w:spacing w:after="0"/>
              <w:rPr>
                <w:noProof/>
                <w:szCs w:val="22"/>
              </w:rPr>
            </w:pPr>
            <w:r>
              <w:rPr>
                <w:noProof/>
              </w:rPr>
              <w:t>F.1.4. Amélioration du resp</w:t>
            </w:r>
            <w:r>
              <w:rPr>
                <w:noProof/>
              </w:rPr>
              <w:t>ect des obligations fiscales — F.1.4.3. Limiter l’utilisation de l’argent liquide</w:t>
            </w:r>
          </w:p>
        </w:tc>
        <w:tc>
          <w:tcPr>
            <w:tcW w:w="1276" w:type="dxa"/>
            <w:shd w:val="clear" w:color="auto" w:fill="EAF1DD" w:themeFill="accent3" w:themeFillTint="33"/>
          </w:tcPr>
          <w:p w14:paraId="251C963F"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54BCC50E" w14:textId="77777777" w:rsidR="00FA40E8" w:rsidRDefault="00E74AE8">
            <w:pPr>
              <w:pStyle w:val="P68B1DB1-Normal38"/>
              <w:spacing w:after="0"/>
              <w:rPr>
                <w:noProof/>
                <w:szCs w:val="22"/>
              </w:rPr>
            </w:pPr>
            <w:r>
              <w:rPr>
                <w:noProof/>
              </w:rPr>
              <w:t>Entrée en vigueur de la législation limitant les paiements en espèces dans les secteurs économiques à risque et/ou les différents types de transactions</w:t>
            </w:r>
          </w:p>
        </w:tc>
      </w:tr>
      <w:tr w:rsidR="00FA40E8" w14:paraId="470311D8" w14:textId="77777777">
        <w:trPr>
          <w:cantSplit/>
        </w:trPr>
        <w:tc>
          <w:tcPr>
            <w:tcW w:w="1207" w:type="dxa"/>
            <w:shd w:val="clear" w:color="auto" w:fill="EAF1DD" w:themeFill="accent3" w:themeFillTint="33"/>
            <w:vAlign w:val="center"/>
          </w:tcPr>
          <w:p w14:paraId="078B3446" w14:textId="77777777" w:rsidR="00FA40E8" w:rsidRDefault="00E74AE8">
            <w:pPr>
              <w:pStyle w:val="P68B1DB1-Normal39"/>
              <w:spacing w:after="0"/>
              <w:jc w:val="center"/>
              <w:rPr>
                <w:noProof/>
                <w:color w:val="000000"/>
                <w:szCs w:val="22"/>
              </w:rPr>
            </w:pPr>
            <w:r>
              <w:rPr>
                <w:noProof/>
              </w:rPr>
              <w:t>180</w:t>
            </w:r>
          </w:p>
        </w:tc>
        <w:tc>
          <w:tcPr>
            <w:tcW w:w="3721" w:type="dxa"/>
            <w:shd w:val="clear" w:color="auto" w:fill="EAF1DD" w:themeFill="accent3" w:themeFillTint="33"/>
          </w:tcPr>
          <w:p w14:paraId="02611D4D" w14:textId="77777777" w:rsidR="00FA40E8" w:rsidRDefault="00E74AE8">
            <w:pPr>
              <w:pStyle w:val="P68B1DB1-Normal38"/>
              <w:spacing w:after="0"/>
              <w:rPr>
                <w:noProof/>
                <w:szCs w:val="22"/>
              </w:rPr>
            </w:pPr>
            <w:r>
              <w:rPr>
                <w:noProof/>
              </w:rPr>
              <w:t>G.1.1. Protection du revenu minimum garanti — G.1.1.1. Étude sur le régime de revenu minimum et les modifications connexes apportées à la législation</w:t>
            </w:r>
          </w:p>
        </w:tc>
        <w:tc>
          <w:tcPr>
            <w:tcW w:w="1276" w:type="dxa"/>
            <w:shd w:val="clear" w:color="auto" w:fill="EAF1DD" w:themeFill="accent3" w:themeFillTint="33"/>
          </w:tcPr>
          <w:p w14:paraId="62ADCB78"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406392C9" w14:textId="77777777" w:rsidR="00FA40E8" w:rsidRDefault="00E74AE8">
            <w:pPr>
              <w:pStyle w:val="P68B1DB1-Normal38"/>
              <w:spacing w:after="0"/>
              <w:rPr>
                <w:noProof/>
                <w:szCs w:val="22"/>
              </w:rPr>
            </w:pPr>
            <w:r>
              <w:rPr>
                <w:noProof/>
              </w:rPr>
              <w:t>Finalisation d’une étude sur l’adéquation du régime de revenu minimum</w:t>
            </w:r>
          </w:p>
        </w:tc>
      </w:tr>
      <w:tr w:rsidR="00FA40E8" w14:paraId="2EAB6FF7" w14:textId="77777777">
        <w:trPr>
          <w:cantSplit/>
        </w:trPr>
        <w:tc>
          <w:tcPr>
            <w:tcW w:w="1207" w:type="dxa"/>
            <w:shd w:val="clear" w:color="auto" w:fill="EAF1DD" w:themeFill="accent3" w:themeFillTint="33"/>
            <w:vAlign w:val="center"/>
          </w:tcPr>
          <w:p w14:paraId="5BD069BA" w14:textId="77777777" w:rsidR="00FA40E8" w:rsidRDefault="00E74AE8">
            <w:pPr>
              <w:pStyle w:val="P68B1DB1-Normal39"/>
              <w:spacing w:after="0"/>
              <w:jc w:val="center"/>
              <w:rPr>
                <w:noProof/>
                <w:color w:val="000000"/>
                <w:szCs w:val="22"/>
              </w:rPr>
            </w:pPr>
            <w:r>
              <w:rPr>
                <w:noProof/>
              </w:rPr>
              <w:t>184</w:t>
            </w:r>
          </w:p>
        </w:tc>
        <w:tc>
          <w:tcPr>
            <w:tcW w:w="3721" w:type="dxa"/>
            <w:shd w:val="clear" w:color="auto" w:fill="EAF1DD" w:themeFill="accent3" w:themeFillTint="33"/>
          </w:tcPr>
          <w:p w14:paraId="6574F1BD" w14:textId="77777777" w:rsidR="00FA40E8" w:rsidRDefault="00E74AE8">
            <w:pPr>
              <w:pStyle w:val="P68B1DB1-Normal38"/>
              <w:spacing w:after="0"/>
              <w:rPr>
                <w:noProof/>
                <w:szCs w:val="22"/>
              </w:rPr>
            </w:pPr>
            <w:r>
              <w:rPr>
                <w:noProof/>
              </w:rPr>
              <w:t>G.1.1. Protection du reve</w:t>
            </w:r>
            <w:r>
              <w:rPr>
                <w:noProof/>
              </w:rPr>
              <w:t>nu minimum garanti — G.1.1.2. Mesures supplémentaires visant à accroître l’adéquation et la viabilité des prestations sociales</w:t>
            </w:r>
          </w:p>
        </w:tc>
        <w:tc>
          <w:tcPr>
            <w:tcW w:w="1276" w:type="dxa"/>
            <w:shd w:val="clear" w:color="auto" w:fill="EAF1DD" w:themeFill="accent3" w:themeFillTint="33"/>
          </w:tcPr>
          <w:p w14:paraId="526AD273"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67186A1B" w14:textId="77777777" w:rsidR="00FA40E8" w:rsidRDefault="00E74AE8">
            <w:pPr>
              <w:pStyle w:val="P68B1DB1-Normal38"/>
              <w:spacing w:after="0"/>
              <w:rPr>
                <w:noProof/>
                <w:szCs w:val="22"/>
              </w:rPr>
            </w:pPr>
            <w:r>
              <w:rPr>
                <w:noProof/>
              </w:rPr>
              <w:t>Entrée en vigueur de la législation sur les modifications du mécanisme d’indexation des pensions</w:t>
            </w:r>
          </w:p>
        </w:tc>
      </w:tr>
      <w:tr w:rsidR="00FA40E8" w14:paraId="3C755509" w14:textId="77777777">
        <w:trPr>
          <w:cantSplit/>
        </w:trPr>
        <w:tc>
          <w:tcPr>
            <w:tcW w:w="1207" w:type="dxa"/>
            <w:shd w:val="clear" w:color="auto" w:fill="EAF1DD" w:themeFill="accent3" w:themeFillTint="33"/>
            <w:vAlign w:val="center"/>
          </w:tcPr>
          <w:p w14:paraId="01F32EA0" w14:textId="77777777" w:rsidR="00FA40E8" w:rsidRDefault="00E74AE8">
            <w:pPr>
              <w:pStyle w:val="P68B1DB1-Normal39"/>
              <w:spacing w:after="0"/>
              <w:jc w:val="center"/>
              <w:rPr>
                <w:noProof/>
                <w:color w:val="000000"/>
                <w:szCs w:val="22"/>
              </w:rPr>
            </w:pPr>
            <w:r>
              <w:rPr>
                <w:noProof/>
              </w:rPr>
              <w:t>201</w:t>
            </w:r>
          </w:p>
        </w:tc>
        <w:tc>
          <w:tcPr>
            <w:tcW w:w="3721" w:type="dxa"/>
            <w:shd w:val="clear" w:color="auto" w:fill="EAF1DD" w:themeFill="accent3" w:themeFillTint="33"/>
          </w:tcPr>
          <w:p w14:paraId="69506612" w14:textId="77777777" w:rsidR="00FA40E8" w:rsidRDefault="00E74AE8">
            <w:pPr>
              <w:pStyle w:val="P68B1DB1-Normal38"/>
              <w:spacing w:after="0"/>
              <w:textAlignment w:val="baseline"/>
              <w:rPr>
                <w:noProof/>
                <w:szCs w:val="22"/>
              </w:rPr>
            </w:pPr>
            <w:r>
              <w:rPr>
                <w:noProof/>
              </w:rPr>
              <w:t xml:space="preserve">H.1.3. Augmentation </w:t>
            </w:r>
            <w:r>
              <w:rPr>
                <w:noProof/>
              </w:rPr>
              <w:t>de la capacité de production à partir de SER</w:t>
            </w:r>
          </w:p>
          <w:p w14:paraId="4C68B85A" w14:textId="3BE804C0" w:rsidR="00FA40E8" w:rsidRDefault="00E74AE8">
            <w:pPr>
              <w:pStyle w:val="P68B1DB1-Normal38"/>
              <w:spacing w:after="0"/>
              <w:rPr>
                <w:noProof/>
                <w:color w:val="000000" w:themeColor="text1"/>
              </w:rPr>
            </w:pPr>
            <w:r>
              <w:rPr>
                <w:noProof/>
              </w:rPr>
              <w:t>H.1.3.1. Améliorer l’environnement d’investissement pour les développeurs de SER</w:t>
            </w:r>
          </w:p>
        </w:tc>
        <w:tc>
          <w:tcPr>
            <w:tcW w:w="1276" w:type="dxa"/>
            <w:shd w:val="clear" w:color="auto" w:fill="EAF1DD" w:themeFill="accent3" w:themeFillTint="33"/>
          </w:tcPr>
          <w:p w14:paraId="6875302E" w14:textId="77777777" w:rsidR="00FA40E8" w:rsidRDefault="00E74AE8">
            <w:pPr>
              <w:pStyle w:val="P68B1DB1-Normal38"/>
              <w:spacing w:after="0"/>
              <w:jc w:val="center"/>
              <w:rPr>
                <w:noProof/>
                <w:szCs w:val="22"/>
              </w:rPr>
            </w:pPr>
            <w:r>
              <w:rPr>
                <w:noProof/>
              </w:rPr>
              <w:t>Étape</w:t>
            </w:r>
          </w:p>
        </w:tc>
        <w:tc>
          <w:tcPr>
            <w:tcW w:w="3651" w:type="dxa"/>
            <w:shd w:val="clear" w:color="auto" w:fill="EAF1DD" w:themeFill="accent3" w:themeFillTint="33"/>
          </w:tcPr>
          <w:p w14:paraId="72C64C98" w14:textId="66A71F2B" w:rsidR="00FA40E8" w:rsidRDefault="00E74AE8">
            <w:pPr>
              <w:pStyle w:val="P68B1DB1-Normal38"/>
              <w:spacing w:after="0"/>
              <w:rPr>
                <w:noProof/>
                <w:color w:val="000000" w:themeColor="text1"/>
              </w:rPr>
            </w:pPr>
            <w:r>
              <w:rPr>
                <w:noProof/>
              </w:rPr>
              <w:t>Entrée en vigueur de la législation visant à améliorer l’environnement d’investissement pour les développeurs de SER</w:t>
            </w:r>
          </w:p>
        </w:tc>
      </w:tr>
      <w:tr w:rsidR="00FA40E8" w14:paraId="20EFCD1B" w14:textId="77777777">
        <w:trPr>
          <w:cantSplit/>
        </w:trPr>
        <w:tc>
          <w:tcPr>
            <w:tcW w:w="1207" w:type="dxa"/>
            <w:shd w:val="clear" w:color="auto" w:fill="EAF1DD" w:themeFill="accent3" w:themeFillTint="33"/>
          </w:tcPr>
          <w:p w14:paraId="7C4C10CF" w14:textId="77777777" w:rsidR="00FA40E8" w:rsidRDefault="00FA40E8">
            <w:pPr>
              <w:spacing w:after="0"/>
              <w:jc w:val="center"/>
              <w:rPr>
                <w:rFonts w:ascii="Times New Roman" w:eastAsia="Times New Roman" w:hAnsi="Times New Roman" w:cs="Times New Roman"/>
                <w:noProof/>
                <w:color w:val="000000"/>
                <w:szCs w:val="22"/>
              </w:rPr>
            </w:pPr>
          </w:p>
        </w:tc>
        <w:tc>
          <w:tcPr>
            <w:tcW w:w="3721" w:type="dxa"/>
            <w:shd w:val="clear" w:color="auto" w:fill="EAF1DD" w:themeFill="accent3" w:themeFillTint="33"/>
          </w:tcPr>
          <w:p w14:paraId="0D2DCD8A" w14:textId="77777777" w:rsidR="00FA40E8" w:rsidRDefault="00FA40E8">
            <w:pPr>
              <w:spacing w:after="0"/>
              <w:rPr>
                <w:rFonts w:ascii="Times New Roman" w:eastAsia="Times New Roman" w:hAnsi="Times New Roman" w:cs="Times New Roman"/>
                <w:noProof/>
                <w:color w:val="000000"/>
                <w:szCs w:val="22"/>
              </w:rPr>
            </w:pPr>
          </w:p>
        </w:tc>
        <w:tc>
          <w:tcPr>
            <w:tcW w:w="1276" w:type="dxa"/>
            <w:shd w:val="clear" w:color="auto" w:fill="EAF1DD" w:themeFill="accent3" w:themeFillTint="33"/>
            <w:vAlign w:val="center"/>
          </w:tcPr>
          <w:p w14:paraId="3132CFD2" w14:textId="77777777" w:rsidR="00FA40E8" w:rsidRDefault="00E74AE8">
            <w:pPr>
              <w:pStyle w:val="P68B1DB1-Normal39"/>
              <w:spacing w:after="0"/>
              <w:jc w:val="center"/>
              <w:rPr>
                <w:noProof/>
                <w:color w:val="000000"/>
                <w:szCs w:val="22"/>
              </w:rPr>
            </w:pPr>
            <w:r>
              <w:rPr>
                <w:noProof/>
              </w:rPr>
              <w:t>Montant de l’acompte</w:t>
            </w:r>
          </w:p>
        </w:tc>
        <w:tc>
          <w:tcPr>
            <w:tcW w:w="3651" w:type="dxa"/>
            <w:shd w:val="clear" w:color="auto" w:fill="EAF1DD" w:themeFill="accent3" w:themeFillTint="33"/>
            <w:vAlign w:val="center"/>
          </w:tcPr>
          <w:p w14:paraId="055B76F8" w14:textId="77E62A8B" w:rsidR="00FA40E8" w:rsidRDefault="00E74AE8">
            <w:pPr>
              <w:spacing w:after="0"/>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221</w:t>
            </w:r>
            <w:r>
              <w:rPr>
                <w:rFonts w:ascii="Times New Roman" w:hAnsi="Times New Roman"/>
                <w:noProof/>
                <w:sz w:val="20"/>
              </w:rPr>
              <w:t xml:space="preserve"> </w:t>
            </w:r>
            <w:r>
              <w:rPr>
                <w:rFonts w:ascii="Times New Roman" w:eastAsia="Times New Roman" w:hAnsi="Times New Roman" w:cs="Times New Roman"/>
                <w:noProof/>
                <w:color w:val="000000" w:themeColor="text1"/>
              </w:rPr>
              <w:t>820</w:t>
            </w:r>
            <w:r>
              <w:rPr>
                <w:rFonts w:ascii="Times New Roman" w:hAnsi="Times New Roman"/>
                <w:noProof/>
                <w:sz w:val="20"/>
              </w:rPr>
              <w:t xml:space="preserve"> </w:t>
            </w:r>
            <w:r>
              <w:rPr>
                <w:rFonts w:ascii="Times New Roman" w:eastAsia="Times New Roman" w:hAnsi="Times New Roman" w:cs="Times New Roman"/>
                <w:noProof/>
                <w:color w:val="000000" w:themeColor="text1"/>
              </w:rPr>
              <w:t>028 EUR</w:t>
            </w:r>
          </w:p>
        </w:tc>
      </w:tr>
    </w:tbl>
    <w:p w14:paraId="2A9C4373" w14:textId="58B1F021" w:rsidR="00FA40E8" w:rsidRDefault="00E74AE8">
      <w:pPr>
        <w:pStyle w:val="P68B1DB1-ListParagraph36"/>
        <w:keepNext/>
        <w:keepLines/>
        <w:numPr>
          <w:ilvl w:val="1"/>
          <w:numId w:val="110"/>
        </w:numPr>
        <w:spacing w:before="480" w:line="240" w:lineRule="auto"/>
        <w:jc w:val="both"/>
        <w:rPr>
          <w:noProof/>
        </w:rPr>
      </w:pPr>
      <w:r>
        <w:rPr>
          <w:noProof/>
        </w:rPr>
        <w:t>Troisième tranche (soutien non remboursable):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534"/>
        <w:gridCol w:w="1334"/>
        <w:gridCol w:w="3613"/>
      </w:tblGrid>
      <w:tr w:rsidR="00FA40E8" w14:paraId="77749DA5" w14:textId="77777777">
        <w:trPr>
          <w:cantSplit/>
          <w:trHeight w:val="491"/>
          <w:tblHeader/>
        </w:trPr>
        <w:tc>
          <w:tcPr>
            <w:tcW w:w="1298" w:type="dxa"/>
            <w:shd w:val="clear" w:color="auto" w:fill="BDD7EE"/>
            <w:vAlign w:val="center"/>
          </w:tcPr>
          <w:p w14:paraId="47D466EC" w14:textId="77777777" w:rsidR="00FA40E8" w:rsidRDefault="00E74AE8">
            <w:pPr>
              <w:pStyle w:val="P68B1DB1-Normal37"/>
              <w:spacing w:after="0"/>
              <w:jc w:val="center"/>
              <w:rPr>
                <w:bCs/>
                <w:noProof/>
                <w:szCs w:val="22"/>
              </w:rPr>
            </w:pPr>
            <w:r>
              <w:rPr>
                <w:noProof/>
              </w:rPr>
              <w:t>Numéro séquentiel</w:t>
            </w:r>
          </w:p>
        </w:tc>
        <w:tc>
          <w:tcPr>
            <w:tcW w:w="3534" w:type="dxa"/>
            <w:shd w:val="clear" w:color="auto" w:fill="BDD7EE"/>
            <w:vAlign w:val="center"/>
          </w:tcPr>
          <w:p w14:paraId="3A7D44E6" w14:textId="77777777" w:rsidR="00FA40E8" w:rsidRDefault="00E74AE8">
            <w:pPr>
              <w:pStyle w:val="P68B1DB1-Normal37"/>
              <w:spacing w:after="0"/>
              <w:jc w:val="center"/>
              <w:rPr>
                <w:bCs/>
                <w:noProof/>
                <w:szCs w:val="22"/>
              </w:rPr>
            </w:pPr>
            <w:r>
              <w:rPr>
                <w:noProof/>
              </w:rPr>
              <w:t xml:space="preserve">Mesure connexe </w:t>
            </w:r>
            <w:r>
              <w:rPr>
                <w:noProof/>
              </w:rPr>
              <w:br/>
              <w:t>(Réforme ou investissement)</w:t>
            </w:r>
          </w:p>
        </w:tc>
        <w:tc>
          <w:tcPr>
            <w:tcW w:w="1334" w:type="dxa"/>
            <w:shd w:val="clear" w:color="auto" w:fill="BDD7EE"/>
            <w:vAlign w:val="center"/>
          </w:tcPr>
          <w:p w14:paraId="72C90B3C" w14:textId="77777777" w:rsidR="00FA40E8" w:rsidRDefault="00E74AE8">
            <w:pPr>
              <w:pStyle w:val="P68B1DB1-Normal37"/>
              <w:spacing w:after="0"/>
              <w:jc w:val="center"/>
              <w:rPr>
                <w:bCs/>
                <w:noProof/>
                <w:szCs w:val="22"/>
              </w:rPr>
            </w:pPr>
            <w:r>
              <w:rPr>
                <w:noProof/>
              </w:rPr>
              <w:t>Étape/cible</w:t>
            </w:r>
          </w:p>
        </w:tc>
        <w:tc>
          <w:tcPr>
            <w:tcW w:w="3613" w:type="dxa"/>
            <w:shd w:val="clear" w:color="auto" w:fill="BDD7EE"/>
            <w:vAlign w:val="center"/>
          </w:tcPr>
          <w:p w14:paraId="25C0FB47" w14:textId="77777777" w:rsidR="00FA40E8" w:rsidRDefault="00E74AE8">
            <w:pPr>
              <w:pStyle w:val="P68B1DB1-Normal37"/>
              <w:spacing w:after="0"/>
              <w:jc w:val="center"/>
              <w:rPr>
                <w:bCs/>
                <w:noProof/>
                <w:szCs w:val="22"/>
              </w:rPr>
            </w:pPr>
            <w:r>
              <w:rPr>
                <w:noProof/>
              </w:rPr>
              <w:t>Nom</w:t>
            </w:r>
          </w:p>
        </w:tc>
      </w:tr>
      <w:tr w:rsidR="00FA40E8" w14:paraId="5755C1E3" w14:textId="77777777">
        <w:trPr>
          <w:cantSplit/>
        </w:trPr>
        <w:tc>
          <w:tcPr>
            <w:tcW w:w="1298" w:type="dxa"/>
            <w:shd w:val="clear" w:color="auto" w:fill="EAF1DD" w:themeFill="accent3" w:themeFillTint="33"/>
            <w:noWrap/>
            <w:vAlign w:val="center"/>
          </w:tcPr>
          <w:p w14:paraId="4FD0AE63" w14:textId="77777777" w:rsidR="00FA40E8" w:rsidRDefault="00E74AE8">
            <w:pPr>
              <w:pStyle w:val="P68B1DB1-Normal39"/>
              <w:spacing w:after="0"/>
              <w:jc w:val="center"/>
              <w:rPr>
                <w:noProof/>
                <w:color w:val="000000"/>
                <w:szCs w:val="22"/>
              </w:rPr>
            </w:pPr>
            <w:r>
              <w:rPr>
                <w:noProof/>
              </w:rPr>
              <w:t>4</w:t>
            </w:r>
          </w:p>
        </w:tc>
        <w:tc>
          <w:tcPr>
            <w:tcW w:w="3534" w:type="dxa"/>
            <w:shd w:val="clear" w:color="auto" w:fill="EAF1DD" w:themeFill="accent3" w:themeFillTint="33"/>
          </w:tcPr>
          <w:p w14:paraId="13BEF817" w14:textId="77777777" w:rsidR="00FA40E8" w:rsidRDefault="00E74AE8">
            <w:pPr>
              <w:pStyle w:val="P68B1DB1-Normal38"/>
              <w:spacing w:after="0" w:line="240" w:lineRule="auto"/>
              <w:textAlignment w:val="baseline"/>
              <w:rPr>
                <w:noProof/>
                <w:szCs w:val="22"/>
              </w:rPr>
            </w:pPr>
            <w:r>
              <w:rPr>
                <w:noProof/>
              </w:rPr>
              <w:t>A.1.1. Améliorer la qualité et l’accessibilité des services et promouvoir l’innovation</w:t>
            </w:r>
          </w:p>
          <w:p w14:paraId="5C2EFEF0" w14:textId="77777777" w:rsidR="00FA40E8" w:rsidRDefault="00E74AE8">
            <w:pPr>
              <w:pStyle w:val="P68B1DB1-Normal38"/>
              <w:spacing w:after="0"/>
              <w:rPr>
                <w:noProof/>
                <w:szCs w:val="22"/>
              </w:rPr>
            </w:pPr>
            <w:r>
              <w:rPr>
                <w:noProof/>
              </w:rPr>
              <w:t>A.1.1.4. Mise en place d’un modèle de prestation de services de santé publique de base</w:t>
            </w:r>
          </w:p>
        </w:tc>
        <w:tc>
          <w:tcPr>
            <w:tcW w:w="1334" w:type="dxa"/>
            <w:shd w:val="clear" w:color="auto" w:fill="EAF1DD" w:themeFill="accent3" w:themeFillTint="33"/>
          </w:tcPr>
          <w:p w14:paraId="11F71A1A"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4FB113E9" w14:textId="3FBAB5F0" w:rsidR="00FA40E8" w:rsidRDefault="00E74AE8">
            <w:pPr>
              <w:pStyle w:val="P68B1DB1-Normal38"/>
              <w:spacing w:after="0"/>
              <w:rPr>
                <w:noProof/>
              </w:rPr>
            </w:pPr>
            <w:r>
              <w:rPr>
                <w:noProof/>
              </w:rPr>
              <w:t>Entrée en vigueur de la législation établissant un modèle de prestation de services de santé publique de base</w:t>
            </w:r>
          </w:p>
        </w:tc>
      </w:tr>
      <w:tr w:rsidR="00FA40E8" w14:paraId="15C12E3E" w14:textId="77777777">
        <w:trPr>
          <w:cantSplit/>
        </w:trPr>
        <w:tc>
          <w:tcPr>
            <w:tcW w:w="1298" w:type="dxa"/>
            <w:shd w:val="clear" w:color="auto" w:fill="EAF1DD" w:themeFill="accent3" w:themeFillTint="33"/>
            <w:noWrap/>
            <w:vAlign w:val="center"/>
          </w:tcPr>
          <w:p w14:paraId="0FFBFF0E" w14:textId="77777777" w:rsidR="00FA40E8" w:rsidRDefault="00E74AE8">
            <w:pPr>
              <w:pStyle w:val="P68B1DB1-Normal39"/>
              <w:spacing w:after="0"/>
              <w:jc w:val="center"/>
              <w:rPr>
                <w:noProof/>
                <w:color w:val="000000"/>
                <w:szCs w:val="22"/>
              </w:rPr>
            </w:pPr>
            <w:r>
              <w:rPr>
                <w:noProof/>
              </w:rPr>
              <w:t>5</w:t>
            </w:r>
          </w:p>
        </w:tc>
        <w:tc>
          <w:tcPr>
            <w:tcW w:w="3534" w:type="dxa"/>
            <w:shd w:val="clear" w:color="auto" w:fill="EAF1DD" w:themeFill="accent3" w:themeFillTint="33"/>
          </w:tcPr>
          <w:p w14:paraId="51746A8A" w14:textId="77777777" w:rsidR="00FA40E8" w:rsidRDefault="00E74AE8">
            <w:pPr>
              <w:pStyle w:val="P68B1DB1-Normal38"/>
              <w:spacing w:after="0" w:line="240" w:lineRule="auto"/>
              <w:textAlignment w:val="baseline"/>
              <w:rPr>
                <w:noProof/>
                <w:szCs w:val="22"/>
              </w:rPr>
            </w:pPr>
            <w:r>
              <w:rPr>
                <w:noProof/>
              </w:rPr>
              <w:t>A.1.1. Améliorer la qualité et l’accessibilité des</w:t>
            </w:r>
            <w:r>
              <w:rPr>
                <w:noProof/>
              </w:rPr>
              <w:t xml:space="preserve"> services et promouvoir l’innovation</w:t>
            </w:r>
          </w:p>
          <w:p w14:paraId="709FBE42" w14:textId="77777777" w:rsidR="00FA40E8" w:rsidRDefault="00E74AE8">
            <w:pPr>
              <w:pStyle w:val="P68B1DB1-Normal38"/>
              <w:spacing w:after="0"/>
              <w:rPr>
                <w:noProof/>
                <w:szCs w:val="22"/>
              </w:rPr>
            </w:pPr>
            <w:r>
              <w:rPr>
                <w:noProof/>
              </w:rPr>
              <w:t>A.1.1.5. Amélioration des conditions de travail et des qualifications professionnelles des professionnels de la santé</w:t>
            </w:r>
          </w:p>
        </w:tc>
        <w:tc>
          <w:tcPr>
            <w:tcW w:w="1334" w:type="dxa"/>
            <w:shd w:val="clear" w:color="auto" w:fill="EAF1DD" w:themeFill="accent3" w:themeFillTint="33"/>
          </w:tcPr>
          <w:p w14:paraId="3B52EBFA"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7733B55A" w14:textId="77777777" w:rsidR="00FA40E8" w:rsidRDefault="00E74AE8">
            <w:pPr>
              <w:pStyle w:val="P68B1DB1-Normal38"/>
              <w:spacing w:after="0"/>
              <w:rPr>
                <w:noProof/>
                <w:szCs w:val="22"/>
              </w:rPr>
            </w:pPr>
            <w:r>
              <w:rPr>
                <w:noProof/>
              </w:rPr>
              <w:t xml:space="preserve">Entrée en vigueur de la législation relative à l’amélioration des conditions de travail et des </w:t>
            </w:r>
            <w:r>
              <w:rPr>
                <w:noProof/>
              </w:rPr>
              <w:t>qualifications professionnelles des professionnels de la santé</w:t>
            </w:r>
          </w:p>
        </w:tc>
      </w:tr>
      <w:tr w:rsidR="00FA40E8" w14:paraId="3C419C4A" w14:textId="77777777">
        <w:trPr>
          <w:cantSplit/>
        </w:trPr>
        <w:tc>
          <w:tcPr>
            <w:tcW w:w="1298" w:type="dxa"/>
            <w:shd w:val="clear" w:color="auto" w:fill="EAF1DD" w:themeFill="accent3" w:themeFillTint="33"/>
            <w:noWrap/>
            <w:vAlign w:val="center"/>
          </w:tcPr>
          <w:p w14:paraId="2F17AD68" w14:textId="77777777" w:rsidR="00FA40E8" w:rsidRDefault="00E74AE8">
            <w:pPr>
              <w:pStyle w:val="P68B1DB1-Normal39"/>
              <w:spacing w:after="0"/>
              <w:jc w:val="center"/>
              <w:rPr>
                <w:noProof/>
                <w:color w:val="000000"/>
                <w:szCs w:val="22"/>
              </w:rPr>
            </w:pPr>
            <w:r>
              <w:rPr>
                <w:noProof/>
              </w:rPr>
              <w:t>6</w:t>
            </w:r>
          </w:p>
        </w:tc>
        <w:tc>
          <w:tcPr>
            <w:tcW w:w="3534" w:type="dxa"/>
            <w:shd w:val="clear" w:color="auto" w:fill="EAF1DD" w:themeFill="accent3" w:themeFillTint="33"/>
          </w:tcPr>
          <w:p w14:paraId="3A64410E" w14:textId="77777777" w:rsidR="00FA40E8" w:rsidRDefault="00E74AE8">
            <w:pPr>
              <w:pStyle w:val="P68B1DB1-Normal38"/>
              <w:spacing w:after="0" w:line="240" w:lineRule="auto"/>
              <w:textAlignment w:val="baseline"/>
              <w:rPr>
                <w:noProof/>
                <w:szCs w:val="22"/>
              </w:rPr>
            </w:pPr>
            <w:r>
              <w:rPr>
                <w:noProof/>
              </w:rPr>
              <w:t>A.1.1. Améliorer la qualité et l’accessibilité des services et promouvoir l’innovation</w:t>
            </w:r>
          </w:p>
          <w:p w14:paraId="00082DC3" w14:textId="77777777" w:rsidR="00FA40E8" w:rsidRDefault="00E74AE8">
            <w:pPr>
              <w:pStyle w:val="P68B1DB1-Normal38"/>
              <w:spacing w:after="0"/>
              <w:rPr>
                <w:noProof/>
                <w:szCs w:val="22"/>
              </w:rPr>
            </w:pPr>
            <w:r>
              <w:rPr>
                <w:noProof/>
              </w:rPr>
              <w:t xml:space="preserve">A.1.1.6. Mise en place d’un réseau d’établissements de soins de santé individuels sur le modèle de la </w:t>
            </w:r>
            <w:r>
              <w:rPr>
                <w:noProof/>
              </w:rPr>
              <w:t>coopération régionale</w:t>
            </w:r>
          </w:p>
        </w:tc>
        <w:tc>
          <w:tcPr>
            <w:tcW w:w="1334" w:type="dxa"/>
            <w:shd w:val="clear" w:color="auto" w:fill="EAF1DD" w:themeFill="accent3" w:themeFillTint="33"/>
          </w:tcPr>
          <w:p w14:paraId="54D03A3A"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5356993D" w14:textId="77777777" w:rsidR="00FA40E8" w:rsidRDefault="00E74AE8">
            <w:pPr>
              <w:pStyle w:val="P68B1DB1-Normal38"/>
              <w:spacing w:after="0"/>
              <w:rPr>
                <w:noProof/>
                <w:szCs w:val="22"/>
              </w:rPr>
            </w:pPr>
            <w:r>
              <w:rPr>
                <w:noProof/>
              </w:rPr>
              <w:t>Entrée en vigueur de la législation relative à la création et à la réglementation d’un réseau d’établissements de soins de santé individuels sur le modèle des centres d’excellence et de la coopération régionale</w:t>
            </w:r>
          </w:p>
        </w:tc>
      </w:tr>
      <w:tr w:rsidR="00FA40E8" w14:paraId="656DE60A" w14:textId="77777777">
        <w:trPr>
          <w:cantSplit/>
        </w:trPr>
        <w:tc>
          <w:tcPr>
            <w:tcW w:w="1298" w:type="dxa"/>
            <w:shd w:val="clear" w:color="auto" w:fill="EAF1DD" w:themeFill="accent3" w:themeFillTint="33"/>
            <w:noWrap/>
            <w:vAlign w:val="center"/>
          </w:tcPr>
          <w:p w14:paraId="3C15A8A3" w14:textId="77777777" w:rsidR="00FA40E8" w:rsidRDefault="00E74AE8">
            <w:pPr>
              <w:pStyle w:val="P68B1DB1-Normal39"/>
              <w:spacing w:after="0"/>
              <w:jc w:val="center"/>
              <w:rPr>
                <w:noProof/>
                <w:color w:val="000000"/>
                <w:szCs w:val="22"/>
              </w:rPr>
            </w:pPr>
            <w:r>
              <w:rPr>
                <w:noProof/>
              </w:rPr>
              <w:t>18</w:t>
            </w:r>
          </w:p>
        </w:tc>
        <w:tc>
          <w:tcPr>
            <w:tcW w:w="3534" w:type="dxa"/>
            <w:shd w:val="clear" w:color="auto" w:fill="EAF1DD" w:themeFill="accent3" w:themeFillTint="33"/>
          </w:tcPr>
          <w:p w14:paraId="25F34251" w14:textId="40544E45" w:rsidR="00FA40E8" w:rsidRDefault="00E74AE8">
            <w:pPr>
              <w:pStyle w:val="P68B1DB1-Normal38"/>
              <w:spacing w:after="0" w:line="240" w:lineRule="auto"/>
              <w:textAlignment w:val="baseline"/>
              <w:rPr>
                <w:noProof/>
                <w:szCs w:val="22"/>
              </w:rPr>
            </w:pPr>
            <w:r>
              <w:rPr>
                <w:noProof/>
              </w:rPr>
              <w:t>A.1.3. Résili</w:t>
            </w:r>
            <w:r>
              <w:rPr>
                <w:noProof/>
              </w:rPr>
              <w:t>ence des systèmes de santé face aux situations d’urgence</w:t>
            </w:r>
          </w:p>
          <w:p w14:paraId="49EAA374" w14:textId="77777777" w:rsidR="00FA40E8" w:rsidRDefault="00E74AE8">
            <w:pPr>
              <w:pStyle w:val="P68B1DB1-Normal38"/>
              <w:spacing w:after="0"/>
              <w:rPr>
                <w:noProof/>
                <w:szCs w:val="22"/>
              </w:rPr>
            </w:pPr>
            <w:r>
              <w:rPr>
                <w:noProof/>
              </w:rPr>
              <w:t>A.1.3.1. Plan d’action visant à améliorer la coopération entre les établissements de soins de santé et à moderniser les infrastructures dans les situations d’urgence</w:t>
            </w:r>
          </w:p>
        </w:tc>
        <w:tc>
          <w:tcPr>
            <w:tcW w:w="1334" w:type="dxa"/>
            <w:shd w:val="clear" w:color="auto" w:fill="EAF1DD" w:themeFill="accent3" w:themeFillTint="33"/>
          </w:tcPr>
          <w:p w14:paraId="498D7468"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52B784C9" w14:textId="77777777" w:rsidR="00FA40E8" w:rsidRDefault="00E74AE8">
            <w:pPr>
              <w:pStyle w:val="P68B1DB1-Normal38"/>
              <w:spacing w:after="0"/>
              <w:rPr>
                <w:noProof/>
                <w:szCs w:val="22"/>
              </w:rPr>
            </w:pPr>
            <w:r>
              <w:rPr>
                <w:noProof/>
              </w:rPr>
              <w:t>Entrée en vigueur d’un plan d’action visant à améliorer la coopération entre les établissements de soins de santé et à moderniser les infrastructures pour les situations d’urgence</w:t>
            </w:r>
          </w:p>
        </w:tc>
      </w:tr>
      <w:tr w:rsidR="00FA40E8" w14:paraId="512BEF7B" w14:textId="77777777">
        <w:tc>
          <w:tcPr>
            <w:tcW w:w="1298" w:type="dxa"/>
            <w:shd w:val="clear" w:color="auto" w:fill="EAF1DD" w:themeFill="accent3" w:themeFillTint="33"/>
            <w:noWrap/>
            <w:vAlign w:val="center"/>
          </w:tcPr>
          <w:p w14:paraId="441EF15D" w14:textId="77777777" w:rsidR="00FA40E8" w:rsidRDefault="00E74AE8">
            <w:pPr>
              <w:pStyle w:val="P68B1DB1-Normal39"/>
              <w:spacing w:after="0"/>
              <w:jc w:val="center"/>
              <w:rPr>
                <w:noProof/>
                <w:color w:val="000000"/>
                <w:szCs w:val="22"/>
              </w:rPr>
            </w:pPr>
            <w:r>
              <w:rPr>
                <w:noProof/>
              </w:rPr>
              <w:t>48</w:t>
            </w:r>
          </w:p>
        </w:tc>
        <w:tc>
          <w:tcPr>
            <w:tcW w:w="3534" w:type="dxa"/>
            <w:shd w:val="clear" w:color="auto" w:fill="EAF1DD" w:themeFill="accent3" w:themeFillTint="33"/>
          </w:tcPr>
          <w:p w14:paraId="721E4D8E" w14:textId="4F0AFFCF" w:rsidR="00FA40E8" w:rsidRDefault="00E74AE8">
            <w:pPr>
              <w:pStyle w:val="P68B1DB1-Normal38"/>
              <w:spacing w:after="0"/>
              <w:rPr>
                <w:noProof/>
                <w:szCs w:val="22"/>
              </w:rPr>
            </w:pPr>
            <w:r>
              <w:rPr>
                <w:noProof/>
              </w:rPr>
              <w:t>B.1.3 Accélérer la rénovation des bâtiments et un environnement urbain d</w:t>
            </w:r>
            <w:r>
              <w:rPr>
                <w:noProof/>
              </w:rPr>
              <w:t>urable — B.1.3.1. Mise à jour des trains de mesures et des normes en matière de rénovation des bâtiments et création d’une méthodologie pour le développement de villes durables</w:t>
            </w:r>
          </w:p>
        </w:tc>
        <w:tc>
          <w:tcPr>
            <w:tcW w:w="1334" w:type="dxa"/>
            <w:shd w:val="clear" w:color="auto" w:fill="EAF1DD" w:themeFill="accent3" w:themeFillTint="33"/>
          </w:tcPr>
          <w:p w14:paraId="0F923973"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77B2A3CD" w14:textId="77777777" w:rsidR="00FA40E8" w:rsidRDefault="00E74AE8">
            <w:pPr>
              <w:pStyle w:val="P68B1DB1-Normal38"/>
              <w:spacing w:after="0"/>
              <w:textAlignment w:val="baseline"/>
              <w:rPr>
                <w:noProof/>
                <w:szCs w:val="22"/>
              </w:rPr>
            </w:pPr>
            <w:r>
              <w:rPr>
                <w:noProof/>
              </w:rPr>
              <w:t>Entrée en vigueur des actes législatifs suivants:</w:t>
            </w:r>
          </w:p>
          <w:p w14:paraId="1B42E410" w14:textId="77777777" w:rsidR="00FA40E8" w:rsidRDefault="00E74AE8">
            <w:pPr>
              <w:pStyle w:val="P68B1DB1-Normal38"/>
              <w:spacing w:after="0"/>
              <w:textAlignment w:val="baseline"/>
              <w:rPr>
                <w:noProof/>
                <w:szCs w:val="22"/>
              </w:rPr>
            </w:pPr>
            <w:r>
              <w:rPr>
                <w:noProof/>
              </w:rPr>
              <w:t>a) le plan de mise en œ</w:t>
            </w:r>
            <w:r>
              <w:rPr>
                <w:noProof/>
              </w:rPr>
              <w:t>uvre de la stratégie à long terme de rénovation des bâtiments,</w:t>
            </w:r>
          </w:p>
          <w:p w14:paraId="70340590" w14:textId="77777777" w:rsidR="00FA40E8" w:rsidRDefault="00E74AE8">
            <w:pPr>
              <w:pStyle w:val="P68B1DB1-Normal38"/>
              <w:spacing w:after="0"/>
              <w:textAlignment w:val="baseline"/>
              <w:rPr>
                <w:noProof/>
                <w:szCs w:val="22"/>
              </w:rPr>
            </w:pPr>
            <w:r>
              <w:rPr>
                <w:noProof/>
              </w:rPr>
              <w:t xml:space="preserve">b) Modification du règlement technique de construction «Conception et certification de la performance énergétique des bâtiments», approuvée par l’ordonnance no D2016-11 du ministre de </w:t>
            </w:r>
            <w:r>
              <w:rPr>
                <w:noProof/>
              </w:rPr>
              <w:t>l’environnement no 11-1 du 754—</w:t>
            </w:r>
          </w:p>
          <w:p w14:paraId="16C657A8" w14:textId="77777777" w:rsidR="00FA40E8" w:rsidRDefault="00E74AE8">
            <w:pPr>
              <w:pStyle w:val="P68B1DB1-Normal38"/>
              <w:spacing w:after="0"/>
              <w:textAlignment w:val="baseline"/>
              <w:rPr>
                <w:noProof/>
                <w:szCs w:val="22"/>
              </w:rPr>
            </w:pPr>
            <w:r>
              <w:rPr>
                <w:noProof/>
              </w:rPr>
              <w:t>c) Lignes directrices pour le développement urbain durable approuvées par arrêté du ministre de l’environnement</w:t>
            </w:r>
          </w:p>
          <w:p w14:paraId="521D82B3" w14:textId="77777777" w:rsidR="00FA40E8" w:rsidRDefault="00E74AE8">
            <w:pPr>
              <w:pStyle w:val="P68B1DB1-Normal38"/>
              <w:spacing w:after="0"/>
              <w:rPr>
                <w:noProof/>
                <w:szCs w:val="22"/>
              </w:rPr>
            </w:pPr>
            <w:r>
              <w:rPr>
                <w:noProof/>
              </w:rPr>
              <w:t>d) Modification du règlement technique de construction CTR 2.05.07: 2005 «Conception des structures en bois», ap</w:t>
            </w:r>
            <w:r>
              <w:rPr>
                <w:noProof/>
              </w:rPr>
              <w:t>prouvé par 2005-02-10 ordonnance no D1-79 du ministre de l’environnement</w:t>
            </w:r>
          </w:p>
        </w:tc>
      </w:tr>
      <w:tr w:rsidR="00FA40E8" w14:paraId="0F5FC6C6" w14:textId="77777777">
        <w:trPr>
          <w:cantSplit/>
        </w:trPr>
        <w:tc>
          <w:tcPr>
            <w:tcW w:w="1298" w:type="dxa"/>
            <w:shd w:val="clear" w:color="auto" w:fill="EAF1DD" w:themeFill="accent3" w:themeFillTint="33"/>
            <w:noWrap/>
            <w:vAlign w:val="center"/>
          </w:tcPr>
          <w:p w14:paraId="1D8F3573" w14:textId="77777777" w:rsidR="00FA40E8" w:rsidRDefault="00E74AE8">
            <w:pPr>
              <w:pStyle w:val="P68B1DB1-Normal39"/>
              <w:spacing w:after="0"/>
              <w:jc w:val="center"/>
              <w:rPr>
                <w:noProof/>
                <w:color w:val="000000"/>
                <w:szCs w:val="22"/>
              </w:rPr>
            </w:pPr>
            <w:r>
              <w:rPr>
                <w:noProof/>
              </w:rPr>
              <w:t>58</w:t>
            </w:r>
          </w:p>
        </w:tc>
        <w:tc>
          <w:tcPr>
            <w:tcW w:w="3534" w:type="dxa"/>
            <w:shd w:val="clear" w:color="auto" w:fill="EAF1DD" w:themeFill="accent3" w:themeFillTint="33"/>
          </w:tcPr>
          <w:p w14:paraId="1A02489B" w14:textId="77777777" w:rsidR="00FA40E8" w:rsidRDefault="00E74AE8">
            <w:pPr>
              <w:pStyle w:val="P68B1DB1-Normal38"/>
              <w:spacing w:after="0"/>
              <w:rPr>
                <w:noProof/>
                <w:szCs w:val="22"/>
              </w:rPr>
            </w:pPr>
            <w:r>
              <w:rPr>
                <w:noProof/>
              </w:rPr>
              <w:t>B.1.5 Vers une économie circulaire</w:t>
            </w:r>
          </w:p>
        </w:tc>
        <w:tc>
          <w:tcPr>
            <w:tcW w:w="1334" w:type="dxa"/>
            <w:shd w:val="clear" w:color="auto" w:fill="EAF1DD" w:themeFill="accent3" w:themeFillTint="33"/>
          </w:tcPr>
          <w:p w14:paraId="64A83541"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240FDB60" w14:textId="78E284FC" w:rsidR="00FA40E8" w:rsidRDefault="00E74AE8">
            <w:pPr>
              <w:pStyle w:val="P68B1DB1-Normal38"/>
              <w:spacing w:after="0"/>
              <w:rPr>
                <w:noProof/>
              </w:rPr>
            </w:pPr>
            <w:r>
              <w:rPr>
                <w:noProof/>
              </w:rPr>
              <w:t>Approbation par le protocole gouvernemental du plan d’action pour la transition vers l’économie circulaire</w:t>
            </w:r>
          </w:p>
        </w:tc>
      </w:tr>
      <w:tr w:rsidR="00FA40E8" w14:paraId="35AAB199" w14:textId="77777777">
        <w:trPr>
          <w:cantSplit/>
        </w:trPr>
        <w:tc>
          <w:tcPr>
            <w:tcW w:w="1298" w:type="dxa"/>
            <w:shd w:val="clear" w:color="auto" w:fill="EAF1DD" w:themeFill="accent3" w:themeFillTint="33"/>
            <w:noWrap/>
            <w:vAlign w:val="center"/>
          </w:tcPr>
          <w:p w14:paraId="685945B0" w14:textId="77777777" w:rsidR="00FA40E8" w:rsidRDefault="00E74AE8">
            <w:pPr>
              <w:pStyle w:val="P68B1DB1-Normal39"/>
              <w:spacing w:after="0"/>
              <w:jc w:val="center"/>
              <w:rPr>
                <w:noProof/>
                <w:color w:val="000000"/>
                <w:szCs w:val="22"/>
              </w:rPr>
            </w:pPr>
            <w:r>
              <w:rPr>
                <w:noProof/>
              </w:rPr>
              <w:t>108</w:t>
            </w:r>
          </w:p>
        </w:tc>
        <w:tc>
          <w:tcPr>
            <w:tcW w:w="3534" w:type="dxa"/>
            <w:shd w:val="clear" w:color="auto" w:fill="EAF1DD" w:themeFill="accent3" w:themeFillTint="33"/>
          </w:tcPr>
          <w:p w14:paraId="43D34DC6" w14:textId="77777777" w:rsidR="00FA40E8" w:rsidRDefault="00E74AE8">
            <w:pPr>
              <w:pStyle w:val="P68B1DB1-Normal38"/>
              <w:spacing w:after="0"/>
              <w:rPr>
                <w:noProof/>
                <w:szCs w:val="22"/>
              </w:rPr>
            </w:pPr>
            <w:r>
              <w:rPr>
                <w:noProof/>
              </w:rPr>
              <w:t xml:space="preserve">D 1.2. Accès au </w:t>
            </w:r>
            <w:r>
              <w:rPr>
                <w:noProof/>
              </w:rPr>
              <w:t>développement des compétences et à la reconnaissance des qualifications pour les adultes</w:t>
            </w:r>
          </w:p>
        </w:tc>
        <w:tc>
          <w:tcPr>
            <w:tcW w:w="1334" w:type="dxa"/>
            <w:shd w:val="clear" w:color="auto" w:fill="EAF1DD" w:themeFill="accent3" w:themeFillTint="33"/>
          </w:tcPr>
          <w:p w14:paraId="1C5B80CB"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7D68B9BE" w14:textId="77777777" w:rsidR="00FA40E8" w:rsidRDefault="00E74AE8">
            <w:pPr>
              <w:pStyle w:val="P68B1DB1-Normal38"/>
              <w:spacing w:after="0" w:line="240" w:lineRule="auto"/>
              <w:textAlignment w:val="baseline"/>
              <w:rPr>
                <w:noProof/>
                <w:szCs w:val="22"/>
              </w:rPr>
            </w:pPr>
            <w:r>
              <w:rPr>
                <w:noProof/>
              </w:rPr>
              <w:t>Mise en service du système d’information à guichet unique pour l’éducation et la formation tout au long de la vie</w:t>
            </w:r>
          </w:p>
        </w:tc>
      </w:tr>
      <w:tr w:rsidR="00FA40E8" w14:paraId="20474F25" w14:textId="77777777">
        <w:trPr>
          <w:cantSplit/>
        </w:trPr>
        <w:tc>
          <w:tcPr>
            <w:tcW w:w="1298" w:type="dxa"/>
            <w:shd w:val="clear" w:color="auto" w:fill="EAF1DD" w:themeFill="accent3" w:themeFillTint="33"/>
            <w:noWrap/>
            <w:vAlign w:val="center"/>
          </w:tcPr>
          <w:p w14:paraId="706C12EB" w14:textId="77777777" w:rsidR="00FA40E8" w:rsidRDefault="00E74AE8">
            <w:pPr>
              <w:pStyle w:val="P68B1DB1-Normal39"/>
              <w:spacing w:after="0"/>
              <w:jc w:val="center"/>
              <w:rPr>
                <w:noProof/>
                <w:color w:val="000000"/>
                <w:szCs w:val="22"/>
              </w:rPr>
            </w:pPr>
            <w:r>
              <w:rPr>
                <w:noProof/>
              </w:rPr>
              <w:t>121</w:t>
            </w:r>
          </w:p>
        </w:tc>
        <w:tc>
          <w:tcPr>
            <w:tcW w:w="3534" w:type="dxa"/>
            <w:shd w:val="clear" w:color="auto" w:fill="EAF1DD" w:themeFill="accent3" w:themeFillTint="33"/>
          </w:tcPr>
          <w:p w14:paraId="7D1EC77D" w14:textId="77777777" w:rsidR="00FA40E8" w:rsidRDefault="00E74AE8">
            <w:pPr>
              <w:pStyle w:val="P68B1DB1-Normal38"/>
              <w:spacing w:after="0"/>
              <w:rPr>
                <w:noProof/>
                <w:szCs w:val="22"/>
              </w:rPr>
            </w:pPr>
            <w:r>
              <w:rPr>
                <w:noProof/>
              </w:rPr>
              <w:t>E.1.1. Un enseignement supérieur de qualit</w:t>
            </w:r>
            <w:r>
              <w:rPr>
                <w:noProof/>
              </w:rPr>
              <w:t>é et des établissements d’enseignement supérieur solides — E.1.1.1. Améliorer le financement de l’enseignement supérieur et les systèmes d’admission des étudiants</w:t>
            </w:r>
          </w:p>
        </w:tc>
        <w:tc>
          <w:tcPr>
            <w:tcW w:w="1334" w:type="dxa"/>
            <w:shd w:val="clear" w:color="auto" w:fill="EAF1DD" w:themeFill="accent3" w:themeFillTint="33"/>
          </w:tcPr>
          <w:p w14:paraId="20D80C02"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1B517D79" w14:textId="77777777" w:rsidR="00FA40E8" w:rsidRDefault="00E74AE8">
            <w:pPr>
              <w:pStyle w:val="P68B1DB1-Normal38"/>
              <w:spacing w:after="0"/>
              <w:rPr>
                <w:noProof/>
                <w:szCs w:val="22"/>
              </w:rPr>
            </w:pPr>
            <w:r>
              <w:rPr>
                <w:noProof/>
              </w:rPr>
              <w:t xml:space="preserve">Entrée en vigueur des actes juridiques établissant un système de contrats avec les </w:t>
            </w:r>
            <w:r>
              <w:rPr>
                <w:noProof/>
              </w:rPr>
              <w:t>établissements d’enseignement supérieur</w:t>
            </w:r>
          </w:p>
        </w:tc>
      </w:tr>
      <w:tr w:rsidR="00FA40E8" w14:paraId="40B08DE7" w14:textId="77777777">
        <w:trPr>
          <w:cantSplit/>
        </w:trPr>
        <w:tc>
          <w:tcPr>
            <w:tcW w:w="1298" w:type="dxa"/>
            <w:shd w:val="clear" w:color="auto" w:fill="EAF1DD" w:themeFill="accent3" w:themeFillTint="33"/>
            <w:noWrap/>
            <w:vAlign w:val="center"/>
          </w:tcPr>
          <w:p w14:paraId="6AB3FD27" w14:textId="77777777" w:rsidR="00FA40E8" w:rsidRDefault="00E74AE8">
            <w:pPr>
              <w:pStyle w:val="P68B1DB1-Normal39"/>
              <w:spacing w:after="0"/>
              <w:jc w:val="center"/>
              <w:rPr>
                <w:noProof/>
                <w:color w:val="000000"/>
                <w:szCs w:val="22"/>
              </w:rPr>
            </w:pPr>
            <w:r>
              <w:rPr>
                <w:noProof/>
              </w:rPr>
              <w:t>122</w:t>
            </w:r>
          </w:p>
        </w:tc>
        <w:tc>
          <w:tcPr>
            <w:tcW w:w="3534" w:type="dxa"/>
            <w:shd w:val="clear" w:color="auto" w:fill="EAF1DD" w:themeFill="accent3" w:themeFillTint="33"/>
          </w:tcPr>
          <w:p w14:paraId="1603C2A6" w14:textId="74047BAB" w:rsidR="00FA40E8" w:rsidRDefault="00E74AE8">
            <w:pPr>
              <w:pStyle w:val="P68B1DB1-Normal38"/>
              <w:spacing w:after="0"/>
              <w:rPr>
                <w:noProof/>
                <w:szCs w:val="22"/>
              </w:rPr>
            </w:pPr>
            <w:r>
              <w:rPr>
                <w:noProof/>
              </w:rPr>
              <w:t xml:space="preserve">E.1.1. Un enseignement supérieur de qualité et des établissements d’enseignement supérieur solides — E.1.1.1. Améliorer le financement de l’enseignement supérieur et les systèmes d’admission des étudiants — </w:t>
            </w:r>
            <w:r>
              <w:rPr>
                <w:noProof/>
              </w:rPr>
              <w:t>E.1.1.2. Un réseau d’enseignement supérieur efficace en affinant les missions des universités et des établissements d’enseignement supérieur</w:t>
            </w:r>
          </w:p>
        </w:tc>
        <w:tc>
          <w:tcPr>
            <w:tcW w:w="1334" w:type="dxa"/>
            <w:shd w:val="clear" w:color="auto" w:fill="EAF1DD" w:themeFill="accent3" w:themeFillTint="33"/>
          </w:tcPr>
          <w:p w14:paraId="294F08FD"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58188B9B" w14:textId="77777777" w:rsidR="00FA40E8" w:rsidRDefault="00E74AE8">
            <w:pPr>
              <w:pStyle w:val="P68B1DB1-Normal38"/>
              <w:spacing w:after="0"/>
              <w:rPr>
                <w:noProof/>
                <w:szCs w:val="22"/>
              </w:rPr>
            </w:pPr>
            <w:r>
              <w:rPr>
                <w:noProof/>
              </w:rPr>
              <w:t>Entrée en vigueur de la loi modifiée sur la recherche et les études, modifiant le système de financement et d</w:t>
            </w:r>
            <w:r>
              <w:rPr>
                <w:noProof/>
              </w:rPr>
              <w:t>’inscription dans l’enseignement supérieur</w:t>
            </w:r>
          </w:p>
        </w:tc>
      </w:tr>
      <w:tr w:rsidR="00FA40E8" w14:paraId="4AC1CBBC" w14:textId="77777777">
        <w:trPr>
          <w:cantSplit/>
        </w:trPr>
        <w:tc>
          <w:tcPr>
            <w:tcW w:w="1298" w:type="dxa"/>
            <w:shd w:val="clear" w:color="auto" w:fill="EAF1DD" w:themeFill="accent3" w:themeFillTint="33"/>
            <w:noWrap/>
            <w:vAlign w:val="center"/>
          </w:tcPr>
          <w:p w14:paraId="5040B387" w14:textId="77777777" w:rsidR="00FA40E8" w:rsidRDefault="00E74AE8">
            <w:pPr>
              <w:pStyle w:val="P68B1DB1-Normal39"/>
              <w:spacing w:after="0"/>
              <w:jc w:val="center"/>
              <w:rPr>
                <w:noProof/>
                <w:color w:val="000000"/>
                <w:szCs w:val="22"/>
              </w:rPr>
            </w:pPr>
            <w:r>
              <w:rPr>
                <w:noProof/>
              </w:rPr>
              <w:t>143</w:t>
            </w:r>
          </w:p>
        </w:tc>
        <w:tc>
          <w:tcPr>
            <w:tcW w:w="3534" w:type="dxa"/>
            <w:shd w:val="clear" w:color="auto" w:fill="EAF1DD" w:themeFill="accent3" w:themeFillTint="33"/>
          </w:tcPr>
          <w:p w14:paraId="5D342F5D" w14:textId="576F956F" w:rsidR="00FA40E8" w:rsidRDefault="00E74AE8">
            <w:pPr>
              <w:pStyle w:val="P68B1DB1-Normal38"/>
              <w:spacing w:after="0"/>
              <w:rPr>
                <w:noProof/>
                <w:szCs w:val="22"/>
              </w:rPr>
            </w:pPr>
            <w:r>
              <w:rPr>
                <w:noProof/>
              </w:rPr>
              <w:t xml:space="preserve">F.1.2. Un système fiscal plus juste et plus propice à la croissance — F.1.2.1. La suppression ou la réduction des exonérations fiscales et des régimes fiscaux spéciaux qui sont inefficaces, ne reflètent plus </w:t>
            </w:r>
            <w:r>
              <w:rPr>
                <w:noProof/>
              </w:rPr>
              <w:t>les priorités de l’État ou ne sont pas conformes au pacte vert;</w:t>
            </w:r>
          </w:p>
        </w:tc>
        <w:tc>
          <w:tcPr>
            <w:tcW w:w="1334" w:type="dxa"/>
            <w:shd w:val="clear" w:color="auto" w:fill="EAF1DD" w:themeFill="accent3" w:themeFillTint="33"/>
          </w:tcPr>
          <w:p w14:paraId="3609DD26"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3375D6E5" w14:textId="31B7633F" w:rsidR="00FA40E8" w:rsidRDefault="00E74AE8">
            <w:pPr>
              <w:pStyle w:val="P68B1DB1-Normal38"/>
              <w:spacing w:after="0"/>
              <w:rPr>
                <w:noProof/>
              </w:rPr>
            </w:pPr>
            <w:r>
              <w:rPr>
                <w:noProof/>
              </w:rPr>
              <w:t>Entrée en vigueur des modifications de la législation fiscale supprimant ou réduisant les exonérations fiscales et les régimes fiscaux spéciaux</w:t>
            </w:r>
          </w:p>
        </w:tc>
      </w:tr>
      <w:tr w:rsidR="00FA40E8" w14:paraId="514260FE" w14:textId="77777777">
        <w:trPr>
          <w:cantSplit/>
        </w:trPr>
        <w:tc>
          <w:tcPr>
            <w:tcW w:w="1298" w:type="dxa"/>
            <w:shd w:val="clear" w:color="auto" w:fill="EAF1DD" w:themeFill="accent3" w:themeFillTint="33"/>
            <w:noWrap/>
            <w:vAlign w:val="center"/>
          </w:tcPr>
          <w:p w14:paraId="07B1BC26" w14:textId="77777777" w:rsidR="00FA40E8" w:rsidRDefault="00E74AE8">
            <w:pPr>
              <w:pStyle w:val="P68B1DB1-Normal39"/>
              <w:spacing w:after="0"/>
              <w:jc w:val="center"/>
              <w:rPr>
                <w:noProof/>
                <w:color w:val="000000"/>
                <w:szCs w:val="22"/>
              </w:rPr>
            </w:pPr>
            <w:r>
              <w:rPr>
                <w:noProof/>
              </w:rPr>
              <w:t>145</w:t>
            </w:r>
          </w:p>
        </w:tc>
        <w:tc>
          <w:tcPr>
            <w:tcW w:w="3534" w:type="dxa"/>
            <w:shd w:val="clear" w:color="auto" w:fill="EAF1DD" w:themeFill="accent3" w:themeFillTint="33"/>
          </w:tcPr>
          <w:p w14:paraId="488BB0E8" w14:textId="2FFBFCBA" w:rsidR="00FA40E8" w:rsidRDefault="00E74AE8">
            <w:pPr>
              <w:pStyle w:val="P68B1DB1-Normal38"/>
              <w:spacing w:after="0"/>
              <w:rPr>
                <w:noProof/>
                <w:szCs w:val="22"/>
              </w:rPr>
            </w:pPr>
            <w:r>
              <w:rPr>
                <w:noProof/>
              </w:rPr>
              <w:t>F.1.2. Un système fiscal plus juste et plus propice à la croissance — F.1.2.2. Sous-mesure 2: Élargissement de l’assiette fiscale à des sources qui n’entravent pas la croissance économique</w:t>
            </w:r>
          </w:p>
        </w:tc>
        <w:tc>
          <w:tcPr>
            <w:tcW w:w="1334" w:type="dxa"/>
            <w:shd w:val="clear" w:color="auto" w:fill="EAF1DD" w:themeFill="accent3" w:themeFillTint="33"/>
          </w:tcPr>
          <w:p w14:paraId="320E897A"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72BCD4F3" w14:textId="77777777" w:rsidR="00FA40E8" w:rsidRDefault="00E74AE8">
            <w:pPr>
              <w:pStyle w:val="P68B1DB1-Normal38"/>
              <w:spacing w:after="0"/>
              <w:rPr>
                <w:noProof/>
                <w:szCs w:val="22"/>
              </w:rPr>
            </w:pPr>
            <w:r>
              <w:rPr>
                <w:noProof/>
              </w:rPr>
              <w:t>Entrée en vigueur des modifications apportées à la législatio</w:t>
            </w:r>
            <w:r>
              <w:rPr>
                <w:noProof/>
              </w:rPr>
              <w:t>n sur les droits d’accise, les taxes environnementales et les taxes foncières</w:t>
            </w:r>
          </w:p>
        </w:tc>
      </w:tr>
      <w:tr w:rsidR="00FA40E8" w14:paraId="2EE210BD" w14:textId="77777777">
        <w:trPr>
          <w:cantSplit/>
        </w:trPr>
        <w:tc>
          <w:tcPr>
            <w:tcW w:w="1298" w:type="dxa"/>
            <w:shd w:val="clear" w:color="auto" w:fill="EAF1DD" w:themeFill="accent3" w:themeFillTint="33"/>
            <w:noWrap/>
            <w:vAlign w:val="center"/>
          </w:tcPr>
          <w:p w14:paraId="7A8FCDB5" w14:textId="77777777" w:rsidR="00FA40E8" w:rsidRDefault="00E74AE8">
            <w:pPr>
              <w:pStyle w:val="P68B1DB1-Normal39"/>
              <w:spacing w:after="0"/>
              <w:jc w:val="center"/>
              <w:rPr>
                <w:noProof/>
                <w:szCs w:val="22"/>
              </w:rPr>
            </w:pPr>
            <w:r>
              <w:rPr>
                <w:noProof/>
              </w:rPr>
              <w:t>147</w:t>
            </w:r>
          </w:p>
        </w:tc>
        <w:tc>
          <w:tcPr>
            <w:tcW w:w="3534" w:type="dxa"/>
            <w:shd w:val="clear" w:color="auto" w:fill="EAF1DD" w:themeFill="accent3" w:themeFillTint="33"/>
          </w:tcPr>
          <w:p w14:paraId="79D385FF" w14:textId="77777777" w:rsidR="00FA40E8" w:rsidRDefault="00E74AE8">
            <w:pPr>
              <w:pStyle w:val="P68B1DB1-Normal38"/>
              <w:spacing w:after="0"/>
              <w:rPr>
                <w:noProof/>
                <w:szCs w:val="22"/>
              </w:rPr>
            </w:pPr>
            <w:r>
              <w:rPr>
                <w:noProof/>
              </w:rPr>
              <w:t xml:space="preserve">F.1.2. Un système fiscal plus juste et plus propice à la croissance — F.1.2.3. Une évaluation de l’efficacité de la fiscalité et des cotisations d’assurance sociale dans la </w:t>
            </w:r>
            <w:r>
              <w:rPr>
                <w:noProof/>
              </w:rPr>
              <w:t>prévention de la pauvreté et la réduction des inégalités de revenus;</w:t>
            </w:r>
          </w:p>
        </w:tc>
        <w:tc>
          <w:tcPr>
            <w:tcW w:w="1334" w:type="dxa"/>
            <w:shd w:val="clear" w:color="auto" w:fill="EAF1DD" w:themeFill="accent3" w:themeFillTint="33"/>
          </w:tcPr>
          <w:p w14:paraId="42C8818C"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211E9FB8" w14:textId="77777777" w:rsidR="00FA40E8" w:rsidRDefault="00E74AE8">
            <w:pPr>
              <w:pStyle w:val="P68B1DB1-Normal38"/>
              <w:spacing w:after="0"/>
              <w:rPr>
                <w:noProof/>
                <w:szCs w:val="22"/>
              </w:rPr>
            </w:pPr>
            <w:r>
              <w:rPr>
                <w:noProof/>
              </w:rPr>
              <w:t>Entrée en vigueur des modifications de la législation relative à l’impôt sur le revenu des personnes physiques et aux cotisations d’assurance sociale</w:t>
            </w:r>
          </w:p>
        </w:tc>
      </w:tr>
      <w:tr w:rsidR="00FA40E8" w14:paraId="6ABEADA7" w14:textId="77777777">
        <w:trPr>
          <w:cantSplit/>
          <w:trHeight w:val="300"/>
        </w:trPr>
        <w:tc>
          <w:tcPr>
            <w:tcW w:w="1298" w:type="dxa"/>
            <w:shd w:val="clear" w:color="auto" w:fill="EAF1DD" w:themeFill="accent3" w:themeFillTint="33"/>
            <w:noWrap/>
            <w:vAlign w:val="center"/>
          </w:tcPr>
          <w:p w14:paraId="31A8F3A9" w14:textId="77777777" w:rsidR="00FA40E8" w:rsidRDefault="00E74AE8">
            <w:pPr>
              <w:pStyle w:val="P68B1DB1-Normal39"/>
              <w:spacing w:after="0"/>
              <w:jc w:val="center"/>
              <w:rPr>
                <w:noProof/>
                <w:color w:val="000000"/>
                <w:szCs w:val="22"/>
              </w:rPr>
            </w:pPr>
            <w:r>
              <w:rPr>
                <w:noProof/>
              </w:rPr>
              <w:t>153</w:t>
            </w:r>
          </w:p>
        </w:tc>
        <w:tc>
          <w:tcPr>
            <w:tcW w:w="3534" w:type="dxa"/>
            <w:shd w:val="clear" w:color="auto" w:fill="EAF1DD" w:themeFill="accent3" w:themeFillTint="33"/>
          </w:tcPr>
          <w:p w14:paraId="39985B6F" w14:textId="77777777" w:rsidR="00FA40E8" w:rsidRDefault="00E74AE8">
            <w:pPr>
              <w:pStyle w:val="P68B1DB1-Normal38"/>
              <w:spacing w:after="0"/>
              <w:rPr>
                <w:noProof/>
                <w:szCs w:val="22"/>
              </w:rPr>
            </w:pPr>
            <w:r>
              <w:rPr>
                <w:noProof/>
              </w:rPr>
              <w:t xml:space="preserve">F.1.3. Viabilité à long </w:t>
            </w:r>
            <w:r>
              <w:rPr>
                <w:noProof/>
              </w:rPr>
              <w:t>terme et transparence du budget national — F.1.3.4. Promouvoir les partenariats public-privé</w:t>
            </w:r>
          </w:p>
        </w:tc>
        <w:tc>
          <w:tcPr>
            <w:tcW w:w="1334" w:type="dxa"/>
            <w:shd w:val="clear" w:color="auto" w:fill="EAF1DD" w:themeFill="accent3" w:themeFillTint="33"/>
          </w:tcPr>
          <w:p w14:paraId="24F87E47"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6C11322C" w14:textId="77777777" w:rsidR="00FA40E8" w:rsidRDefault="00E74AE8">
            <w:pPr>
              <w:pStyle w:val="P68B1DB1-Normal38"/>
              <w:spacing w:after="0"/>
              <w:rPr>
                <w:noProof/>
                <w:szCs w:val="22"/>
              </w:rPr>
            </w:pPr>
            <w:r>
              <w:rPr>
                <w:noProof/>
              </w:rPr>
              <w:t>Entrée en vigueur du paquet législatif établissant un cadre renforcé pour le recours à des partenariats public-privé stratégiques et à long terme</w:t>
            </w:r>
          </w:p>
        </w:tc>
      </w:tr>
      <w:tr w:rsidR="00FA40E8" w14:paraId="7C5E3671" w14:textId="77777777">
        <w:trPr>
          <w:cantSplit/>
        </w:trPr>
        <w:tc>
          <w:tcPr>
            <w:tcW w:w="1298" w:type="dxa"/>
            <w:shd w:val="clear" w:color="auto" w:fill="EAF1DD" w:themeFill="accent3" w:themeFillTint="33"/>
            <w:noWrap/>
            <w:vAlign w:val="center"/>
          </w:tcPr>
          <w:p w14:paraId="3018E09F" w14:textId="77777777" w:rsidR="00FA40E8" w:rsidRDefault="00E74AE8">
            <w:pPr>
              <w:pStyle w:val="P68B1DB1-Normal39"/>
              <w:spacing w:after="0"/>
              <w:jc w:val="center"/>
              <w:rPr>
                <w:noProof/>
                <w:color w:val="000000"/>
                <w:szCs w:val="22"/>
              </w:rPr>
            </w:pPr>
            <w:r>
              <w:rPr>
                <w:noProof/>
              </w:rPr>
              <w:t>154</w:t>
            </w:r>
          </w:p>
        </w:tc>
        <w:tc>
          <w:tcPr>
            <w:tcW w:w="3534" w:type="dxa"/>
            <w:shd w:val="clear" w:color="auto" w:fill="EAF1DD" w:themeFill="accent3" w:themeFillTint="33"/>
          </w:tcPr>
          <w:p w14:paraId="456DFE64" w14:textId="77777777" w:rsidR="00FA40E8" w:rsidRDefault="00E74AE8">
            <w:pPr>
              <w:pStyle w:val="P68B1DB1-Normal38"/>
              <w:spacing w:after="0"/>
              <w:rPr>
                <w:noProof/>
                <w:szCs w:val="22"/>
              </w:rPr>
            </w:pPr>
            <w:r>
              <w:rPr>
                <w:noProof/>
              </w:rPr>
              <w:t>F.1.3.</w:t>
            </w:r>
            <w:r>
              <w:rPr>
                <w:noProof/>
              </w:rPr>
              <w:t xml:space="preserve"> Viabilité à long terme et transparence du budget national — F.1.3.5. Consolidation des institutions nationales de développement</w:t>
            </w:r>
          </w:p>
        </w:tc>
        <w:tc>
          <w:tcPr>
            <w:tcW w:w="1334" w:type="dxa"/>
            <w:shd w:val="clear" w:color="auto" w:fill="EAF1DD" w:themeFill="accent3" w:themeFillTint="33"/>
          </w:tcPr>
          <w:p w14:paraId="27C518DF"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4F57F4FC" w14:textId="77777777" w:rsidR="00FA40E8" w:rsidRDefault="00E74AE8">
            <w:pPr>
              <w:pStyle w:val="P68B1DB1-Normal38"/>
              <w:spacing w:after="0"/>
              <w:rPr>
                <w:noProof/>
                <w:szCs w:val="22"/>
              </w:rPr>
            </w:pPr>
            <w:r>
              <w:rPr>
                <w:noProof/>
              </w:rPr>
              <w:t>Entrée en vigueur de la résolution du gouvernement supprimant le statut d’institution nationale de développement pour tro</w:t>
            </w:r>
            <w:r>
              <w:rPr>
                <w:noProof/>
              </w:rPr>
              <w:t>is institutions et le laissant à une seule institution</w:t>
            </w:r>
          </w:p>
        </w:tc>
      </w:tr>
      <w:tr w:rsidR="00FA40E8" w14:paraId="029B0952" w14:textId="77777777">
        <w:trPr>
          <w:cantSplit/>
        </w:trPr>
        <w:tc>
          <w:tcPr>
            <w:tcW w:w="1298" w:type="dxa"/>
            <w:shd w:val="clear" w:color="auto" w:fill="EAF1DD" w:themeFill="accent3" w:themeFillTint="33"/>
            <w:noWrap/>
            <w:vAlign w:val="center"/>
          </w:tcPr>
          <w:p w14:paraId="455B9785" w14:textId="77777777" w:rsidR="00FA40E8" w:rsidRDefault="00E74AE8">
            <w:pPr>
              <w:pStyle w:val="P68B1DB1-Normal39"/>
              <w:spacing w:after="0"/>
              <w:jc w:val="center"/>
              <w:rPr>
                <w:noProof/>
                <w:color w:val="000000"/>
                <w:szCs w:val="22"/>
              </w:rPr>
            </w:pPr>
            <w:r>
              <w:rPr>
                <w:noProof/>
              </w:rPr>
              <w:t>177</w:t>
            </w:r>
          </w:p>
        </w:tc>
        <w:tc>
          <w:tcPr>
            <w:tcW w:w="3534" w:type="dxa"/>
            <w:shd w:val="clear" w:color="auto" w:fill="EAF1DD" w:themeFill="accent3" w:themeFillTint="33"/>
          </w:tcPr>
          <w:p w14:paraId="65D09691" w14:textId="77777777" w:rsidR="00FA40E8" w:rsidRDefault="00E74AE8">
            <w:pPr>
              <w:pStyle w:val="P68B1DB1-Normal38"/>
              <w:spacing w:after="0"/>
              <w:rPr>
                <w:noProof/>
                <w:szCs w:val="22"/>
              </w:rPr>
            </w:pPr>
            <w:r>
              <w:rPr>
                <w:noProof/>
              </w:rPr>
              <w:t>F.1.8. Un guichet unique pour le paiement des amendes</w:t>
            </w:r>
          </w:p>
        </w:tc>
        <w:tc>
          <w:tcPr>
            <w:tcW w:w="1334" w:type="dxa"/>
            <w:shd w:val="clear" w:color="auto" w:fill="EAF1DD" w:themeFill="accent3" w:themeFillTint="33"/>
          </w:tcPr>
          <w:p w14:paraId="0E2D1CEF"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73BBB1A5" w14:textId="77777777" w:rsidR="00FA40E8" w:rsidRDefault="00E74AE8">
            <w:pPr>
              <w:pStyle w:val="P68B1DB1-Normal38"/>
              <w:spacing w:after="0"/>
              <w:rPr>
                <w:noProof/>
                <w:szCs w:val="22"/>
              </w:rPr>
            </w:pPr>
            <w:r>
              <w:rPr>
                <w:noProof/>
              </w:rPr>
              <w:t xml:space="preserve">Adoption de modifications des actes juridiques permettant à l’inspection nationale des impôts d’administrer la majorité des amendes et </w:t>
            </w:r>
            <w:r>
              <w:rPr>
                <w:noProof/>
              </w:rPr>
              <w:t>des sanctions économiques</w:t>
            </w:r>
          </w:p>
        </w:tc>
      </w:tr>
      <w:tr w:rsidR="00FA40E8" w14:paraId="524D4F0E" w14:textId="77777777">
        <w:trPr>
          <w:cantSplit/>
        </w:trPr>
        <w:tc>
          <w:tcPr>
            <w:tcW w:w="1298" w:type="dxa"/>
            <w:shd w:val="clear" w:color="auto" w:fill="EAF1DD" w:themeFill="accent3" w:themeFillTint="33"/>
            <w:noWrap/>
            <w:vAlign w:val="center"/>
          </w:tcPr>
          <w:p w14:paraId="10C1445E" w14:textId="77777777" w:rsidR="00FA40E8" w:rsidRDefault="00E74AE8">
            <w:pPr>
              <w:pStyle w:val="P68B1DB1-Normal39"/>
              <w:spacing w:after="0"/>
              <w:jc w:val="center"/>
              <w:rPr>
                <w:noProof/>
                <w:color w:val="000000"/>
                <w:szCs w:val="22"/>
              </w:rPr>
            </w:pPr>
            <w:r>
              <w:rPr>
                <w:noProof/>
              </w:rPr>
              <w:t>183</w:t>
            </w:r>
          </w:p>
        </w:tc>
        <w:tc>
          <w:tcPr>
            <w:tcW w:w="3534" w:type="dxa"/>
            <w:shd w:val="clear" w:color="auto" w:fill="EAF1DD" w:themeFill="accent3" w:themeFillTint="33"/>
          </w:tcPr>
          <w:p w14:paraId="616878C1" w14:textId="77777777" w:rsidR="00FA40E8" w:rsidRDefault="00E74AE8">
            <w:pPr>
              <w:pStyle w:val="P68B1DB1-Normal38"/>
              <w:spacing w:after="0"/>
              <w:rPr>
                <w:noProof/>
                <w:szCs w:val="22"/>
              </w:rPr>
            </w:pPr>
            <w:r>
              <w:rPr>
                <w:noProof/>
              </w:rPr>
              <w:t>G.1.1. Protection du revenu minimum garanti — G.1.1.2. Mesures supplémentaires visant à accroître l’adéquation et la viabilité des prestations sociales</w:t>
            </w:r>
          </w:p>
        </w:tc>
        <w:tc>
          <w:tcPr>
            <w:tcW w:w="1334" w:type="dxa"/>
            <w:shd w:val="clear" w:color="auto" w:fill="EAF1DD" w:themeFill="accent3" w:themeFillTint="33"/>
          </w:tcPr>
          <w:p w14:paraId="7FED7434"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538FE4E7" w14:textId="48135DBF" w:rsidR="00FA40E8" w:rsidRDefault="00E74AE8">
            <w:pPr>
              <w:pStyle w:val="P68B1DB1-Normal38"/>
              <w:spacing w:after="0"/>
              <w:rPr>
                <w:noProof/>
              </w:rPr>
            </w:pPr>
            <w:r>
              <w:rPr>
                <w:noProof/>
              </w:rPr>
              <w:t>Entrée en vigueur de la modification de la loi sur l’assurance soci</w:t>
            </w:r>
            <w:r>
              <w:rPr>
                <w:noProof/>
              </w:rPr>
              <w:t>ale chômage visant à accroître la couverture et l’adéquation du système de sécurité sociale chômage</w:t>
            </w:r>
          </w:p>
        </w:tc>
      </w:tr>
      <w:tr w:rsidR="00FA40E8" w14:paraId="72437961" w14:textId="77777777">
        <w:trPr>
          <w:cantSplit/>
        </w:trPr>
        <w:tc>
          <w:tcPr>
            <w:tcW w:w="1298" w:type="dxa"/>
            <w:shd w:val="clear" w:color="auto" w:fill="EAF1DD" w:themeFill="accent3" w:themeFillTint="33"/>
            <w:noWrap/>
          </w:tcPr>
          <w:p w14:paraId="7ADE9D74" w14:textId="77777777" w:rsidR="00FA40E8" w:rsidRDefault="00FA40E8">
            <w:pPr>
              <w:spacing w:after="0"/>
              <w:jc w:val="center"/>
              <w:rPr>
                <w:rFonts w:ascii="Times New Roman" w:eastAsia="Times New Roman" w:hAnsi="Times New Roman" w:cs="Times New Roman"/>
                <w:noProof/>
                <w:szCs w:val="22"/>
              </w:rPr>
            </w:pPr>
          </w:p>
        </w:tc>
        <w:tc>
          <w:tcPr>
            <w:tcW w:w="3534" w:type="dxa"/>
            <w:shd w:val="clear" w:color="auto" w:fill="EAF1DD" w:themeFill="accent3" w:themeFillTint="33"/>
          </w:tcPr>
          <w:p w14:paraId="494B7562" w14:textId="77777777" w:rsidR="00FA40E8" w:rsidRDefault="00FA40E8">
            <w:pPr>
              <w:spacing w:after="0"/>
              <w:rPr>
                <w:rFonts w:ascii="Times New Roman" w:eastAsia="Times New Roman" w:hAnsi="Times New Roman" w:cs="Times New Roman"/>
                <w:noProof/>
                <w:color w:val="000000"/>
                <w:szCs w:val="22"/>
              </w:rPr>
            </w:pPr>
          </w:p>
        </w:tc>
        <w:tc>
          <w:tcPr>
            <w:tcW w:w="1334" w:type="dxa"/>
            <w:shd w:val="clear" w:color="auto" w:fill="EAF1DD" w:themeFill="accent3" w:themeFillTint="33"/>
            <w:vAlign w:val="center"/>
          </w:tcPr>
          <w:p w14:paraId="6EE30F62" w14:textId="77777777" w:rsidR="00FA40E8" w:rsidRDefault="00E74AE8">
            <w:pPr>
              <w:pStyle w:val="P68B1DB1-Normal39"/>
              <w:spacing w:after="0"/>
              <w:jc w:val="center"/>
              <w:rPr>
                <w:noProof/>
                <w:color w:val="000000"/>
                <w:szCs w:val="22"/>
              </w:rPr>
            </w:pPr>
            <w:r>
              <w:rPr>
                <w:noProof/>
              </w:rPr>
              <w:t>Montant de l’acompte</w:t>
            </w:r>
          </w:p>
        </w:tc>
        <w:tc>
          <w:tcPr>
            <w:tcW w:w="3613" w:type="dxa"/>
            <w:shd w:val="clear" w:color="auto" w:fill="EAF1DD" w:themeFill="accent3" w:themeFillTint="33"/>
            <w:vAlign w:val="center"/>
          </w:tcPr>
          <w:p w14:paraId="17D21A31" w14:textId="39E8F4C5" w:rsidR="00FA40E8" w:rsidRDefault="00E74AE8">
            <w:pPr>
              <w:spacing w:after="0"/>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477</w:t>
            </w:r>
            <w:r>
              <w:rPr>
                <w:rFonts w:ascii="Times New Roman" w:hAnsi="Times New Roman"/>
                <w:noProof/>
                <w:sz w:val="20"/>
              </w:rPr>
              <w:t xml:space="preserve"> </w:t>
            </w:r>
            <w:r>
              <w:rPr>
                <w:rFonts w:ascii="Times New Roman" w:eastAsia="Times New Roman" w:hAnsi="Times New Roman" w:cs="Times New Roman"/>
                <w:noProof/>
                <w:color w:val="000000" w:themeColor="text1"/>
              </w:rPr>
              <w:t>534</w:t>
            </w:r>
            <w:r>
              <w:rPr>
                <w:rFonts w:ascii="Times New Roman" w:hAnsi="Times New Roman"/>
                <w:noProof/>
                <w:sz w:val="20"/>
              </w:rPr>
              <w:t xml:space="preserve"> </w:t>
            </w:r>
            <w:r>
              <w:rPr>
                <w:rFonts w:ascii="Times New Roman" w:eastAsia="Times New Roman" w:hAnsi="Times New Roman" w:cs="Times New Roman"/>
                <w:noProof/>
                <w:color w:val="000000" w:themeColor="text1"/>
              </w:rPr>
              <w:t>313 EUR</w:t>
            </w:r>
          </w:p>
        </w:tc>
      </w:tr>
    </w:tbl>
    <w:p w14:paraId="21946531" w14:textId="6E4116BF" w:rsidR="00FA40E8" w:rsidRDefault="00E74AE8">
      <w:pPr>
        <w:pStyle w:val="P68B1DB1-ListParagraph36"/>
        <w:keepNext/>
        <w:keepLines/>
        <w:numPr>
          <w:ilvl w:val="1"/>
          <w:numId w:val="110"/>
        </w:numPr>
        <w:spacing w:before="480" w:line="240" w:lineRule="auto"/>
        <w:jc w:val="both"/>
        <w:rPr>
          <w:noProof/>
        </w:rPr>
      </w:pPr>
      <w:r>
        <w:rPr>
          <w:noProof/>
        </w:rPr>
        <w:t>Quatrième tranche (soutien non remboursable):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450"/>
        <w:gridCol w:w="1418"/>
        <w:gridCol w:w="3613"/>
      </w:tblGrid>
      <w:tr w:rsidR="00FA40E8" w14:paraId="61219AE2" w14:textId="77777777">
        <w:trPr>
          <w:cantSplit/>
          <w:trHeight w:val="491"/>
          <w:tblHeader/>
        </w:trPr>
        <w:tc>
          <w:tcPr>
            <w:tcW w:w="1298" w:type="dxa"/>
            <w:shd w:val="clear" w:color="auto" w:fill="BDD7EE"/>
            <w:vAlign w:val="center"/>
          </w:tcPr>
          <w:p w14:paraId="54FAD274" w14:textId="77777777" w:rsidR="00FA40E8" w:rsidRDefault="00E74AE8">
            <w:pPr>
              <w:pStyle w:val="P68B1DB1-Normal37"/>
              <w:keepNext/>
              <w:keepLines/>
              <w:spacing w:after="0"/>
              <w:jc w:val="center"/>
              <w:rPr>
                <w:bCs/>
                <w:noProof/>
                <w:szCs w:val="22"/>
              </w:rPr>
            </w:pPr>
            <w:r>
              <w:rPr>
                <w:noProof/>
              </w:rPr>
              <w:t>Numéro séquentiel</w:t>
            </w:r>
          </w:p>
        </w:tc>
        <w:tc>
          <w:tcPr>
            <w:tcW w:w="3450" w:type="dxa"/>
            <w:shd w:val="clear" w:color="auto" w:fill="BDD7EE"/>
            <w:vAlign w:val="center"/>
          </w:tcPr>
          <w:p w14:paraId="35689B2F" w14:textId="77777777" w:rsidR="00FA40E8" w:rsidRDefault="00E74AE8">
            <w:pPr>
              <w:pStyle w:val="P68B1DB1-Normal37"/>
              <w:keepNext/>
              <w:keepLines/>
              <w:spacing w:after="0"/>
              <w:jc w:val="center"/>
              <w:rPr>
                <w:bCs/>
                <w:noProof/>
                <w:szCs w:val="22"/>
              </w:rPr>
            </w:pPr>
            <w:r>
              <w:rPr>
                <w:noProof/>
              </w:rPr>
              <w:t xml:space="preserve">Mesure connexe </w:t>
            </w:r>
            <w:r>
              <w:rPr>
                <w:noProof/>
              </w:rPr>
              <w:br/>
              <w:t>(Réforme ou investissement)</w:t>
            </w:r>
          </w:p>
        </w:tc>
        <w:tc>
          <w:tcPr>
            <w:tcW w:w="1418" w:type="dxa"/>
            <w:shd w:val="clear" w:color="auto" w:fill="BDD7EE"/>
            <w:vAlign w:val="center"/>
          </w:tcPr>
          <w:p w14:paraId="09163B43" w14:textId="77777777" w:rsidR="00FA40E8" w:rsidRDefault="00E74AE8">
            <w:pPr>
              <w:pStyle w:val="P68B1DB1-Normal37"/>
              <w:keepNext/>
              <w:keepLines/>
              <w:spacing w:after="0"/>
              <w:jc w:val="center"/>
              <w:rPr>
                <w:bCs/>
                <w:noProof/>
                <w:szCs w:val="22"/>
              </w:rPr>
            </w:pPr>
            <w:r>
              <w:rPr>
                <w:noProof/>
              </w:rPr>
              <w:t>Étape/cible</w:t>
            </w:r>
          </w:p>
        </w:tc>
        <w:tc>
          <w:tcPr>
            <w:tcW w:w="3613" w:type="dxa"/>
            <w:shd w:val="clear" w:color="auto" w:fill="BDD7EE"/>
            <w:vAlign w:val="center"/>
          </w:tcPr>
          <w:p w14:paraId="34EC1D02" w14:textId="77777777" w:rsidR="00FA40E8" w:rsidRDefault="00E74AE8">
            <w:pPr>
              <w:pStyle w:val="P68B1DB1-Normal37"/>
              <w:keepNext/>
              <w:keepLines/>
              <w:spacing w:after="0"/>
              <w:jc w:val="center"/>
              <w:rPr>
                <w:bCs/>
                <w:noProof/>
                <w:szCs w:val="22"/>
              </w:rPr>
            </w:pPr>
            <w:r>
              <w:rPr>
                <w:noProof/>
              </w:rPr>
              <w:t>Nom</w:t>
            </w:r>
          </w:p>
        </w:tc>
      </w:tr>
      <w:tr w:rsidR="00FA40E8" w14:paraId="39C14E6A" w14:textId="77777777">
        <w:trPr>
          <w:cantSplit/>
        </w:trPr>
        <w:tc>
          <w:tcPr>
            <w:tcW w:w="1298" w:type="dxa"/>
            <w:shd w:val="clear" w:color="auto" w:fill="EAF1DD" w:themeFill="accent3" w:themeFillTint="33"/>
            <w:noWrap/>
            <w:vAlign w:val="center"/>
          </w:tcPr>
          <w:p w14:paraId="613FC30A" w14:textId="77777777" w:rsidR="00FA40E8" w:rsidRDefault="00E74AE8">
            <w:pPr>
              <w:pStyle w:val="P68B1DB1-Normal39"/>
              <w:spacing w:after="0"/>
              <w:jc w:val="center"/>
              <w:rPr>
                <w:noProof/>
                <w:color w:val="000000"/>
                <w:szCs w:val="22"/>
              </w:rPr>
            </w:pPr>
            <w:r>
              <w:rPr>
                <w:noProof/>
              </w:rPr>
              <w:t>15</w:t>
            </w:r>
          </w:p>
        </w:tc>
        <w:tc>
          <w:tcPr>
            <w:tcW w:w="3450" w:type="dxa"/>
            <w:shd w:val="clear" w:color="auto" w:fill="EAF1DD" w:themeFill="accent3" w:themeFillTint="33"/>
            <w:vAlign w:val="center"/>
          </w:tcPr>
          <w:p w14:paraId="662A48E5" w14:textId="35C36168" w:rsidR="00FA40E8" w:rsidRDefault="00E74AE8">
            <w:pPr>
              <w:pStyle w:val="P68B1DB1-Normal38"/>
              <w:spacing w:after="0"/>
              <w:textAlignment w:val="baseline"/>
              <w:rPr>
                <w:noProof/>
                <w:szCs w:val="22"/>
              </w:rPr>
            </w:pPr>
            <w:r>
              <w:rPr>
                <w:noProof/>
              </w:rPr>
              <w:t>A.1.2. Fourniture de services de soins de longue durée</w:t>
            </w:r>
          </w:p>
          <w:p w14:paraId="27AFC93C" w14:textId="77777777" w:rsidR="00FA40E8" w:rsidRDefault="00E74AE8">
            <w:pPr>
              <w:pStyle w:val="P68B1DB1-Normal38"/>
              <w:spacing w:after="0"/>
              <w:rPr>
                <w:noProof/>
                <w:szCs w:val="22"/>
              </w:rPr>
            </w:pPr>
            <w:r>
              <w:rPr>
                <w:noProof/>
              </w:rPr>
              <w:t>A.1.2.1. Adoption du modèle de soins de longue durée</w:t>
            </w:r>
          </w:p>
        </w:tc>
        <w:tc>
          <w:tcPr>
            <w:tcW w:w="1418" w:type="dxa"/>
            <w:shd w:val="clear" w:color="auto" w:fill="EAF1DD" w:themeFill="accent3" w:themeFillTint="33"/>
            <w:vAlign w:val="center"/>
          </w:tcPr>
          <w:p w14:paraId="1DC7D825"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vAlign w:val="center"/>
          </w:tcPr>
          <w:p w14:paraId="16BBB2A6" w14:textId="77777777" w:rsidR="00FA40E8" w:rsidRDefault="00E74AE8">
            <w:pPr>
              <w:pStyle w:val="P68B1DB1-Normal38"/>
              <w:spacing w:after="0"/>
              <w:rPr>
                <w:noProof/>
                <w:szCs w:val="22"/>
              </w:rPr>
            </w:pPr>
            <w:r>
              <w:rPr>
                <w:noProof/>
              </w:rPr>
              <w:t>Entrée en vigueur de la législation régissant la mise en œuvre du modèle de soins de longue durée</w:t>
            </w:r>
          </w:p>
        </w:tc>
      </w:tr>
      <w:tr w:rsidR="00FA40E8" w14:paraId="4D44CC22" w14:textId="77777777">
        <w:trPr>
          <w:cantSplit/>
        </w:trPr>
        <w:tc>
          <w:tcPr>
            <w:tcW w:w="1298" w:type="dxa"/>
            <w:shd w:val="clear" w:color="auto" w:fill="EAF1DD" w:themeFill="accent3" w:themeFillTint="33"/>
            <w:noWrap/>
            <w:vAlign w:val="center"/>
          </w:tcPr>
          <w:p w14:paraId="47EA169E" w14:textId="77777777" w:rsidR="00FA40E8" w:rsidRDefault="00E74AE8">
            <w:pPr>
              <w:pStyle w:val="P68B1DB1-Normal39"/>
              <w:spacing w:after="0"/>
              <w:jc w:val="center"/>
              <w:rPr>
                <w:noProof/>
                <w:color w:val="000000"/>
                <w:szCs w:val="22"/>
              </w:rPr>
            </w:pPr>
            <w:r>
              <w:rPr>
                <w:noProof/>
              </w:rPr>
              <w:t>67</w:t>
            </w:r>
          </w:p>
        </w:tc>
        <w:tc>
          <w:tcPr>
            <w:tcW w:w="3450" w:type="dxa"/>
            <w:shd w:val="clear" w:color="auto" w:fill="EAF1DD" w:themeFill="accent3" w:themeFillTint="33"/>
          </w:tcPr>
          <w:p w14:paraId="7A728AA1" w14:textId="73786A84" w:rsidR="00FA40E8" w:rsidRDefault="00E74AE8">
            <w:pPr>
              <w:pStyle w:val="P68B1DB1-Normal38"/>
              <w:spacing w:after="0"/>
              <w:rPr>
                <w:noProof/>
                <w:szCs w:val="22"/>
              </w:rPr>
            </w:pPr>
            <w:r>
              <w:rPr>
                <w:noProof/>
              </w:rPr>
              <w:t xml:space="preserve">C.1.2 Gestion des </w:t>
            </w:r>
            <w:r>
              <w:rPr>
                <w:noProof/>
              </w:rPr>
              <w:t>données et données ouvertes</w:t>
            </w:r>
          </w:p>
        </w:tc>
        <w:tc>
          <w:tcPr>
            <w:tcW w:w="1418" w:type="dxa"/>
            <w:shd w:val="clear" w:color="auto" w:fill="EAF1DD" w:themeFill="accent3" w:themeFillTint="33"/>
          </w:tcPr>
          <w:p w14:paraId="173D3D86" w14:textId="77777777" w:rsidR="00FA40E8" w:rsidRDefault="00E74AE8">
            <w:pPr>
              <w:pStyle w:val="P68B1DB1-Normal38"/>
              <w:spacing w:after="0"/>
              <w:jc w:val="center"/>
              <w:rPr>
                <w:noProof/>
                <w:szCs w:val="22"/>
              </w:rPr>
            </w:pPr>
            <w:r>
              <w:rPr>
                <w:noProof/>
              </w:rPr>
              <w:t>Objectif</w:t>
            </w:r>
          </w:p>
        </w:tc>
        <w:tc>
          <w:tcPr>
            <w:tcW w:w="3613" w:type="dxa"/>
            <w:shd w:val="clear" w:color="auto" w:fill="EAF1DD" w:themeFill="accent3" w:themeFillTint="33"/>
          </w:tcPr>
          <w:p w14:paraId="236DFB0C" w14:textId="77777777" w:rsidR="00FA40E8" w:rsidRDefault="00E74AE8">
            <w:pPr>
              <w:pStyle w:val="P68B1DB1-Normal38"/>
              <w:spacing w:after="0"/>
              <w:rPr>
                <w:noProof/>
                <w:szCs w:val="22"/>
              </w:rPr>
            </w:pPr>
            <w:r>
              <w:rPr>
                <w:noProof/>
              </w:rPr>
              <w:t>Mise en service de l’outil d’échange de données</w:t>
            </w:r>
          </w:p>
        </w:tc>
      </w:tr>
      <w:tr w:rsidR="00FA40E8" w14:paraId="15FB298B" w14:textId="77777777">
        <w:trPr>
          <w:cantSplit/>
        </w:trPr>
        <w:tc>
          <w:tcPr>
            <w:tcW w:w="1298" w:type="dxa"/>
            <w:shd w:val="clear" w:color="auto" w:fill="EAF1DD" w:themeFill="accent3" w:themeFillTint="33"/>
            <w:noWrap/>
            <w:vAlign w:val="center"/>
          </w:tcPr>
          <w:p w14:paraId="635806D9" w14:textId="77777777" w:rsidR="00FA40E8" w:rsidRDefault="00E74AE8">
            <w:pPr>
              <w:pStyle w:val="P68B1DB1-Normal39"/>
              <w:spacing w:after="0"/>
              <w:jc w:val="center"/>
              <w:rPr>
                <w:noProof/>
                <w:color w:val="000000"/>
                <w:szCs w:val="22"/>
              </w:rPr>
            </w:pPr>
            <w:r>
              <w:rPr>
                <w:noProof/>
              </w:rPr>
              <w:t>79</w:t>
            </w:r>
          </w:p>
        </w:tc>
        <w:tc>
          <w:tcPr>
            <w:tcW w:w="3450" w:type="dxa"/>
            <w:shd w:val="clear" w:color="auto" w:fill="EAF1DD" w:themeFill="accent3" w:themeFillTint="33"/>
          </w:tcPr>
          <w:p w14:paraId="430B8C26" w14:textId="77777777" w:rsidR="00FA40E8" w:rsidRDefault="00E74AE8">
            <w:pPr>
              <w:pStyle w:val="P68B1DB1-Normal38"/>
              <w:spacing w:after="0"/>
              <w:rPr>
                <w:noProof/>
                <w:szCs w:val="22"/>
              </w:rPr>
            </w:pPr>
            <w:r>
              <w:rPr>
                <w:noProof/>
              </w:rPr>
              <w:t xml:space="preserve">C.1.4 Prérequis pour des solutions technologiques innovantes dans le monde des affaires et dans la vie quotidienne — C.1.4.3. Production de contenus et de ressources </w:t>
            </w:r>
            <w:r>
              <w:rPr>
                <w:noProof/>
              </w:rPr>
              <w:t>pédagogiques numériques</w:t>
            </w:r>
          </w:p>
        </w:tc>
        <w:tc>
          <w:tcPr>
            <w:tcW w:w="1418" w:type="dxa"/>
            <w:shd w:val="clear" w:color="auto" w:fill="EAF1DD" w:themeFill="accent3" w:themeFillTint="33"/>
          </w:tcPr>
          <w:p w14:paraId="2D0C5510" w14:textId="77777777" w:rsidR="00FA40E8" w:rsidRDefault="00E74AE8">
            <w:pPr>
              <w:pStyle w:val="P68B1DB1-Normal38"/>
              <w:spacing w:after="0"/>
              <w:jc w:val="center"/>
              <w:rPr>
                <w:noProof/>
                <w:szCs w:val="22"/>
              </w:rPr>
            </w:pPr>
            <w:r>
              <w:rPr>
                <w:noProof/>
              </w:rPr>
              <w:t>Objectif</w:t>
            </w:r>
          </w:p>
        </w:tc>
        <w:tc>
          <w:tcPr>
            <w:tcW w:w="3613" w:type="dxa"/>
            <w:shd w:val="clear" w:color="auto" w:fill="EAF1DD" w:themeFill="accent3" w:themeFillTint="33"/>
          </w:tcPr>
          <w:p w14:paraId="4D2816B0" w14:textId="77777777" w:rsidR="00FA40E8" w:rsidRDefault="00E74AE8">
            <w:pPr>
              <w:pStyle w:val="P68B1DB1-Normal38"/>
              <w:spacing w:after="0"/>
              <w:rPr>
                <w:noProof/>
                <w:szCs w:val="22"/>
              </w:rPr>
            </w:pPr>
            <w:r>
              <w:rPr>
                <w:noProof/>
              </w:rPr>
              <w:t>Mise en service d’installations d’apprentissage numérique</w:t>
            </w:r>
          </w:p>
        </w:tc>
      </w:tr>
      <w:tr w:rsidR="00FA40E8" w14:paraId="68411402" w14:textId="77777777">
        <w:trPr>
          <w:cantSplit/>
        </w:trPr>
        <w:tc>
          <w:tcPr>
            <w:tcW w:w="1298" w:type="dxa"/>
            <w:shd w:val="clear" w:color="auto" w:fill="EAF1DD" w:themeFill="accent3" w:themeFillTint="33"/>
            <w:noWrap/>
            <w:vAlign w:val="center"/>
          </w:tcPr>
          <w:p w14:paraId="5F757789" w14:textId="77777777" w:rsidR="00FA40E8" w:rsidRDefault="00E74AE8">
            <w:pPr>
              <w:pStyle w:val="P68B1DB1-Normal39"/>
              <w:spacing w:after="0"/>
              <w:jc w:val="center"/>
              <w:rPr>
                <w:noProof/>
                <w:color w:val="000000"/>
                <w:szCs w:val="22"/>
              </w:rPr>
            </w:pPr>
            <w:r>
              <w:rPr>
                <w:noProof/>
              </w:rPr>
              <w:t>81</w:t>
            </w:r>
          </w:p>
        </w:tc>
        <w:tc>
          <w:tcPr>
            <w:tcW w:w="3450" w:type="dxa"/>
            <w:shd w:val="clear" w:color="auto" w:fill="EAF1DD" w:themeFill="accent3" w:themeFillTint="33"/>
          </w:tcPr>
          <w:p w14:paraId="3877ABE5" w14:textId="77777777" w:rsidR="00FA40E8" w:rsidRDefault="00E74AE8">
            <w:pPr>
              <w:pStyle w:val="P68B1DB1-Normal38"/>
              <w:spacing w:after="0"/>
              <w:rPr>
                <w:noProof/>
                <w:szCs w:val="22"/>
              </w:rPr>
            </w:pPr>
            <w:r>
              <w:rPr>
                <w:noProof/>
              </w:rPr>
              <w:t xml:space="preserve">C.1.4 Prérequis pour des solutions technologiques innovantes dans le monde des affaires et dans la vie quotidienne — C.1.4.4. Instruments financiers pour la </w:t>
            </w:r>
            <w:r>
              <w:rPr>
                <w:noProof/>
              </w:rPr>
              <w:t>création d’entreprises et l’innovation numérique</w:t>
            </w:r>
          </w:p>
        </w:tc>
        <w:tc>
          <w:tcPr>
            <w:tcW w:w="1418" w:type="dxa"/>
            <w:shd w:val="clear" w:color="auto" w:fill="EAF1DD" w:themeFill="accent3" w:themeFillTint="33"/>
          </w:tcPr>
          <w:p w14:paraId="620A43F6" w14:textId="77777777" w:rsidR="00FA40E8" w:rsidRDefault="00E74AE8">
            <w:pPr>
              <w:pStyle w:val="P68B1DB1-Normal38"/>
              <w:spacing w:after="0"/>
              <w:jc w:val="center"/>
              <w:rPr>
                <w:noProof/>
                <w:szCs w:val="22"/>
              </w:rPr>
            </w:pPr>
            <w:r>
              <w:rPr>
                <w:noProof/>
              </w:rPr>
              <w:t>Objectif</w:t>
            </w:r>
          </w:p>
        </w:tc>
        <w:tc>
          <w:tcPr>
            <w:tcW w:w="3613" w:type="dxa"/>
            <w:shd w:val="clear" w:color="auto" w:fill="EAF1DD" w:themeFill="accent3" w:themeFillTint="33"/>
          </w:tcPr>
          <w:p w14:paraId="3EDE110E" w14:textId="2514BEB8" w:rsidR="00FA40E8" w:rsidRDefault="00E74AE8">
            <w:pPr>
              <w:pStyle w:val="P68B1DB1-Normal38"/>
              <w:spacing w:after="0"/>
              <w:rPr>
                <w:noProof/>
              </w:rPr>
            </w:pPr>
            <w:r>
              <w:rPr>
                <w:noProof/>
              </w:rPr>
              <w:t>Signature de contrats pour des incitations financières à la création d’entreprises et à l’innovation numérique</w:t>
            </w:r>
          </w:p>
        </w:tc>
      </w:tr>
      <w:tr w:rsidR="00FA40E8" w14:paraId="445D5DE8" w14:textId="77777777">
        <w:trPr>
          <w:cantSplit/>
        </w:trPr>
        <w:tc>
          <w:tcPr>
            <w:tcW w:w="1298" w:type="dxa"/>
            <w:shd w:val="clear" w:color="auto" w:fill="EAF1DD" w:themeFill="accent3" w:themeFillTint="33"/>
            <w:noWrap/>
            <w:vAlign w:val="center"/>
          </w:tcPr>
          <w:p w14:paraId="23A98D56" w14:textId="77777777" w:rsidR="00FA40E8" w:rsidRDefault="00E74AE8">
            <w:pPr>
              <w:pStyle w:val="P68B1DB1-Normal39"/>
              <w:spacing w:after="0"/>
              <w:jc w:val="center"/>
              <w:rPr>
                <w:noProof/>
                <w:color w:val="000000"/>
                <w:szCs w:val="22"/>
              </w:rPr>
            </w:pPr>
            <w:r>
              <w:rPr>
                <w:noProof/>
              </w:rPr>
              <w:t>103</w:t>
            </w:r>
          </w:p>
        </w:tc>
        <w:tc>
          <w:tcPr>
            <w:tcW w:w="3450" w:type="dxa"/>
            <w:shd w:val="clear" w:color="auto" w:fill="EAF1DD" w:themeFill="accent3" w:themeFillTint="33"/>
          </w:tcPr>
          <w:p w14:paraId="3A9FD257" w14:textId="77777777" w:rsidR="00FA40E8" w:rsidRDefault="00E74AE8">
            <w:pPr>
              <w:pStyle w:val="P68B1DB1-Normal38"/>
              <w:spacing w:after="0"/>
              <w:textAlignment w:val="baseline"/>
              <w:rPr>
                <w:noProof/>
                <w:szCs w:val="22"/>
              </w:rPr>
            </w:pPr>
            <w:r>
              <w:rPr>
                <w:noProof/>
              </w:rPr>
              <w:t>D.1.1. Enseignement général moderne — Contexte des compétences de base</w:t>
            </w:r>
          </w:p>
          <w:p w14:paraId="205532FE" w14:textId="77777777" w:rsidR="00FA40E8" w:rsidRDefault="00E74AE8">
            <w:pPr>
              <w:pStyle w:val="P68B1DB1-Normal38"/>
              <w:spacing w:after="0"/>
              <w:rPr>
                <w:noProof/>
                <w:szCs w:val="22"/>
              </w:rPr>
            </w:pPr>
            <w:r>
              <w:rPr>
                <w:noProof/>
              </w:rPr>
              <w:t xml:space="preserve">D.1.1.6: </w:t>
            </w:r>
            <w:r>
              <w:rPr>
                <w:noProof/>
              </w:rPr>
              <w:t>Transformation de l’éducation numérique</w:t>
            </w:r>
          </w:p>
        </w:tc>
        <w:tc>
          <w:tcPr>
            <w:tcW w:w="1418" w:type="dxa"/>
            <w:shd w:val="clear" w:color="auto" w:fill="EAF1DD" w:themeFill="accent3" w:themeFillTint="33"/>
          </w:tcPr>
          <w:p w14:paraId="7F91F683" w14:textId="77777777" w:rsidR="00FA40E8" w:rsidRDefault="00E74AE8">
            <w:pPr>
              <w:pStyle w:val="P68B1DB1-Normal38"/>
              <w:spacing w:after="0"/>
              <w:jc w:val="center"/>
              <w:rPr>
                <w:noProof/>
                <w:szCs w:val="22"/>
              </w:rPr>
            </w:pPr>
            <w:r>
              <w:rPr>
                <w:noProof/>
              </w:rPr>
              <w:t>Objectif</w:t>
            </w:r>
          </w:p>
        </w:tc>
        <w:tc>
          <w:tcPr>
            <w:tcW w:w="3613" w:type="dxa"/>
            <w:shd w:val="clear" w:color="auto" w:fill="EAF1DD" w:themeFill="accent3" w:themeFillTint="33"/>
          </w:tcPr>
          <w:p w14:paraId="1DAB014B" w14:textId="27E56665" w:rsidR="00FA40E8" w:rsidRDefault="00E74AE8">
            <w:pPr>
              <w:pStyle w:val="P68B1DB1-Normal38"/>
              <w:spacing w:after="0"/>
              <w:rPr>
                <w:noProof/>
              </w:rPr>
            </w:pPr>
            <w:r>
              <w:rPr>
                <w:noProof/>
              </w:rPr>
              <w:t>Nombre de membres du personnel universitaire ayant achevé le cours visant à améliorer les compétences numériques</w:t>
            </w:r>
          </w:p>
        </w:tc>
      </w:tr>
      <w:tr w:rsidR="00FA40E8" w14:paraId="4EB510D3" w14:textId="77777777">
        <w:trPr>
          <w:cantSplit/>
        </w:trPr>
        <w:tc>
          <w:tcPr>
            <w:tcW w:w="1298" w:type="dxa"/>
            <w:shd w:val="clear" w:color="auto" w:fill="EAF1DD" w:themeFill="accent3" w:themeFillTint="33"/>
            <w:noWrap/>
            <w:vAlign w:val="center"/>
          </w:tcPr>
          <w:p w14:paraId="4CE867F2" w14:textId="77777777" w:rsidR="00FA40E8" w:rsidRDefault="00E74AE8">
            <w:pPr>
              <w:pStyle w:val="P68B1DB1-Normal39"/>
              <w:spacing w:after="0"/>
              <w:jc w:val="center"/>
              <w:rPr>
                <w:noProof/>
                <w:szCs w:val="22"/>
              </w:rPr>
            </w:pPr>
            <w:r>
              <w:rPr>
                <w:noProof/>
              </w:rPr>
              <w:t>104</w:t>
            </w:r>
          </w:p>
        </w:tc>
        <w:tc>
          <w:tcPr>
            <w:tcW w:w="3450" w:type="dxa"/>
            <w:shd w:val="clear" w:color="auto" w:fill="EAF1DD" w:themeFill="accent3" w:themeFillTint="33"/>
          </w:tcPr>
          <w:p w14:paraId="0AE88084" w14:textId="77777777" w:rsidR="00FA40E8" w:rsidRDefault="00E74AE8">
            <w:pPr>
              <w:pStyle w:val="P68B1DB1-Normal38"/>
              <w:spacing w:after="0"/>
              <w:textAlignment w:val="baseline"/>
              <w:rPr>
                <w:noProof/>
                <w:szCs w:val="22"/>
              </w:rPr>
            </w:pPr>
            <w:r>
              <w:rPr>
                <w:noProof/>
              </w:rPr>
              <w:t>D.1.1. Enseignement général moderne — Contexte des compétences de base</w:t>
            </w:r>
          </w:p>
          <w:p w14:paraId="1496F404" w14:textId="77777777" w:rsidR="00FA40E8" w:rsidRDefault="00E74AE8">
            <w:pPr>
              <w:pStyle w:val="P68B1DB1-Normal38"/>
              <w:spacing w:after="0"/>
              <w:rPr>
                <w:noProof/>
                <w:szCs w:val="22"/>
              </w:rPr>
            </w:pPr>
            <w:r>
              <w:rPr>
                <w:noProof/>
              </w:rPr>
              <w:t xml:space="preserve">D.1.1.6: </w:t>
            </w:r>
            <w:r>
              <w:rPr>
                <w:noProof/>
              </w:rPr>
              <w:t>Transformation de l’éducation numérique</w:t>
            </w:r>
          </w:p>
        </w:tc>
        <w:tc>
          <w:tcPr>
            <w:tcW w:w="1418" w:type="dxa"/>
            <w:shd w:val="clear" w:color="auto" w:fill="EAF1DD" w:themeFill="accent3" w:themeFillTint="33"/>
          </w:tcPr>
          <w:p w14:paraId="7E1BE96F" w14:textId="77777777" w:rsidR="00FA40E8" w:rsidRDefault="00E74AE8">
            <w:pPr>
              <w:pStyle w:val="P68B1DB1-Normal38"/>
              <w:spacing w:after="0"/>
              <w:jc w:val="center"/>
              <w:rPr>
                <w:noProof/>
                <w:szCs w:val="22"/>
              </w:rPr>
            </w:pPr>
            <w:r>
              <w:rPr>
                <w:noProof/>
              </w:rPr>
              <w:t>Objectif</w:t>
            </w:r>
          </w:p>
        </w:tc>
        <w:tc>
          <w:tcPr>
            <w:tcW w:w="3613" w:type="dxa"/>
            <w:shd w:val="clear" w:color="auto" w:fill="EAF1DD" w:themeFill="accent3" w:themeFillTint="33"/>
          </w:tcPr>
          <w:p w14:paraId="0FD73912" w14:textId="651BF535" w:rsidR="00FA40E8" w:rsidRDefault="00E74AE8">
            <w:pPr>
              <w:pStyle w:val="P68B1DB1-Normal38"/>
              <w:spacing w:after="0"/>
              <w:rPr>
                <w:noProof/>
              </w:rPr>
            </w:pPr>
            <w:r>
              <w:rPr>
                <w:noProof/>
              </w:rPr>
              <w:t>Nombre de membres du personnel pédagogique qualifiés en tant qu’enseignants en informatique ou titulaires d’un master en informatique</w:t>
            </w:r>
          </w:p>
        </w:tc>
      </w:tr>
      <w:tr w:rsidR="00FA40E8" w14:paraId="25415C6F" w14:textId="77777777">
        <w:trPr>
          <w:cantSplit/>
        </w:trPr>
        <w:tc>
          <w:tcPr>
            <w:tcW w:w="1298" w:type="dxa"/>
            <w:shd w:val="clear" w:color="auto" w:fill="EAF1DD" w:themeFill="accent3" w:themeFillTint="33"/>
            <w:noWrap/>
            <w:vAlign w:val="center"/>
          </w:tcPr>
          <w:p w14:paraId="13534BB7" w14:textId="77777777" w:rsidR="00FA40E8" w:rsidRDefault="00E74AE8">
            <w:pPr>
              <w:pStyle w:val="P68B1DB1-Normal39"/>
              <w:spacing w:after="0"/>
              <w:jc w:val="center"/>
              <w:rPr>
                <w:noProof/>
                <w:color w:val="000000"/>
                <w:szCs w:val="22"/>
              </w:rPr>
            </w:pPr>
            <w:r>
              <w:rPr>
                <w:noProof/>
              </w:rPr>
              <w:t>124</w:t>
            </w:r>
          </w:p>
        </w:tc>
        <w:tc>
          <w:tcPr>
            <w:tcW w:w="3450" w:type="dxa"/>
            <w:shd w:val="clear" w:color="auto" w:fill="EAF1DD" w:themeFill="accent3" w:themeFillTint="33"/>
          </w:tcPr>
          <w:p w14:paraId="7D8C75E1" w14:textId="77777777" w:rsidR="00FA40E8" w:rsidRDefault="00E74AE8">
            <w:pPr>
              <w:pStyle w:val="P68B1DB1-Normal38"/>
              <w:spacing w:after="0"/>
              <w:rPr>
                <w:noProof/>
                <w:szCs w:val="22"/>
              </w:rPr>
            </w:pPr>
            <w:r>
              <w:rPr>
                <w:noProof/>
              </w:rPr>
              <w:t>E.1.1. Un enseignement supérieur de qualité et des établissements d’</w:t>
            </w:r>
            <w:r>
              <w:rPr>
                <w:noProof/>
              </w:rPr>
              <w:t>enseignement supérieur solides — E.1.1.3. Renforcer la compétitivité internationale des établissements d’enseignement supérieur</w:t>
            </w:r>
          </w:p>
        </w:tc>
        <w:tc>
          <w:tcPr>
            <w:tcW w:w="1418" w:type="dxa"/>
            <w:shd w:val="clear" w:color="auto" w:fill="EAF1DD" w:themeFill="accent3" w:themeFillTint="33"/>
          </w:tcPr>
          <w:p w14:paraId="1093471B" w14:textId="77777777" w:rsidR="00FA40E8" w:rsidRDefault="00E74AE8">
            <w:pPr>
              <w:pStyle w:val="P68B1DB1-Normal38"/>
              <w:spacing w:after="0"/>
              <w:jc w:val="center"/>
              <w:rPr>
                <w:noProof/>
                <w:szCs w:val="22"/>
              </w:rPr>
            </w:pPr>
            <w:r>
              <w:rPr>
                <w:noProof/>
              </w:rPr>
              <w:t>Objectif</w:t>
            </w:r>
          </w:p>
        </w:tc>
        <w:tc>
          <w:tcPr>
            <w:tcW w:w="3613" w:type="dxa"/>
            <w:shd w:val="clear" w:color="auto" w:fill="EAF1DD" w:themeFill="accent3" w:themeFillTint="33"/>
          </w:tcPr>
          <w:p w14:paraId="7D1B8EC7" w14:textId="77777777" w:rsidR="00FA40E8" w:rsidRDefault="00E74AE8">
            <w:pPr>
              <w:pStyle w:val="P68B1DB1-Normal38"/>
              <w:spacing w:after="0"/>
              <w:rPr>
                <w:noProof/>
                <w:szCs w:val="22"/>
              </w:rPr>
            </w:pPr>
            <w:r>
              <w:rPr>
                <w:noProof/>
              </w:rPr>
              <w:t>Nombre de projets d’internationalisation achevés par des établissements d’enseignement supérieur</w:t>
            </w:r>
          </w:p>
        </w:tc>
      </w:tr>
      <w:tr w:rsidR="00FA40E8" w14:paraId="2DED7141" w14:textId="77777777">
        <w:trPr>
          <w:cantSplit/>
        </w:trPr>
        <w:tc>
          <w:tcPr>
            <w:tcW w:w="1298" w:type="dxa"/>
            <w:shd w:val="clear" w:color="auto" w:fill="EAF1DD" w:themeFill="accent3" w:themeFillTint="33"/>
            <w:noWrap/>
            <w:vAlign w:val="center"/>
          </w:tcPr>
          <w:p w14:paraId="5783D6C7" w14:textId="77777777" w:rsidR="00FA40E8" w:rsidRDefault="00E74AE8">
            <w:pPr>
              <w:pStyle w:val="P68B1DB1-Normal39"/>
              <w:spacing w:after="0"/>
              <w:jc w:val="center"/>
              <w:rPr>
                <w:noProof/>
                <w:color w:val="000000"/>
                <w:szCs w:val="22"/>
              </w:rPr>
            </w:pPr>
            <w:r>
              <w:rPr>
                <w:noProof/>
              </w:rPr>
              <w:t>139</w:t>
            </w:r>
          </w:p>
        </w:tc>
        <w:tc>
          <w:tcPr>
            <w:tcW w:w="3450" w:type="dxa"/>
            <w:shd w:val="clear" w:color="auto" w:fill="EAF1DD" w:themeFill="accent3" w:themeFillTint="33"/>
          </w:tcPr>
          <w:p w14:paraId="77D382EE" w14:textId="05199938" w:rsidR="00FA40E8" w:rsidRDefault="00E74AE8">
            <w:pPr>
              <w:pStyle w:val="P68B1DB1-Normal38"/>
              <w:spacing w:after="0"/>
              <w:rPr>
                <w:noProof/>
                <w:szCs w:val="22"/>
              </w:rPr>
            </w:pPr>
            <w:r>
              <w:rPr>
                <w:noProof/>
              </w:rPr>
              <w:t xml:space="preserve">F.1.1. Secteur </w:t>
            </w:r>
            <w:r>
              <w:rPr>
                <w:noProof/>
              </w:rPr>
              <w:t>public efficace — F.1.1.2 Mise en place d’une plateforme d’apprentissage à distance pour les employés du secteur public</w:t>
            </w:r>
          </w:p>
        </w:tc>
        <w:tc>
          <w:tcPr>
            <w:tcW w:w="1418" w:type="dxa"/>
            <w:shd w:val="clear" w:color="auto" w:fill="EAF1DD" w:themeFill="accent3" w:themeFillTint="33"/>
          </w:tcPr>
          <w:p w14:paraId="0852E138"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6E96E573" w14:textId="77777777" w:rsidR="00FA40E8" w:rsidRDefault="00E74AE8">
            <w:pPr>
              <w:pStyle w:val="P68B1DB1-Normal38"/>
              <w:spacing w:after="0"/>
              <w:rPr>
                <w:noProof/>
              </w:rPr>
            </w:pPr>
            <w:r>
              <w:rPr>
                <w:noProof/>
              </w:rPr>
              <w:t>Orientations stratégiques et modules de formation</w:t>
            </w:r>
          </w:p>
        </w:tc>
      </w:tr>
      <w:tr w:rsidR="00FA40E8" w14:paraId="2A93F2EA" w14:textId="77777777">
        <w:trPr>
          <w:cantSplit/>
        </w:trPr>
        <w:tc>
          <w:tcPr>
            <w:tcW w:w="1298" w:type="dxa"/>
            <w:shd w:val="clear" w:color="auto" w:fill="EAF1DD" w:themeFill="accent3" w:themeFillTint="33"/>
            <w:noWrap/>
            <w:vAlign w:val="center"/>
          </w:tcPr>
          <w:p w14:paraId="091E837D" w14:textId="77777777" w:rsidR="00FA40E8" w:rsidRDefault="00E74AE8">
            <w:pPr>
              <w:pStyle w:val="P68B1DB1-Normal39"/>
              <w:spacing w:after="0"/>
              <w:jc w:val="center"/>
              <w:rPr>
                <w:noProof/>
                <w:szCs w:val="22"/>
              </w:rPr>
            </w:pPr>
            <w:r>
              <w:rPr>
                <w:noProof/>
              </w:rPr>
              <w:t>148</w:t>
            </w:r>
          </w:p>
        </w:tc>
        <w:tc>
          <w:tcPr>
            <w:tcW w:w="3450" w:type="dxa"/>
            <w:shd w:val="clear" w:color="auto" w:fill="EAF1DD" w:themeFill="accent3" w:themeFillTint="33"/>
          </w:tcPr>
          <w:p w14:paraId="72A700B7" w14:textId="2DC5D482" w:rsidR="00FA40E8" w:rsidRDefault="00E74AE8">
            <w:pPr>
              <w:pStyle w:val="P68B1DB1-Normal38"/>
              <w:spacing w:after="0"/>
              <w:rPr>
                <w:noProof/>
                <w:szCs w:val="22"/>
              </w:rPr>
            </w:pPr>
            <w:r>
              <w:rPr>
                <w:noProof/>
              </w:rPr>
              <w:t>F.1.3. Viabilité à long terme et transparence du budget national — F.1.3.1.</w:t>
            </w:r>
            <w:r>
              <w:rPr>
                <w:noProof/>
              </w:rPr>
              <w:t xml:space="preserve"> Le cadre budgétaire à moyen terme</w:t>
            </w:r>
          </w:p>
        </w:tc>
        <w:tc>
          <w:tcPr>
            <w:tcW w:w="1418" w:type="dxa"/>
            <w:shd w:val="clear" w:color="auto" w:fill="EAF1DD" w:themeFill="accent3" w:themeFillTint="33"/>
          </w:tcPr>
          <w:p w14:paraId="0BD35010"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44B338B9" w14:textId="4F4AC409" w:rsidR="00FA40E8" w:rsidRDefault="00E74AE8">
            <w:pPr>
              <w:pStyle w:val="P68B1DB1-Normal38"/>
              <w:spacing w:after="0"/>
              <w:rPr>
                <w:noProof/>
                <w:szCs w:val="22"/>
              </w:rPr>
            </w:pPr>
            <w:r>
              <w:rPr>
                <w:noProof/>
              </w:rPr>
              <w:t>Entrée en vigueur de la méthode budgétaire à moyen terme, de la méthode de calcul des coûts de base et des modifications de la loi sur la structure du budget liées à la révision du budget de l’État</w:t>
            </w:r>
          </w:p>
        </w:tc>
      </w:tr>
      <w:tr w:rsidR="00FA40E8" w14:paraId="6902D04A" w14:textId="77777777">
        <w:trPr>
          <w:cantSplit/>
        </w:trPr>
        <w:tc>
          <w:tcPr>
            <w:tcW w:w="1298" w:type="dxa"/>
            <w:shd w:val="clear" w:color="auto" w:fill="EAF1DD" w:themeFill="accent3" w:themeFillTint="33"/>
            <w:noWrap/>
            <w:vAlign w:val="center"/>
          </w:tcPr>
          <w:p w14:paraId="08DACF75" w14:textId="77777777" w:rsidR="00FA40E8" w:rsidRDefault="00E74AE8">
            <w:pPr>
              <w:pStyle w:val="P68B1DB1-Normal39"/>
              <w:spacing w:after="0"/>
              <w:jc w:val="center"/>
              <w:rPr>
                <w:noProof/>
                <w:color w:val="000000"/>
                <w:szCs w:val="22"/>
              </w:rPr>
            </w:pPr>
            <w:r>
              <w:rPr>
                <w:noProof/>
              </w:rPr>
              <w:t>149</w:t>
            </w:r>
          </w:p>
        </w:tc>
        <w:tc>
          <w:tcPr>
            <w:tcW w:w="3450" w:type="dxa"/>
            <w:shd w:val="clear" w:color="auto" w:fill="EAF1DD" w:themeFill="accent3" w:themeFillTint="33"/>
          </w:tcPr>
          <w:p w14:paraId="4D5563D1" w14:textId="44429E0A" w:rsidR="00FA40E8" w:rsidRDefault="00E74AE8">
            <w:pPr>
              <w:pStyle w:val="P68B1DB1-Normal38"/>
              <w:spacing w:after="0"/>
              <w:rPr>
                <w:noProof/>
                <w:szCs w:val="22"/>
              </w:rPr>
            </w:pPr>
            <w:r>
              <w:rPr>
                <w:noProof/>
              </w:rPr>
              <w:t xml:space="preserve">F.1.3. </w:t>
            </w:r>
            <w:r>
              <w:rPr>
                <w:noProof/>
              </w:rPr>
              <w:t>Viabilité à long terme et transparence du budget national — F.1.3.1. Le cadre budgétaire à moyen terme</w:t>
            </w:r>
          </w:p>
        </w:tc>
        <w:tc>
          <w:tcPr>
            <w:tcW w:w="1418" w:type="dxa"/>
            <w:shd w:val="clear" w:color="auto" w:fill="EAF1DD" w:themeFill="accent3" w:themeFillTint="33"/>
          </w:tcPr>
          <w:p w14:paraId="5FE31820"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26215D3E" w14:textId="77777777" w:rsidR="00FA40E8" w:rsidRDefault="00E74AE8">
            <w:pPr>
              <w:pStyle w:val="P68B1DB1-Normal38"/>
              <w:spacing w:after="0"/>
              <w:rPr>
                <w:noProof/>
                <w:szCs w:val="22"/>
              </w:rPr>
            </w:pPr>
            <w:r>
              <w:rPr>
                <w:noProof/>
              </w:rPr>
              <w:t>Entrée en vigueur de la résolution du gouvernement approuvant le premier projet budgétaire détaillé à moyen terme pour la période comprise entre le</w:t>
            </w:r>
            <w:r>
              <w:rPr>
                <w:noProof/>
              </w:rPr>
              <w:t xml:space="preserve"> 1 janvier 2025 et le 31 décembre 2027</w:t>
            </w:r>
          </w:p>
        </w:tc>
      </w:tr>
      <w:tr w:rsidR="00FA40E8" w14:paraId="729A9867" w14:textId="77777777">
        <w:trPr>
          <w:cantSplit/>
        </w:trPr>
        <w:tc>
          <w:tcPr>
            <w:tcW w:w="1298" w:type="dxa"/>
            <w:shd w:val="clear" w:color="auto" w:fill="EAF1DD" w:themeFill="accent3" w:themeFillTint="33"/>
            <w:noWrap/>
            <w:vAlign w:val="center"/>
          </w:tcPr>
          <w:p w14:paraId="2BFD8CA3" w14:textId="77777777" w:rsidR="00FA40E8" w:rsidRDefault="00E74AE8">
            <w:pPr>
              <w:pStyle w:val="P68B1DB1-Normal39"/>
              <w:spacing w:after="0"/>
              <w:jc w:val="center"/>
              <w:rPr>
                <w:noProof/>
                <w:color w:val="000000"/>
                <w:szCs w:val="22"/>
              </w:rPr>
            </w:pPr>
            <w:r>
              <w:rPr>
                <w:noProof/>
              </w:rPr>
              <w:t>150</w:t>
            </w:r>
          </w:p>
        </w:tc>
        <w:tc>
          <w:tcPr>
            <w:tcW w:w="3450" w:type="dxa"/>
            <w:shd w:val="clear" w:color="auto" w:fill="EAF1DD" w:themeFill="accent3" w:themeFillTint="33"/>
          </w:tcPr>
          <w:p w14:paraId="39091651" w14:textId="77777777" w:rsidR="00FA40E8" w:rsidRDefault="00E74AE8">
            <w:pPr>
              <w:pStyle w:val="P68B1DB1-Normal38"/>
              <w:spacing w:after="0"/>
              <w:rPr>
                <w:noProof/>
                <w:szCs w:val="22"/>
              </w:rPr>
            </w:pPr>
            <w:r>
              <w:rPr>
                <w:noProof/>
              </w:rPr>
              <w:t>F.1.3. Viabilité à long terme et transparence du budget national — F.1.3.2. Réexamens des dépenses</w:t>
            </w:r>
          </w:p>
        </w:tc>
        <w:tc>
          <w:tcPr>
            <w:tcW w:w="1418" w:type="dxa"/>
            <w:shd w:val="clear" w:color="auto" w:fill="EAF1DD" w:themeFill="accent3" w:themeFillTint="33"/>
          </w:tcPr>
          <w:p w14:paraId="2CA9F7BF"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0F921775" w14:textId="77777777" w:rsidR="00FA40E8" w:rsidRDefault="00E74AE8">
            <w:pPr>
              <w:pStyle w:val="P68B1DB1-Normal38"/>
              <w:spacing w:after="0"/>
              <w:rPr>
                <w:noProof/>
                <w:szCs w:val="22"/>
              </w:rPr>
            </w:pPr>
            <w:r>
              <w:rPr>
                <w:noProof/>
              </w:rPr>
              <w:t>Achèvement de l’examen complet des dépenses budgétaires</w:t>
            </w:r>
          </w:p>
        </w:tc>
      </w:tr>
      <w:tr w:rsidR="00FA40E8" w14:paraId="39D756CD" w14:textId="77777777">
        <w:trPr>
          <w:cantSplit/>
        </w:trPr>
        <w:tc>
          <w:tcPr>
            <w:tcW w:w="1298" w:type="dxa"/>
            <w:shd w:val="clear" w:color="auto" w:fill="EAF1DD" w:themeFill="accent3" w:themeFillTint="33"/>
            <w:noWrap/>
            <w:vAlign w:val="center"/>
          </w:tcPr>
          <w:p w14:paraId="2FD58A66" w14:textId="77777777" w:rsidR="00FA40E8" w:rsidRDefault="00E74AE8">
            <w:pPr>
              <w:pStyle w:val="P68B1DB1-Normal39"/>
              <w:spacing w:after="0"/>
              <w:jc w:val="center"/>
              <w:rPr>
                <w:noProof/>
                <w:color w:val="000000"/>
                <w:szCs w:val="22"/>
              </w:rPr>
            </w:pPr>
            <w:r>
              <w:rPr>
                <w:noProof/>
              </w:rPr>
              <w:t>157</w:t>
            </w:r>
          </w:p>
        </w:tc>
        <w:tc>
          <w:tcPr>
            <w:tcW w:w="3450" w:type="dxa"/>
            <w:shd w:val="clear" w:color="auto" w:fill="EAF1DD" w:themeFill="accent3" w:themeFillTint="33"/>
          </w:tcPr>
          <w:p w14:paraId="2E2B42F2" w14:textId="77777777" w:rsidR="00FA40E8" w:rsidRDefault="00E74AE8">
            <w:pPr>
              <w:pStyle w:val="P68B1DB1-Normal38"/>
              <w:spacing w:after="0"/>
              <w:rPr>
                <w:noProof/>
                <w:szCs w:val="22"/>
              </w:rPr>
            </w:pPr>
            <w:r>
              <w:rPr>
                <w:noProof/>
              </w:rPr>
              <w:t>F.1.4. Amélioration du respect des obligations</w:t>
            </w:r>
            <w:r>
              <w:rPr>
                <w:noProof/>
              </w:rPr>
              <w:t xml:space="preserve"> fiscales — F.1.4.2. Fiscalité équitable des activités économiques en ligne</w:t>
            </w:r>
          </w:p>
        </w:tc>
        <w:tc>
          <w:tcPr>
            <w:tcW w:w="1418" w:type="dxa"/>
            <w:shd w:val="clear" w:color="auto" w:fill="EAF1DD" w:themeFill="accent3" w:themeFillTint="33"/>
          </w:tcPr>
          <w:p w14:paraId="4CB41A3A"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345EF485" w14:textId="77777777" w:rsidR="00FA40E8" w:rsidRDefault="00E74AE8">
            <w:pPr>
              <w:pStyle w:val="P68B1DB1-Normal38"/>
              <w:spacing w:after="0"/>
              <w:rPr>
                <w:noProof/>
                <w:szCs w:val="22"/>
              </w:rPr>
            </w:pPr>
            <w:r>
              <w:rPr>
                <w:noProof/>
              </w:rPr>
              <w:t>L’inspection nationale des impôts reçoit des données détaillées sur les transactions effectuées sur les plateformes en ligne</w:t>
            </w:r>
          </w:p>
        </w:tc>
      </w:tr>
      <w:tr w:rsidR="00FA40E8" w14:paraId="2E900817" w14:textId="77777777">
        <w:trPr>
          <w:cantSplit/>
        </w:trPr>
        <w:tc>
          <w:tcPr>
            <w:tcW w:w="1298" w:type="dxa"/>
            <w:shd w:val="clear" w:color="auto" w:fill="EAF1DD" w:themeFill="accent3" w:themeFillTint="33"/>
            <w:noWrap/>
            <w:vAlign w:val="center"/>
          </w:tcPr>
          <w:p w14:paraId="1529D110" w14:textId="77777777" w:rsidR="00FA40E8" w:rsidRDefault="00E74AE8">
            <w:pPr>
              <w:pStyle w:val="P68B1DB1-Normal39"/>
              <w:spacing w:after="0"/>
              <w:jc w:val="center"/>
              <w:rPr>
                <w:noProof/>
                <w:color w:val="000000"/>
                <w:szCs w:val="22"/>
              </w:rPr>
            </w:pPr>
            <w:r>
              <w:rPr>
                <w:noProof/>
              </w:rPr>
              <w:t>159</w:t>
            </w:r>
          </w:p>
        </w:tc>
        <w:tc>
          <w:tcPr>
            <w:tcW w:w="3450" w:type="dxa"/>
            <w:shd w:val="clear" w:color="auto" w:fill="EAF1DD" w:themeFill="accent3" w:themeFillTint="33"/>
          </w:tcPr>
          <w:p w14:paraId="00461D72" w14:textId="516FF9F6" w:rsidR="00FA40E8" w:rsidRDefault="00E74AE8">
            <w:pPr>
              <w:pStyle w:val="P68B1DB1-Normal38"/>
              <w:spacing w:after="0"/>
              <w:rPr>
                <w:noProof/>
                <w:szCs w:val="22"/>
              </w:rPr>
            </w:pPr>
            <w:r>
              <w:rPr>
                <w:noProof/>
              </w:rPr>
              <w:t xml:space="preserve">F.1.4. Amélioration du respect des </w:t>
            </w:r>
            <w:r>
              <w:rPr>
                <w:noProof/>
              </w:rPr>
              <w:t>obligations fiscales — F.1.4.4. La culture fiscale des futurs contribuables</w:t>
            </w:r>
          </w:p>
        </w:tc>
        <w:tc>
          <w:tcPr>
            <w:tcW w:w="1418" w:type="dxa"/>
            <w:shd w:val="clear" w:color="auto" w:fill="EAF1DD" w:themeFill="accent3" w:themeFillTint="33"/>
          </w:tcPr>
          <w:p w14:paraId="1CE44E98" w14:textId="77777777" w:rsidR="00FA40E8" w:rsidRDefault="00E74AE8">
            <w:pPr>
              <w:pStyle w:val="P68B1DB1-Normal38"/>
              <w:spacing w:after="0"/>
              <w:jc w:val="center"/>
              <w:rPr>
                <w:noProof/>
                <w:szCs w:val="22"/>
              </w:rPr>
            </w:pPr>
            <w:r>
              <w:rPr>
                <w:noProof/>
              </w:rPr>
              <w:t>Objectif</w:t>
            </w:r>
          </w:p>
        </w:tc>
        <w:tc>
          <w:tcPr>
            <w:tcW w:w="3613" w:type="dxa"/>
            <w:shd w:val="clear" w:color="auto" w:fill="EAF1DD" w:themeFill="accent3" w:themeFillTint="33"/>
          </w:tcPr>
          <w:p w14:paraId="7DA7EF30" w14:textId="7C9ACFC3" w:rsidR="00FA40E8" w:rsidRDefault="00E74AE8">
            <w:pPr>
              <w:pStyle w:val="P68B1DB1-Normal38"/>
              <w:spacing w:after="0"/>
              <w:rPr>
                <w:noProof/>
              </w:rPr>
            </w:pPr>
            <w:r>
              <w:rPr>
                <w:noProof/>
              </w:rPr>
              <w:t>Nombre de cartes d’élèves avec fonction de paiement délivrées</w:t>
            </w:r>
          </w:p>
        </w:tc>
      </w:tr>
      <w:tr w:rsidR="00FA40E8" w14:paraId="10918DE7" w14:textId="77777777">
        <w:trPr>
          <w:cantSplit/>
        </w:trPr>
        <w:tc>
          <w:tcPr>
            <w:tcW w:w="1298" w:type="dxa"/>
            <w:shd w:val="clear" w:color="auto" w:fill="EAF1DD" w:themeFill="accent3" w:themeFillTint="33"/>
            <w:noWrap/>
            <w:vAlign w:val="center"/>
          </w:tcPr>
          <w:p w14:paraId="66931360" w14:textId="77777777" w:rsidR="00FA40E8" w:rsidRDefault="00E74AE8">
            <w:pPr>
              <w:pStyle w:val="P68B1DB1-Normal39"/>
              <w:spacing w:after="0"/>
              <w:jc w:val="center"/>
              <w:rPr>
                <w:noProof/>
                <w:color w:val="000000"/>
                <w:szCs w:val="22"/>
              </w:rPr>
            </w:pPr>
            <w:r>
              <w:rPr>
                <w:noProof/>
              </w:rPr>
              <w:t>160</w:t>
            </w:r>
          </w:p>
        </w:tc>
        <w:tc>
          <w:tcPr>
            <w:tcW w:w="3450" w:type="dxa"/>
            <w:shd w:val="clear" w:color="auto" w:fill="EAF1DD" w:themeFill="accent3" w:themeFillTint="33"/>
          </w:tcPr>
          <w:p w14:paraId="335B2C7B" w14:textId="1592F715" w:rsidR="00FA40E8" w:rsidRDefault="00E74AE8">
            <w:pPr>
              <w:pStyle w:val="P68B1DB1-Normal38"/>
              <w:spacing w:after="0"/>
              <w:rPr>
                <w:noProof/>
              </w:rPr>
            </w:pPr>
            <w:r>
              <w:rPr>
                <w:noProof/>
              </w:rPr>
              <w:t>F.1.4.</w:t>
            </w:r>
            <w:r>
              <w:rPr>
                <w:noProof/>
              </w:rPr>
              <w:t xml:space="preserve"> Amélioration du respect des obligations fiscales — F.1.4.4. La culture fiscale des futurs contribuables</w:t>
            </w:r>
          </w:p>
        </w:tc>
        <w:tc>
          <w:tcPr>
            <w:tcW w:w="1418" w:type="dxa"/>
            <w:shd w:val="clear" w:color="auto" w:fill="EAF1DD" w:themeFill="accent3" w:themeFillTint="33"/>
          </w:tcPr>
          <w:p w14:paraId="4BC64605" w14:textId="77777777" w:rsidR="00FA40E8" w:rsidRDefault="00E74AE8">
            <w:pPr>
              <w:pStyle w:val="P68B1DB1-Normal38"/>
              <w:spacing w:after="0"/>
              <w:jc w:val="center"/>
              <w:rPr>
                <w:noProof/>
                <w:szCs w:val="22"/>
              </w:rPr>
            </w:pPr>
            <w:r>
              <w:rPr>
                <w:noProof/>
              </w:rPr>
              <w:t>Objectif</w:t>
            </w:r>
          </w:p>
        </w:tc>
        <w:tc>
          <w:tcPr>
            <w:tcW w:w="3613" w:type="dxa"/>
            <w:shd w:val="clear" w:color="auto" w:fill="EAF1DD" w:themeFill="accent3" w:themeFillTint="33"/>
          </w:tcPr>
          <w:p w14:paraId="107917C5" w14:textId="024F64B7" w:rsidR="00FA40E8" w:rsidRDefault="00E74AE8">
            <w:pPr>
              <w:pStyle w:val="P68B1DB1-Normal38"/>
              <w:spacing w:after="0"/>
              <w:rPr>
                <w:noProof/>
                <w:szCs w:val="22"/>
              </w:rPr>
            </w:pPr>
            <w:r>
              <w:rPr>
                <w:noProof/>
              </w:rPr>
              <w:t>Nombre d’écoles (primaires, secondaires, progymnasiums, gymnasiums) dotées d’infrastructures de paiement autres que les espèces nouvellement c</w:t>
            </w:r>
            <w:r>
              <w:rPr>
                <w:noProof/>
              </w:rPr>
              <w:t>réées ou modernisées</w:t>
            </w:r>
          </w:p>
        </w:tc>
      </w:tr>
      <w:tr w:rsidR="00FA40E8" w14:paraId="5692A8DC" w14:textId="77777777">
        <w:trPr>
          <w:cantSplit/>
        </w:trPr>
        <w:tc>
          <w:tcPr>
            <w:tcW w:w="1298" w:type="dxa"/>
            <w:shd w:val="clear" w:color="auto" w:fill="EAF1DD" w:themeFill="accent3" w:themeFillTint="33"/>
            <w:noWrap/>
            <w:vAlign w:val="center"/>
          </w:tcPr>
          <w:p w14:paraId="3AFD8646" w14:textId="77777777" w:rsidR="00FA40E8" w:rsidRDefault="00E74AE8">
            <w:pPr>
              <w:pStyle w:val="P68B1DB1-Normal39"/>
              <w:spacing w:after="0"/>
              <w:jc w:val="center"/>
              <w:rPr>
                <w:noProof/>
                <w:color w:val="000000"/>
                <w:szCs w:val="22"/>
              </w:rPr>
            </w:pPr>
            <w:r>
              <w:rPr>
                <w:noProof/>
              </w:rPr>
              <w:t>169</w:t>
            </w:r>
          </w:p>
        </w:tc>
        <w:tc>
          <w:tcPr>
            <w:tcW w:w="3450" w:type="dxa"/>
            <w:shd w:val="clear" w:color="auto" w:fill="EAF1DD" w:themeFill="accent3" w:themeFillTint="33"/>
          </w:tcPr>
          <w:p w14:paraId="2B14FD7A" w14:textId="4AB5B2F5" w:rsidR="00FA40E8" w:rsidRDefault="00E74AE8">
            <w:pPr>
              <w:pStyle w:val="P68B1DB1-Normal38"/>
              <w:spacing w:after="0"/>
              <w:rPr>
                <w:noProof/>
              </w:rPr>
            </w:pPr>
            <w:r>
              <w:rPr>
                <w:noProof/>
              </w:rPr>
              <w:t>F.1.6. Une administration fiscale intelligente pour réduire l’écart de TVA — F.1.6.4. Numérisation des timbres fiscaux</w:t>
            </w:r>
          </w:p>
        </w:tc>
        <w:tc>
          <w:tcPr>
            <w:tcW w:w="1418" w:type="dxa"/>
            <w:shd w:val="clear" w:color="auto" w:fill="EAF1DD" w:themeFill="accent3" w:themeFillTint="33"/>
          </w:tcPr>
          <w:p w14:paraId="5F4D0730" w14:textId="77777777" w:rsidR="00FA40E8" w:rsidRDefault="00E74AE8">
            <w:pPr>
              <w:pStyle w:val="P68B1DB1-Normal38"/>
              <w:spacing w:after="0"/>
              <w:jc w:val="center"/>
              <w:rPr>
                <w:noProof/>
                <w:szCs w:val="22"/>
              </w:rPr>
            </w:pPr>
            <w:r>
              <w:rPr>
                <w:noProof/>
              </w:rPr>
              <w:t>Étape</w:t>
            </w:r>
          </w:p>
        </w:tc>
        <w:tc>
          <w:tcPr>
            <w:tcW w:w="3613" w:type="dxa"/>
            <w:shd w:val="clear" w:color="auto" w:fill="EAF1DD" w:themeFill="accent3" w:themeFillTint="33"/>
          </w:tcPr>
          <w:p w14:paraId="29199C6C" w14:textId="77777777" w:rsidR="00FA40E8" w:rsidRDefault="00E74AE8">
            <w:pPr>
              <w:pStyle w:val="P68B1DB1-Normal38"/>
              <w:spacing w:after="0"/>
              <w:rPr>
                <w:noProof/>
                <w:szCs w:val="22"/>
              </w:rPr>
            </w:pPr>
            <w:r>
              <w:rPr>
                <w:noProof/>
              </w:rPr>
              <w:t xml:space="preserve">Achèvement du projet pilote sur le remplacement des timbres fiscaux physiques pour les boissons </w:t>
            </w:r>
            <w:r>
              <w:rPr>
                <w:noProof/>
              </w:rPr>
              <w:t>alcoolisées par des solutions numériques</w:t>
            </w:r>
          </w:p>
        </w:tc>
      </w:tr>
      <w:tr w:rsidR="00FA40E8" w14:paraId="4346ECA1" w14:textId="77777777">
        <w:trPr>
          <w:cantSplit/>
        </w:trPr>
        <w:tc>
          <w:tcPr>
            <w:tcW w:w="1298" w:type="dxa"/>
            <w:shd w:val="clear" w:color="auto" w:fill="EAF1DD" w:themeFill="accent3" w:themeFillTint="33"/>
            <w:noWrap/>
          </w:tcPr>
          <w:p w14:paraId="2BEECDED" w14:textId="77777777" w:rsidR="00FA40E8" w:rsidRDefault="00FA40E8">
            <w:pPr>
              <w:spacing w:after="0"/>
              <w:jc w:val="center"/>
              <w:rPr>
                <w:rFonts w:ascii="Times New Roman" w:eastAsia="Times New Roman" w:hAnsi="Times New Roman" w:cs="Times New Roman"/>
                <w:noProof/>
                <w:color w:val="000000"/>
                <w:szCs w:val="22"/>
              </w:rPr>
            </w:pPr>
          </w:p>
        </w:tc>
        <w:tc>
          <w:tcPr>
            <w:tcW w:w="3450" w:type="dxa"/>
            <w:shd w:val="clear" w:color="auto" w:fill="EAF1DD" w:themeFill="accent3" w:themeFillTint="33"/>
          </w:tcPr>
          <w:p w14:paraId="035ECA81" w14:textId="77777777" w:rsidR="00FA40E8" w:rsidRDefault="00FA40E8">
            <w:pPr>
              <w:spacing w:after="0"/>
              <w:rPr>
                <w:rFonts w:ascii="Times New Roman" w:eastAsia="Times New Roman" w:hAnsi="Times New Roman" w:cs="Times New Roman"/>
                <w:noProof/>
                <w:color w:val="000000"/>
                <w:szCs w:val="22"/>
              </w:rPr>
            </w:pPr>
          </w:p>
        </w:tc>
        <w:tc>
          <w:tcPr>
            <w:tcW w:w="1418" w:type="dxa"/>
            <w:shd w:val="clear" w:color="auto" w:fill="EAF1DD" w:themeFill="accent3" w:themeFillTint="33"/>
            <w:vAlign w:val="center"/>
          </w:tcPr>
          <w:p w14:paraId="668B5C53" w14:textId="77777777" w:rsidR="00FA40E8" w:rsidRDefault="00E74AE8">
            <w:pPr>
              <w:pStyle w:val="P68B1DB1-Normal39"/>
              <w:spacing w:after="0"/>
              <w:jc w:val="center"/>
              <w:rPr>
                <w:noProof/>
                <w:color w:val="000000"/>
                <w:szCs w:val="22"/>
              </w:rPr>
            </w:pPr>
            <w:r>
              <w:rPr>
                <w:noProof/>
              </w:rPr>
              <w:t>Montant de l’acompte</w:t>
            </w:r>
          </w:p>
        </w:tc>
        <w:tc>
          <w:tcPr>
            <w:tcW w:w="3613" w:type="dxa"/>
            <w:shd w:val="clear" w:color="auto" w:fill="EAF1DD" w:themeFill="accent3" w:themeFillTint="33"/>
            <w:vAlign w:val="center"/>
          </w:tcPr>
          <w:p w14:paraId="0B61D577" w14:textId="0E344029" w:rsidR="00FA40E8" w:rsidRDefault="00E74AE8">
            <w:pPr>
              <w:spacing w:after="0"/>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60</w:t>
            </w:r>
            <w:r>
              <w:rPr>
                <w:rFonts w:ascii="Times New Roman" w:hAnsi="Times New Roman"/>
                <w:noProof/>
                <w:sz w:val="20"/>
              </w:rPr>
              <w:t xml:space="preserve"> </w:t>
            </w:r>
            <w:r>
              <w:rPr>
                <w:rFonts w:ascii="Times New Roman" w:eastAsia="Times New Roman" w:hAnsi="Times New Roman" w:cs="Times New Roman"/>
                <w:noProof/>
                <w:color w:val="000000" w:themeColor="text1"/>
              </w:rPr>
              <w:t>000</w:t>
            </w:r>
            <w:r>
              <w:rPr>
                <w:rFonts w:ascii="Times New Roman" w:hAnsi="Times New Roman"/>
                <w:noProof/>
                <w:sz w:val="20"/>
              </w:rPr>
              <w:t xml:space="preserve"> </w:t>
            </w:r>
            <w:r>
              <w:rPr>
                <w:rFonts w:ascii="Times New Roman" w:eastAsia="Times New Roman" w:hAnsi="Times New Roman" w:cs="Times New Roman"/>
                <w:noProof/>
                <w:color w:val="000000" w:themeColor="text1"/>
              </w:rPr>
              <w:t>000 EUR</w:t>
            </w:r>
          </w:p>
        </w:tc>
      </w:tr>
    </w:tbl>
    <w:p w14:paraId="12F0B163" w14:textId="4DD47624" w:rsidR="00FA40E8" w:rsidRDefault="00E74AE8">
      <w:pPr>
        <w:pStyle w:val="P68B1DB1-ListParagraph36"/>
        <w:keepNext/>
        <w:keepLines/>
        <w:numPr>
          <w:ilvl w:val="1"/>
          <w:numId w:val="110"/>
        </w:numPr>
        <w:spacing w:before="480" w:line="240" w:lineRule="auto"/>
        <w:jc w:val="both"/>
        <w:rPr>
          <w:noProof/>
        </w:rPr>
      </w:pPr>
      <w:r>
        <w:rPr>
          <w:noProof/>
        </w:rPr>
        <w:t>Cinquième tranche (soutien non remboursable):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585"/>
        <w:gridCol w:w="1192"/>
        <w:gridCol w:w="3704"/>
      </w:tblGrid>
      <w:tr w:rsidR="00FA40E8" w14:paraId="42D530F2" w14:textId="77777777">
        <w:trPr>
          <w:cantSplit/>
          <w:trHeight w:val="491"/>
          <w:tblHeader/>
        </w:trPr>
        <w:tc>
          <w:tcPr>
            <w:tcW w:w="1298" w:type="dxa"/>
            <w:shd w:val="clear" w:color="auto" w:fill="BDD7EE"/>
            <w:vAlign w:val="center"/>
          </w:tcPr>
          <w:p w14:paraId="36D1CEB9" w14:textId="77777777" w:rsidR="00FA40E8" w:rsidRDefault="00E74AE8">
            <w:pPr>
              <w:pStyle w:val="P68B1DB1-Normal37"/>
              <w:keepNext/>
              <w:keepLines/>
              <w:spacing w:after="0"/>
              <w:jc w:val="center"/>
              <w:rPr>
                <w:bCs/>
                <w:noProof/>
                <w:szCs w:val="22"/>
              </w:rPr>
            </w:pPr>
            <w:r>
              <w:rPr>
                <w:noProof/>
              </w:rPr>
              <w:t>Numéro séquentiel</w:t>
            </w:r>
          </w:p>
        </w:tc>
        <w:tc>
          <w:tcPr>
            <w:tcW w:w="3592" w:type="dxa"/>
            <w:shd w:val="clear" w:color="auto" w:fill="BDD7EE"/>
            <w:vAlign w:val="center"/>
          </w:tcPr>
          <w:p w14:paraId="29F46C0B" w14:textId="77777777" w:rsidR="00FA40E8" w:rsidRDefault="00E74AE8">
            <w:pPr>
              <w:pStyle w:val="P68B1DB1-Normal37"/>
              <w:keepNext/>
              <w:keepLines/>
              <w:spacing w:after="0"/>
              <w:jc w:val="center"/>
              <w:rPr>
                <w:bCs/>
                <w:noProof/>
                <w:szCs w:val="22"/>
              </w:rPr>
            </w:pPr>
            <w:r>
              <w:rPr>
                <w:noProof/>
              </w:rPr>
              <w:t xml:space="preserve">Mesure connexe </w:t>
            </w:r>
            <w:r>
              <w:rPr>
                <w:noProof/>
              </w:rPr>
              <w:br/>
              <w:t>(Réforme ou investissement)</w:t>
            </w:r>
          </w:p>
        </w:tc>
        <w:tc>
          <w:tcPr>
            <w:tcW w:w="1177" w:type="dxa"/>
            <w:shd w:val="clear" w:color="auto" w:fill="BDD7EE"/>
            <w:vAlign w:val="center"/>
          </w:tcPr>
          <w:p w14:paraId="20E1BDDC" w14:textId="77777777" w:rsidR="00FA40E8" w:rsidRDefault="00E74AE8">
            <w:pPr>
              <w:pStyle w:val="P68B1DB1-Normal37"/>
              <w:keepNext/>
              <w:keepLines/>
              <w:spacing w:after="0"/>
              <w:jc w:val="center"/>
              <w:rPr>
                <w:bCs/>
                <w:noProof/>
                <w:szCs w:val="22"/>
              </w:rPr>
            </w:pPr>
            <w:r>
              <w:rPr>
                <w:noProof/>
              </w:rPr>
              <w:t>Étape/cible</w:t>
            </w:r>
          </w:p>
        </w:tc>
        <w:tc>
          <w:tcPr>
            <w:tcW w:w="3712" w:type="dxa"/>
            <w:shd w:val="clear" w:color="auto" w:fill="BDD7EE"/>
            <w:vAlign w:val="center"/>
          </w:tcPr>
          <w:p w14:paraId="0F3D6EED" w14:textId="77777777" w:rsidR="00FA40E8" w:rsidRDefault="00E74AE8">
            <w:pPr>
              <w:pStyle w:val="P68B1DB1-Normal37"/>
              <w:keepNext/>
              <w:keepLines/>
              <w:spacing w:after="0"/>
              <w:jc w:val="center"/>
              <w:rPr>
                <w:bCs/>
                <w:noProof/>
                <w:szCs w:val="22"/>
              </w:rPr>
            </w:pPr>
            <w:r>
              <w:rPr>
                <w:noProof/>
              </w:rPr>
              <w:t>Nom</w:t>
            </w:r>
          </w:p>
        </w:tc>
      </w:tr>
      <w:tr w:rsidR="00FA40E8" w14:paraId="280AFD35" w14:textId="77777777">
        <w:trPr>
          <w:cantSplit/>
        </w:trPr>
        <w:tc>
          <w:tcPr>
            <w:tcW w:w="1298" w:type="dxa"/>
            <w:shd w:val="clear" w:color="auto" w:fill="EAF1DD" w:themeFill="accent3" w:themeFillTint="33"/>
            <w:noWrap/>
            <w:vAlign w:val="center"/>
          </w:tcPr>
          <w:p w14:paraId="07C38C42" w14:textId="77777777" w:rsidR="00FA40E8" w:rsidRDefault="00E74AE8">
            <w:pPr>
              <w:pStyle w:val="P68B1DB1-Normal39"/>
              <w:spacing w:after="0"/>
              <w:jc w:val="center"/>
              <w:rPr>
                <w:noProof/>
                <w:color w:val="000000"/>
                <w:szCs w:val="22"/>
              </w:rPr>
            </w:pPr>
            <w:r>
              <w:rPr>
                <w:noProof/>
              </w:rPr>
              <w:t>10</w:t>
            </w:r>
          </w:p>
        </w:tc>
        <w:tc>
          <w:tcPr>
            <w:tcW w:w="3592" w:type="dxa"/>
            <w:shd w:val="clear" w:color="auto" w:fill="EAF1DD" w:themeFill="accent3" w:themeFillTint="33"/>
          </w:tcPr>
          <w:p w14:paraId="38851099" w14:textId="59AB1932" w:rsidR="00FA40E8" w:rsidRDefault="00E74AE8">
            <w:pPr>
              <w:pStyle w:val="P68B1DB1-Normal38"/>
              <w:spacing w:after="0"/>
              <w:textAlignment w:val="baseline"/>
              <w:rPr>
                <w:noProof/>
                <w:szCs w:val="22"/>
              </w:rPr>
            </w:pPr>
            <w:r>
              <w:rPr>
                <w:noProof/>
              </w:rPr>
              <w:t xml:space="preserve">A.1.1. Améliorer la qualité et l’accessibilité </w:t>
            </w:r>
            <w:r>
              <w:rPr>
                <w:noProof/>
              </w:rPr>
              <w:t>des services et promouvoir l’innovation</w:t>
            </w:r>
          </w:p>
          <w:p w14:paraId="63DA8463" w14:textId="77777777" w:rsidR="00FA40E8" w:rsidRDefault="00E74AE8">
            <w:pPr>
              <w:pStyle w:val="P68B1DB1-Normal38"/>
              <w:spacing w:after="0"/>
              <w:rPr>
                <w:noProof/>
                <w:szCs w:val="22"/>
              </w:rPr>
            </w:pPr>
            <w:r>
              <w:rPr>
                <w:noProof/>
              </w:rPr>
              <w:t>A.1.1.9. Mise en place d’une plateforme de compétences pour les professionnels de la santé</w:t>
            </w:r>
          </w:p>
        </w:tc>
        <w:tc>
          <w:tcPr>
            <w:tcW w:w="1177" w:type="dxa"/>
            <w:shd w:val="clear" w:color="auto" w:fill="EAF1DD" w:themeFill="accent3" w:themeFillTint="33"/>
          </w:tcPr>
          <w:p w14:paraId="5115BCC1" w14:textId="77777777" w:rsidR="00FA40E8" w:rsidRDefault="00E74AE8">
            <w:pPr>
              <w:pStyle w:val="P68B1DB1-Normal38"/>
              <w:spacing w:after="0"/>
              <w:jc w:val="center"/>
              <w:rPr>
                <w:noProof/>
                <w:szCs w:val="22"/>
              </w:rPr>
            </w:pPr>
            <w:r>
              <w:rPr>
                <w:noProof/>
              </w:rPr>
              <w:t>Étape</w:t>
            </w:r>
          </w:p>
        </w:tc>
        <w:tc>
          <w:tcPr>
            <w:tcW w:w="3712" w:type="dxa"/>
            <w:shd w:val="clear" w:color="auto" w:fill="EAF1DD" w:themeFill="accent3" w:themeFillTint="33"/>
          </w:tcPr>
          <w:p w14:paraId="49F71C71" w14:textId="77777777" w:rsidR="00FA40E8" w:rsidRDefault="00E74AE8">
            <w:pPr>
              <w:pStyle w:val="P68B1DB1-Normal38"/>
              <w:spacing w:after="0"/>
              <w:rPr>
                <w:noProof/>
                <w:szCs w:val="22"/>
              </w:rPr>
            </w:pPr>
            <w:r>
              <w:rPr>
                <w:noProof/>
              </w:rPr>
              <w:t>Mise en place d’une plateforme de compétences pour les professionnels de la santé</w:t>
            </w:r>
          </w:p>
        </w:tc>
      </w:tr>
      <w:tr w:rsidR="00FA40E8" w14:paraId="404F737A" w14:textId="77777777">
        <w:trPr>
          <w:cantSplit/>
        </w:trPr>
        <w:tc>
          <w:tcPr>
            <w:tcW w:w="1298" w:type="dxa"/>
            <w:shd w:val="clear" w:color="auto" w:fill="EAF1DD" w:themeFill="accent3" w:themeFillTint="33"/>
            <w:noWrap/>
            <w:vAlign w:val="center"/>
          </w:tcPr>
          <w:p w14:paraId="6FC1DB06" w14:textId="77777777" w:rsidR="00FA40E8" w:rsidRDefault="00E74AE8">
            <w:pPr>
              <w:pStyle w:val="P68B1DB1-Normal39"/>
              <w:spacing w:after="0"/>
              <w:jc w:val="center"/>
              <w:rPr>
                <w:noProof/>
                <w:color w:val="000000"/>
                <w:szCs w:val="22"/>
              </w:rPr>
            </w:pPr>
            <w:r>
              <w:rPr>
                <w:noProof/>
              </w:rPr>
              <w:t>62</w:t>
            </w:r>
          </w:p>
        </w:tc>
        <w:tc>
          <w:tcPr>
            <w:tcW w:w="3592" w:type="dxa"/>
            <w:shd w:val="clear" w:color="auto" w:fill="EAF1DD" w:themeFill="accent3" w:themeFillTint="33"/>
          </w:tcPr>
          <w:p w14:paraId="7AFC72E8" w14:textId="77777777" w:rsidR="00FA40E8" w:rsidRDefault="00E74AE8">
            <w:pPr>
              <w:pStyle w:val="P68B1DB1-Normal38"/>
              <w:spacing w:after="0"/>
              <w:rPr>
                <w:noProof/>
                <w:szCs w:val="22"/>
              </w:rPr>
            </w:pPr>
            <w:r>
              <w:rPr>
                <w:noProof/>
              </w:rPr>
              <w:t xml:space="preserve">C.1.1 Transformation de la </w:t>
            </w:r>
            <w:r>
              <w:rPr>
                <w:noProof/>
              </w:rPr>
              <w:t>gouvernance publique des technologies de l’information</w:t>
            </w:r>
          </w:p>
        </w:tc>
        <w:tc>
          <w:tcPr>
            <w:tcW w:w="1177" w:type="dxa"/>
            <w:shd w:val="clear" w:color="auto" w:fill="EAF1DD" w:themeFill="accent3" w:themeFillTint="33"/>
          </w:tcPr>
          <w:p w14:paraId="41D126B1" w14:textId="77777777" w:rsidR="00FA40E8" w:rsidRDefault="00E74AE8">
            <w:pPr>
              <w:pStyle w:val="P68B1DB1-Normal38"/>
              <w:spacing w:after="0"/>
              <w:jc w:val="center"/>
              <w:rPr>
                <w:noProof/>
                <w:szCs w:val="22"/>
              </w:rPr>
            </w:pPr>
            <w:r>
              <w:rPr>
                <w:noProof/>
              </w:rPr>
              <w:t>Objectif</w:t>
            </w:r>
          </w:p>
        </w:tc>
        <w:tc>
          <w:tcPr>
            <w:tcW w:w="3712" w:type="dxa"/>
            <w:shd w:val="clear" w:color="auto" w:fill="EAF1DD" w:themeFill="accent3" w:themeFillTint="33"/>
          </w:tcPr>
          <w:p w14:paraId="0FC62A3F" w14:textId="460C0C9D" w:rsidR="00FA40E8" w:rsidRDefault="00E74AE8">
            <w:pPr>
              <w:pStyle w:val="P68B1DB1-Normal38"/>
              <w:spacing w:after="0"/>
              <w:rPr>
                <w:noProof/>
              </w:rPr>
            </w:pPr>
            <w:r>
              <w:rPr>
                <w:noProof/>
              </w:rPr>
              <w:t>L’Agence nationale des solutions numériques fournit des services informatiques aux institutions et organes de l’État</w:t>
            </w:r>
          </w:p>
        </w:tc>
      </w:tr>
      <w:tr w:rsidR="00FA40E8" w14:paraId="29B0660F" w14:textId="77777777">
        <w:trPr>
          <w:cantSplit/>
        </w:trPr>
        <w:tc>
          <w:tcPr>
            <w:tcW w:w="1298" w:type="dxa"/>
            <w:shd w:val="clear" w:color="auto" w:fill="EAF1DD" w:themeFill="accent3" w:themeFillTint="33"/>
            <w:noWrap/>
            <w:vAlign w:val="center"/>
          </w:tcPr>
          <w:p w14:paraId="643FF25B" w14:textId="77777777" w:rsidR="00FA40E8" w:rsidRDefault="00E74AE8">
            <w:pPr>
              <w:pStyle w:val="P68B1DB1-Normal39"/>
              <w:spacing w:after="0"/>
              <w:jc w:val="center"/>
              <w:rPr>
                <w:noProof/>
                <w:color w:val="000000"/>
                <w:szCs w:val="22"/>
              </w:rPr>
            </w:pPr>
            <w:r>
              <w:rPr>
                <w:noProof/>
              </w:rPr>
              <w:t>71</w:t>
            </w:r>
          </w:p>
        </w:tc>
        <w:tc>
          <w:tcPr>
            <w:tcW w:w="3592" w:type="dxa"/>
            <w:shd w:val="clear" w:color="auto" w:fill="EAF1DD" w:themeFill="accent3" w:themeFillTint="33"/>
          </w:tcPr>
          <w:p w14:paraId="04417B95" w14:textId="77777777" w:rsidR="00FA40E8" w:rsidRDefault="00E74AE8">
            <w:pPr>
              <w:pStyle w:val="P68B1DB1-Normal38"/>
              <w:spacing w:after="0"/>
              <w:rPr>
                <w:noProof/>
                <w:szCs w:val="22"/>
              </w:rPr>
            </w:pPr>
            <w:r>
              <w:rPr>
                <w:noProof/>
              </w:rPr>
              <w:t>C.1.3 Services axés sur le client</w:t>
            </w:r>
          </w:p>
        </w:tc>
        <w:tc>
          <w:tcPr>
            <w:tcW w:w="1177" w:type="dxa"/>
            <w:shd w:val="clear" w:color="auto" w:fill="EAF1DD" w:themeFill="accent3" w:themeFillTint="33"/>
          </w:tcPr>
          <w:p w14:paraId="5F2EB388" w14:textId="77777777" w:rsidR="00FA40E8" w:rsidRDefault="00E74AE8">
            <w:pPr>
              <w:pStyle w:val="P68B1DB1-Normal38"/>
              <w:spacing w:after="0"/>
              <w:jc w:val="center"/>
              <w:rPr>
                <w:noProof/>
                <w:szCs w:val="22"/>
              </w:rPr>
            </w:pPr>
            <w:r>
              <w:rPr>
                <w:noProof/>
              </w:rPr>
              <w:t>Objectif</w:t>
            </w:r>
          </w:p>
        </w:tc>
        <w:tc>
          <w:tcPr>
            <w:tcW w:w="3712" w:type="dxa"/>
            <w:shd w:val="clear" w:color="auto" w:fill="EAF1DD" w:themeFill="accent3" w:themeFillTint="33"/>
          </w:tcPr>
          <w:p w14:paraId="1DAA4F49" w14:textId="77777777" w:rsidR="00FA40E8" w:rsidRDefault="00E74AE8">
            <w:pPr>
              <w:pStyle w:val="P68B1DB1-Normal38"/>
              <w:spacing w:after="0"/>
              <w:rPr>
                <w:noProof/>
                <w:szCs w:val="22"/>
              </w:rPr>
            </w:pPr>
            <w:r>
              <w:rPr>
                <w:noProof/>
              </w:rPr>
              <w:t>Mise en service de solutions</w:t>
            </w:r>
            <w:r>
              <w:rPr>
                <w:noProof/>
              </w:rPr>
              <w:t xml:space="preserve"> pour les services publics numériques aux personnes handicapées</w:t>
            </w:r>
          </w:p>
        </w:tc>
      </w:tr>
      <w:tr w:rsidR="00FA40E8" w14:paraId="1519369A" w14:textId="77777777">
        <w:trPr>
          <w:cantSplit/>
        </w:trPr>
        <w:tc>
          <w:tcPr>
            <w:tcW w:w="1298" w:type="dxa"/>
            <w:shd w:val="clear" w:color="auto" w:fill="EAF1DD" w:themeFill="accent3" w:themeFillTint="33"/>
            <w:noWrap/>
            <w:vAlign w:val="center"/>
          </w:tcPr>
          <w:p w14:paraId="6F480C50" w14:textId="77777777" w:rsidR="00FA40E8" w:rsidRDefault="00E74AE8">
            <w:pPr>
              <w:pStyle w:val="P68B1DB1-Normal39"/>
              <w:spacing w:after="0"/>
              <w:jc w:val="center"/>
              <w:rPr>
                <w:noProof/>
                <w:color w:val="000000"/>
                <w:szCs w:val="22"/>
              </w:rPr>
            </w:pPr>
            <w:r>
              <w:rPr>
                <w:noProof/>
              </w:rPr>
              <w:t>102</w:t>
            </w:r>
          </w:p>
        </w:tc>
        <w:tc>
          <w:tcPr>
            <w:tcW w:w="3592" w:type="dxa"/>
            <w:shd w:val="clear" w:color="auto" w:fill="EAF1DD" w:themeFill="accent3" w:themeFillTint="33"/>
          </w:tcPr>
          <w:p w14:paraId="3A0D421D" w14:textId="77777777" w:rsidR="00FA40E8" w:rsidRDefault="00E74AE8">
            <w:pPr>
              <w:pStyle w:val="P68B1DB1-Normal38"/>
              <w:spacing w:after="0"/>
              <w:textAlignment w:val="baseline"/>
              <w:rPr>
                <w:noProof/>
                <w:szCs w:val="22"/>
              </w:rPr>
            </w:pPr>
            <w:r>
              <w:rPr>
                <w:noProof/>
              </w:rPr>
              <w:t>D.1.1. Enseignement général moderne — Contexte des compétences de base</w:t>
            </w:r>
          </w:p>
          <w:p w14:paraId="29AE1F7D" w14:textId="77777777" w:rsidR="00FA40E8" w:rsidRDefault="00E74AE8">
            <w:pPr>
              <w:pStyle w:val="P68B1DB1-Normal38"/>
              <w:spacing w:after="0"/>
              <w:rPr>
                <w:noProof/>
                <w:szCs w:val="22"/>
              </w:rPr>
            </w:pPr>
            <w:r>
              <w:rPr>
                <w:noProof/>
              </w:rPr>
              <w:t>D.1.1.6: Transformation de l’éducation numérique</w:t>
            </w:r>
          </w:p>
        </w:tc>
        <w:tc>
          <w:tcPr>
            <w:tcW w:w="1177" w:type="dxa"/>
            <w:shd w:val="clear" w:color="auto" w:fill="EAF1DD" w:themeFill="accent3" w:themeFillTint="33"/>
          </w:tcPr>
          <w:p w14:paraId="17FAC6CB" w14:textId="77777777" w:rsidR="00FA40E8" w:rsidRDefault="00E74AE8">
            <w:pPr>
              <w:pStyle w:val="P68B1DB1-Normal38"/>
              <w:spacing w:after="0"/>
              <w:jc w:val="center"/>
              <w:rPr>
                <w:noProof/>
                <w:szCs w:val="22"/>
              </w:rPr>
            </w:pPr>
            <w:r>
              <w:rPr>
                <w:noProof/>
              </w:rPr>
              <w:t>Objectif</w:t>
            </w:r>
          </w:p>
        </w:tc>
        <w:tc>
          <w:tcPr>
            <w:tcW w:w="3712" w:type="dxa"/>
            <w:shd w:val="clear" w:color="auto" w:fill="EAF1DD" w:themeFill="accent3" w:themeFillTint="33"/>
          </w:tcPr>
          <w:p w14:paraId="0AA91F0F" w14:textId="574CB7C7" w:rsidR="00FA40E8" w:rsidRDefault="00E74AE8">
            <w:pPr>
              <w:pStyle w:val="P68B1DB1-Normal38"/>
              <w:spacing w:after="0"/>
              <w:rPr>
                <w:noProof/>
              </w:rPr>
            </w:pPr>
            <w:r>
              <w:rPr>
                <w:noProof/>
              </w:rPr>
              <w:t>Nombre de membres du personnel pédagogique ayant achevé le</w:t>
            </w:r>
            <w:r>
              <w:rPr>
                <w:noProof/>
              </w:rPr>
              <w:t xml:space="preserve"> cours visant à améliorer les compétences numériques</w:t>
            </w:r>
          </w:p>
        </w:tc>
      </w:tr>
      <w:tr w:rsidR="00FA40E8" w14:paraId="4C6DBFDF" w14:textId="77777777">
        <w:trPr>
          <w:cantSplit/>
        </w:trPr>
        <w:tc>
          <w:tcPr>
            <w:tcW w:w="1298" w:type="dxa"/>
            <w:shd w:val="clear" w:color="auto" w:fill="EAF1DD" w:themeFill="accent3" w:themeFillTint="33"/>
            <w:noWrap/>
            <w:vAlign w:val="center"/>
          </w:tcPr>
          <w:p w14:paraId="0350759C" w14:textId="77777777" w:rsidR="00FA40E8" w:rsidRDefault="00E74AE8">
            <w:pPr>
              <w:pStyle w:val="P68B1DB1-Normal39"/>
              <w:spacing w:after="0"/>
              <w:jc w:val="center"/>
              <w:rPr>
                <w:noProof/>
                <w:color w:val="000000"/>
                <w:szCs w:val="22"/>
              </w:rPr>
            </w:pPr>
            <w:r>
              <w:rPr>
                <w:noProof/>
              </w:rPr>
              <w:t>111</w:t>
            </w:r>
          </w:p>
        </w:tc>
        <w:tc>
          <w:tcPr>
            <w:tcW w:w="3592" w:type="dxa"/>
            <w:shd w:val="clear" w:color="auto" w:fill="EAF1DD" w:themeFill="accent3" w:themeFillTint="33"/>
          </w:tcPr>
          <w:p w14:paraId="40BC95F9" w14:textId="77777777" w:rsidR="00FA40E8" w:rsidRDefault="00E74AE8">
            <w:pPr>
              <w:pStyle w:val="P68B1DB1-Normal38"/>
              <w:spacing w:after="0"/>
              <w:rPr>
                <w:noProof/>
                <w:szCs w:val="22"/>
              </w:rPr>
            </w:pPr>
            <w:r>
              <w:rPr>
                <w:noProof/>
              </w:rPr>
              <w:t>D.1.3. Système d’orientation professionnelle pour équilibrer l’offre et la demande sur le marché du travail</w:t>
            </w:r>
          </w:p>
        </w:tc>
        <w:tc>
          <w:tcPr>
            <w:tcW w:w="1177" w:type="dxa"/>
            <w:shd w:val="clear" w:color="auto" w:fill="EAF1DD" w:themeFill="accent3" w:themeFillTint="33"/>
          </w:tcPr>
          <w:p w14:paraId="1DD2430F" w14:textId="77777777" w:rsidR="00FA40E8" w:rsidRDefault="00E74AE8">
            <w:pPr>
              <w:pStyle w:val="P68B1DB1-Normal38"/>
              <w:spacing w:after="0"/>
              <w:jc w:val="center"/>
              <w:rPr>
                <w:noProof/>
                <w:szCs w:val="22"/>
              </w:rPr>
            </w:pPr>
            <w:r>
              <w:rPr>
                <w:noProof/>
              </w:rPr>
              <w:t>Objectif</w:t>
            </w:r>
          </w:p>
        </w:tc>
        <w:tc>
          <w:tcPr>
            <w:tcW w:w="3712" w:type="dxa"/>
            <w:shd w:val="clear" w:color="auto" w:fill="EAF1DD" w:themeFill="accent3" w:themeFillTint="33"/>
          </w:tcPr>
          <w:p w14:paraId="26635983" w14:textId="77777777" w:rsidR="00FA40E8" w:rsidRDefault="00E74AE8">
            <w:pPr>
              <w:pStyle w:val="P68B1DB1-Normal38"/>
              <w:spacing w:after="0"/>
              <w:rPr>
                <w:noProof/>
                <w:szCs w:val="22"/>
              </w:rPr>
            </w:pPr>
            <w:r>
              <w:rPr>
                <w:noProof/>
              </w:rPr>
              <w:t>Nombre de spécialistes de la carrière fournissant des services dans les écoles</w:t>
            </w:r>
          </w:p>
        </w:tc>
      </w:tr>
      <w:tr w:rsidR="00FA40E8" w14:paraId="5C92F084" w14:textId="77777777">
        <w:trPr>
          <w:cantSplit/>
        </w:trPr>
        <w:tc>
          <w:tcPr>
            <w:tcW w:w="1298" w:type="dxa"/>
            <w:shd w:val="clear" w:color="auto" w:fill="EAF1DD" w:themeFill="accent3" w:themeFillTint="33"/>
            <w:noWrap/>
            <w:vAlign w:val="center"/>
          </w:tcPr>
          <w:p w14:paraId="29669A37" w14:textId="77777777" w:rsidR="00FA40E8" w:rsidRDefault="00E74AE8">
            <w:pPr>
              <w:pStyle w:val="P68B1DB1-Normal39"/>
              <w:spacing w:after="0"/>
              <w:jc w:val="center"/>
              <w:rPr>
                <w:noProof/>
                <w:color w:val="000000"/>
                <w:szCs w:val="22"/>
              </w:rPr>
            </w:pPr>
            <w:r>
              <w:rPr>
                <w:noProof/>
              </w:rPr>
              <w:t>125</w:t>
            </w:r>
          </w:p>
        </w:tc>
        <w:tc>
          <w:tcPr>
            <w:tcW w:w="3592" w:type="dxa"/>
            <w:shd w:val="clear" w:color="auto" w:fill="EAF1DD" w:themeFill="accent3" w:themeFillTint="33"/>
          </w:tcPr>
          <w:p w14:paraId="6036FF67" w14:textId="77777777" w:rsidR="00FA40E8" w:rsidRDefault="00E74AE8">
            <w:pPr>
              <w:pStyle w:val="P68B1DB1-Normal38"/>
              <w:spacing w:after="0"/>
              <w:rPr>
                <w:noProof/>
                <w:szCs w:val="22"/>
              </w:rPr>
            </w:pPr>
            <w:r>
              <w:rPr>
                <w:noProof/>
              </w:rPr>
              <w:t>E.1.1. Un enseignement supérieur de qualité et des établissements d’enseignement supérieur solides — E.1.1.3. Renforcer la compétitivité internationale des établissements d’enseignement supérieur</w:t>
            </w:r>
          </w:p>
        </w:tc>
        <w:tc>
          <w:tcPr>
            <w:tcW w:w="1177" w:type="dxa"/>
            <w:shd w:val="clear" w:color="auto" w:fill="EAF1DD" w:themeFill="accent3" w:themeFillTint="33"/>
          </w:tcPr>
          <w:p w14:paraId="38F100F0" w14:textId="77777777" w:rsidR="00FA40E8" w:rsidRDefault="00E74AE8">
            <w:pPr>
              <w:pStyle w:val="P68B1DB1-Normal38"/>
              <w:spacing w:after="0"/>
              <w:jc w:val="center"/>
              <w:rPr>
                <w:noProof/>
                <w:szCs w:val="22"/>
              </w:rPr>
            </w:pPr>
            <w:r>
              <w:rPr>
                <w:noProof/>
              </w:rPr>
              <w:t>Objectif</w:t>
            </w:r>
          </w:p>
        </w:tc>
        <w:tc>
          <w:tcPr>
            <w:tcW w:w="3712" w:type="dxa"/>
            <w:shd w:val="clear" w:color="auto" w:fill="EAF1DD" w:themeFill="accent3" w:themeFillTint="33"/>
          </w:tcPr>
          <w:p w14:paraId="10BDCDF5" w14:textId="77777777" w:rsidR="00FA40E8" w:rsidRDefault="00E74AE8">
            <w:pPr>
              <w:pStyle w:val="P68B1DB1-Normal38"/>
              <w:spacing w:after="0"/>
              <w:rPr>
                <w:noProof/>
                <w:szCs w:val="22"/>
              </w:rPr>
            </w:pPr>
            <w:r>
              <w:rPr>
                <w:noProof/>
              </w:rPr>
              <w:t xml:space="preserve">Nombre de personnes ayant bénéficié d’une aide </w:t>
            </w:r>
            <w:r>
              <w:rPr>
                <w:noProof/>
              </w:rPr>
              <w:t>à l’intégration des étudiants étrangers</w:t>
            </w:r>
          </w:p>
        </w:tc>
      </w:tr>
      <w:tr w:rsidR="00FA40E8" w14:paraId="7E825B98" w14:textId="77777777">
        <w:trPr>
          <w:cantSplit/>
        </w:trPr>
        <w:tc>
          <w:tcPr>
            <w:tcW w:w="1298" w:type="dxa"/>
            <w:shd w:val="clear" w:color="auto" w:fill="EAF1DD" w:themeFill="accent3" w:themeFillTint="33"/>
            <w:noWrap/>
            <w:vAlign w:val="center"/>
          </w:tcPr>
          <w:p w14:paraId="0C21E0DB" w14:textId="77777777" w:rsidR="00FA40E8" w:rsidRDefault="00E74AE8">
            <w:pPr>
              <w:pStyle w:val="P68B1DB1-Normal39"/>
              <w:spacing w:after="0"/>
              <w:jc w:val="center"/>
              <w:rPr>
                <w:noProof/>
                <w:color w:val="000000"/>
                <w:szCs w:val="22"/>
              </w:rPr>
            </w:pPr>
            <w:r>
              <w:rPr>
                <w:noProof/>
              </w:rPr>
              <w:t>135</w:t>
            </w:r>
          </w:p>
        </w:tc>
        <w:tc>
          <w:tcPr>
            <w:tcW w:w="3592" w:type="dxa"/>
            <w:shd w:val="clear" w:color="auto" w:fill="EAF1DD" w:themeFill="accent3" w:themeFillTint="33"/>
          </w:tcPr>
          <w:p w14:paraId="0ABBF06D" w14:textId="77777777" w:rsidR="00FA40E8" w:rsidRDefault="00E74AE8">
            <w:pPr>
              <w:pStyle w:val="P68B1DB1-Normal38"/>
              <w:spacing w:after="0"/>
              <w:textAlignment w:val="baseline"/>
              <w:rPr>
                <w:noProof/>
                <w:szCs w:val="22"/>
              </w:rPr>
            </w:pPr>
            <w:r>
              <w:rPr>
                <w:noProof/>
              </w:rPr>
              <w:t xml:space="preserve">E.1.3. Missions conjointes pour la science et l’innovation dans le domaine de la spécialisation intelligente — E.1.3.3. Encourager la science et les entreprises à participer au programme de recherche et </w:t>
            </w:r>
            <w:r>
              <w:rPr>
                <w:noProof/>
              </w:rPr>
              <w:t>d’innovation de l’UE «Horizon Europe» et à d’autres programmes de financement internationaux</w:t>
            </w:r>
          </w:p>
        </w:tc>
        <w:tc>
          <w:tcPr>
            <w:tcW w:w="1177" w:type="dxa"/>
            <w:shd w:val="clear" w:color="auto" w:fill="EAF1DD" w:themeFill="accent3" w:themeFillTint="33"/>
          </w:tcPr>
          <w:p w14:paraId="67034848" w14:textId="77777777" w:rsidR="00FA40E8" w:rsidRDefault="00E74AE8">
            <w:pPr>
              <w:pStyle w:val="P68B1DB1-Normal38"/>
              <w:spacing w:after="0"/>
              <w:jc w:val="center"/>
              <w:rPr>
                <w:noProof/>
                <w:szCs w:val="22"/>
              </w:rPr>
            </w:pPr>
            <w:r>
              <w:rPr>
                <w:noProof/>
              </w:rPr>
              <w:t>Objectif</w:t>
            </w:r>
          </w:p>
        </w:tc>
        <w:tc>
          <w:tcPr>
            <w:tcW w:w="3712" w:type="dxa"/>
            <w:shd w:val="clear" w:color="auto" w:fill="EAF1DD" w:themeFill="accent3" w:themeFillTint="33"/>
          </w:tcPr>
          <w:p w14:paraId="03F8E553" w14:textId="353337D8" w:rsidR="00FA40E8" w:rsidRDefault="00E74AE8">
            <w:pPr>
              <w:pStyle w:val="P68B1DB1-Normal38"/>
              <w:spacing w:after="0"/>
              <w:rPr>
                <w:noProof/>
              </w:rPr>
            </w:pPr>
            <w:r>
              <w:rPr>
                <w:noProof/>
              </w:rPr>
              <w:t>Projets et services de conseil pour les candidats potentiels au programme Horizon Europe issus d’établissements d’enseignement supérieur et de PME bénéfic</w:t>
            </w:r>
            <w:r>
              <w:rPr>
                <w:noProof/>
              </w:rPr>
              <w:t>iant d’un soutien financier</w:t>
            </w:r>
          </w:p>
        </w:tc>
      </w:tr>
      <w:tr w:rsidR="00FA40E8" w14:paraId="7F95E305" w14:textId="77777777">
        <w:trPr>
          <w:cantSplit/>
        </w:trPr>
        <w:tc>
          <w:tcPr>
            <w:tcW w:w="1298" w:type="dxa"/>
            <w:shd w:val="clear" w:color="auto" w:fill="EAF1DD" w:themeFill="accent3" w:themeFillTint="33"/>
            <w:noWrap/>
            <w:vAlign w:val="center"/>
          </w:tcPr>
          <w:p w14:paraId="6C1FC1B3" w14:textId="77777777" w:rsidR="00FA40E8" w:rsidRDefault="00E74AE8">
            <w:pPr>
              <w:pStyle w:val="P68B1DB1-Normal39"/>
              <w:spacing w:after="0"/>
              <w:jc w:val="center"/>
              <w:rPr>
                <w:noProof/>
                <w:color w:val="000000"/>
                <w:szCs w:val="22"/>
              </w:rPr>
            </w:pPr>
            <w:r>
              <w:rPr>
                <w:noProof/>
              </w:rPr>
              <w:t>162</w:t>
            </w:r>
          </w:p>
        </w:tc>
        <w:tc>
          <w:tcPr>
            <w:tcW w:w="3592" w:type="dxa"/>
            <w:shd w:val="clear" w:color="auto" w:fill="EAF1DD" w:themeFill="accent3" w:themeFillTint="33"/>
          </w:tcPr>
          <w:p w14:paraId="1956E25F" w14:textId="77777777" w:rsidR="00FA40E8" w:rsidRDefault="00E74AE8">
            <w:pPr>
              <w:pStyle w:val="P68B1DB1-Normal38"/>
              <w:spacing w:after="0"/>
              <w:rPr>
                <w:noProof/>
                <w:szCs w:val="22"/>
              </w:rPr>
            </w:pPr>
            <w:r>
              <w:rPr>
                <w:noProof/>
              </w:rPr>
              <w:t>F.1.4. Amélioration du respect des obligations fiscales — F.1.4.5. Plus de transparence dans le secteur de la construction</w:t>
            </w:r>
          </w:p>
        </w:tc>
        <w:tc>
          <w:tcPr>
            <w:tcW w:w="1177" w:type="dxa"/>
            <w:shd w:val="clear" w:color="auto" w:fill="EAF1DD" w:themeFill="accent3" w:themeFillTint="33"/>
          </w:tcPr>
          <w:p w14:paraId="3537112E" w14:textId="77777777" w:rsidR="00FA40E8" w:rsidRDefault="00E74AE8">
            <w:pPr>
              <w:pStyle w:val="P68B1DB1-Normal38"/>
              <w:spacing w:after="0"/>
              <w:jc w:val="center"/>
              <w:rPr>
                <w:noProof/>
                <w:szCs w:val="22"/>
              </w:rPr>
            </w:pPr>
            <w:r>
              <w:rPr>
                <w:noProof/>
              </w:rPr>
              <w:t>Étape</w:t>
            </w:r>
          </w:p>
        </w:tc>
        <w:tc>
          <w:tcPr>
            <w:tcW w:w="3712" w:type="dxa"/>
            <w:shd w:val="clear" w:color="auto" w:fill="EAF1DD" w:themeFill="accent3" w:themeFillTint="33"/>
          </w:tcPr>
          <w:p w14:paraId="1C9AF42B" w14:textId="77777777" w:rsidR="00FA40E8" w:rsidRDefault="00E74AE8">
            <w:pPr>
              <w:pStyle w:val="P68B1DB1-Normal38"/>
              <w:spacing w:after="0"/>
              <w:textAlignment w:val="baseline"/>
              <w:rPr>
                <w:noProof/>
                <w:szCs w:val="22"/>
              </w:rPr>
            </w:pPr>
            <w:r>
              <w:rPr>
                <w:noProof/>
              </w:rPr>
              <w:t>Mise en service d’outils numériques permettant l’enregistrement en temps réel des personnes tr</w:t>
            </w:r>
            <w:r>
              <w:rPr>
                <w:noProof/>
              </w:rPr>
              <w:t>availlant dans le secteur de la construction et l’identification de celles qui travaillent illégalement sur des chantiers de construction</w:t>
            </w:r>
          </w:p>
        </w:tc>
      </w:tr>
      <w:tr w:rsidR="00FA40E8" w14:paraId="2033CD38" w14:textId="77777777">
        <w:trPr>
          <w:cantSplit/>
        </w:trPr>
        <w:tc>
          <w:tcPr>
            <w:tcW w:w="1298" w:type="dxa"/>
            <w:shd w:val="clear" w:color="auto" w:fill="EAF1DD" w:themeFill="accent3" w:themeFillTint="33"/>
            <w:noWrap/>
            <w:vAlign w:val="center"/>
          </w:tcPr>
          <w:p w14:paraId="14E0B122" w14:textId="77777777" w:rsidR="00FA40E8" w:rsidRDefault="00E74AE8">
            <w:pPr>
              <w:pStyle w:val="P68B1DB1-Normal39"/>
              <w:spacing w:after="0"/>
              <w:jc w:val="center"/>
              <w:rPr>
                <w:noProof/>
                <w:color w:val="000000"/>
                <w:szCs w:val="22"/>
              </w:rPr>
            </w:pPr>
            <w:r>
              <w:rPr>
                <w:noProof/>
              </w:rPr>
              <w:t>175</w:t>
            </w:r>
          </w:p>
        </w:tc>
        <w:tc>
          <w:tcPr>
            <w:tcW w:w="3592" w:type="dxa"/>
            <w:shd w:val="clear" w:color="auto" w:fill="EAF1DD" w:themeFill="accent3" w:themeFillTint="33"/>
          </w:tcPr>
          <w:p w14:paraId="0AF81ADB" w14:textId="379F4C3A" w:rsidR="00FA40E8" w:rsidRDefault="00E74AE8">
            <w:pPr>
              <w:pStyle w:val="P68B1DB1-Normal38"/>
              <w:spacing w:after="0"/>
              <w:rPr>
                <w:noProof/>
                <w:szCs w:val="22"/>
              </w:rPr>
            </w:pPr>
            <w:r>
              <w:rPr>
                <w:noProof/>
              </w:rPr>
              <w:t xml:space="preserve">F.1.7. Fourniture d’un écosystème de documents électroniques — F.1.7.1. Sous-mesure 1. Création d’une solution </w:t>
            </w:r>
            <w:r>
              <w:rPr>
                <w:noProof/>
              </w:rPr>
              <w:t>pour permettre les reçus électroniques</w:t>
            </w:r>
          </w:p>
        </w:tc>
        <w:tc>
          <w:tcPr>
            <w:tcW w:w="1177" w:type="dxa"/>
            <w:shd w:val="clear" w:color="auto" w:fill="EAF1DD" w:themeFill="accent3" w:themeFillTint="33"/>
          </w:tcPr>
          <w:p w14:paraId="6B2AEB31" w14:textId="77777777" w:rsidR="00FA40E8" w:rsidRDefault="00E74AE8">
            <w:pPr>
              <w:pStyle w:val="P68B1DB1-Normal38"/>
              <w:spacing w:after="0"/>
              <w:jc w:val="center"/>
              <w:rPr>
                <w:noProof/>
                <w:szCs w:val="22"/>
              </w:rPr>
            </w:pPr>
            <w:r>
              <w:rPr>
                <w:noProof/>
              </w:rPr>
              <w:t>Étape</w:t>
            </w:r>
          </w:p>
        </w:tc>
        <w:tc>
          <w:tcPr>
            <w:tcW w:w="3712" w:type="dxa"/>
            <w:shd w:val="clear" w:color="auto" w:fill="EAF1DD" w:themeFill="accent3" w:themeFillTint="33"/>
          </w:tcPr>
          <w:p w14:paraId="688DBA5F" w14:textId="77777777" w:rsidR="00FA40E8" w:rsidRDefault="00E74AE8">
            <w:pPr>
              <w:pStyle w:val="P68B1DB1-Normal38"/>
              <w:spacing w:after="0"/>
              <w:rPr>
                <w:noProof/>
                <w:szCs w:val="22"/>
              </w:rPr>
            </w:pPr>
            <w:r>
              <w:rPr>
                <w:noProof/>
              </w:rPr>
              <w:t>Mise en service de solutions technologiques pour permettre l’utilisation pratique des reçus électroniques dans les processus opérationnels</w:t>
            </w:r>
          </w:p>
        </w:tc>
      </w:tr>
      <w:tr w:rsidR="00FA40E8" w14:paraId="7E156D2F" w14:textId="77777777">
        <w:trPr>
          <w:cantSplit/>
        </w:trPr>
        <w:tc>
          <w:tcPr>
            <w:tcW w:w="1298" w:type="dxa"/>
            <w:shd w:val="clear" w:color="auto" w:fill="EAF1DD" w:themeFill="accent3" w:themeFillTint="33"/>
            <w:noWrap/>
          </w:tcPr>
          <w:p w14:paraId="6A54139A" w14:textId="77777777" w:rsidR="00FA40E8" w:rsidRDefault="00FA40E8">
            <w:pPr>
              <w:spacing w:after="0"/>
              <w:jc w:val="center"/>
              <w:rPr>
                <w:rFonts w:ascii="Times New Roman" w:eastAsia="Times New Roman" w:hAnsi="Times New Roman" w:cs="Times New Roman"/>
                <w:noProof/>
                <w:color w:val="000000"/>
                <w:szCs w:val="22"/>
              </w:rPr>
            </w:pPr>
          </w:p>
        </w:tc>
        <w:tc>
          <w:tcPr>
            <w:tcW w:w="3592" w:type="dxa"/>
            <w:shd w:val="clear" w:color="auto" w:fill="EAF1DD" w:themeFill="accent3" w:themeFillTint="33"/>
          </w:tcPr>
          <w:p w14:paraId="3680E139" w14:textId="77777777" w:rsidR="00FA40E8" w:rsidRDefault="00FA40E8">
            <w:pPr>
              <w:spacing w:after="0"/>
              <w:rPr>
                <w:rFonts w:ascii="Times New Roman" w:eastAsia="Times New Roman" w:hAnsi="Times New Roman" w:cs="Times New Roman"/>
                <w:noProof/>
                <w:color w:val="000000"/>
                <w:szCs w:val="22"/>
              </w:rPr>
            </w:pPr>
          </w:p>
        </w:tc>
        <w:tc>
          <w:tcPr>
            <w:tcW w:w="1177" w:type="dxa"/>
            <w:shd w:val="clear" w:color="auto" w:fill="EAF1DD" w:themeFill="accent3" w:themeFillTint="33"/>
            <w:vAlign w:val="center"/>
          </w:tcPr>
          <w:p w14:paraId="094D1F3A" w14:textId="77777777" w:rsidR="00FA40E8" w:rsidRDefault="00E74AE8">
            <w:pPr>
              <w:pStyle w:val="P68B1DB1-Normal39"/>
              <w:spacing w:after="0"/>
              <w:jc w:val="center"/>
              <w:rPr>
                <w:noProof/>
                <w:color w:val="000000"/>
                <w:szCs w:val="22"/>
              </w:rPr>
            </w:pPr>
            <w:r>
              <w:rPr>
                <w:noProof/>
              </w:rPr>
              <w:t>Montant de l’acompte</w:t>
            </w:r>
          </w:p>
        </w:tc>
        <w:tc>
          <w:tcPr>
            <w:tcW w:w="3712" w:type="dxa"/>
            <w:shd w:val="clear" w:color="auto" w:fill="EAF1DD" w:themeFill="accent3" w:themeFillTint="33"/>
            <w:vAlign w:val="center"/>
          </w:tcPr>
          <w:p w14:paraId="6EB3AD8A" w14:textId="391E511B" w:rsidR="00FA40E8" w:rsidRDefault="00E74AE8">
            <w:pPr>
              <w:spacing w:after="0"/>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60 000 000 EUR</w:t>
            </w:r>
          </w:p>
        </w:tc>
      </w:tr>
    </w:tbl>
    <w:p w14:paraId="170A8D34" w14:textId="61D55CF6" w:rsidR="00FA40E8" w:rsidRDefault="00E74AE8">
      <w:pPr>
        <w:pStyle w:val="P68B1DB1-ListParagraph36"/>
        <w:keepNext/>
        <w:keepLines/>
        <w:numPr>
          <w:ilvl w:val="1"/>
          <w:numId w:val="110"/>
        </w:numPr>
        <w:spacing w:before="480" w:line="240" w:lineRule="auto"/>
        <w:jc w:val="both"/>
        <w:rPr>
          <w:noProof/>
        </w:rPr>
      </w:pPr>
      <w:r>
        <w:rPr>
          <w:noProof/>
        </w:rPr>
        <w:t xml:space="preserve">Sixième tranche (soutien non </w:t>
      </w:r>
      <w:r>
        <w:rPr>
          <w:noProof/>
        </w:rPr>
        <w:t>remboursable</w:t>
      </w:r>
      <w:bookmarkStart w:id="22" w:name="_Int_ka88Cdrp"/>
      <w:r>
        <w:rPr>
          <w:noProof/>
        </w:rPr>
        <w:t>):</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70" w:type="dxa"/>
          <w:bottom w:w="15" w:type="dxa"/>
          <w:right w:w="70" w:type="dxa"/>
        </w:tblCellMar>
        <w:tblLook w:val="04A0" w:firstRow="1" w:lastRow="0" w:firstColumn="1" w:lastColumn="0" w:noHBand="0" w:noVBand="1"/>
      </w:tblPr>
      <w:tblGrid>
        <w:gridCol w:w="1346"/>
        <w:gridCol w:w="3499"/>
        <w:gridCol w:w="1179"/>
        <w:gridCol w:w="3755"/>
      </w:tblGrid>
      <w:tr w:rsidR="00FA40E8" w14:paraId="1DB486EC" w14:textId="77777777">
        <w:trPr>
          <w:cantSplit/>
          <w:trHeight w:val="491"/>
          <w:tblHeader/>
        </w:trPr>
        <w:tc>
          <w:tcPr>
            <w:tcW w:w="1346" w:type="dxa"/>
            <w:shd w:val="clear" w:color="auto" w:fill="BDD7EE"/>
            <w:vAlign w:val="center"/>
          </w:tcPr>
          <w:p w14:paraId="0AD7B160" w14:textId="77777777" w:rsidR="00FA40E8" w:rsidRDefault="00E74AE8">
            <w:pPr>
              <w:pStyle w:val="P68B1DB1-Normal37"/>
              <w:keepNext/>
              <w:keepLines/>
              <w:spacing w:after="0"/>
              <w:jc w:val="center"/>
              <w:rPr>
                <w:bCs/>
                <w:noProof/>
                <w:szCs w:val="22"/>
              </w:rPr>
            </w:pPr>
            <w:r>
              <w:rPr>
                <w:noProof/>
              </w:rPr>
              <w:t>Numéro séquentiel</w:t>
            </w:r>
          </w:p>
        </w:tc>
        <w:tc>
          <w:tcPr>
            <w:tcW w:w="3499" w:type="dxa"/>
            <w:shd w:val="clear" w:color="auto" w:fill="BDD7EE"/>
            <w:vAlign w:val="center"/>
          </w:tcPr>
          <w:p w14:paraId="0FBC6D2B" w14:textId="77777777" w:rsidR="00FA40E8" w:rsidRDefault="00E74AE8">
            <w:pPr>
              <w:pStyle w:val="P68B1DB1-Normal37"/>
              <w:keepNext/>
              <w:keepLines/>
              <w:spacing w:after="0"/>
              <w:jc w:val="center"/>
              <w:rPr>
                <w:bCs/>
                <w:noProof/>
                <w:szCs w:val="22"/>
              </w:rPr>
            </w:pPr>
            <w:r>
              <w:rPr>
                <w:noProof/>
              </w:rPr>
              <w:t xml:space="preserve">Mesure connexe </w:t>
            </w:r>
            <w:r>
              <w:rPr>
                <w:noProof/>
              </w:rPr>
              <w:br/>
              <w:t>(Réforme ou investissement)</w:t>
            </w:r>
          </w:p>
        </w:tc>
        <w:tc>
          <w:tcPr>
            <w:tcW w:w="1179" w:type="dxa"/>
            <w:shd w:val="clear" w:color="auto" w:fill="BDD7EE"/>
            <w:vAlign w:val="center"/>
          </w:tcPr>
          <w:p w14:paraId="4AB4D46D" w14:textId="77777777" w:rsidR="00FA40E8" w:rsidRDefault="00E74AE8">
            <w:pPr>
              <w:pStyle w:val="P68B1DB1-Normal37"/>
              <w:keepNext/>
              <w:keepLines/>
              <w:spacing w:after="0"/>
              <w:jc w:val="center"/>
              <w:rPr>
                <w:bCs/>
                <w:noProof/>
                <w:szCs w:val="22"/>
              </w:rPr>
            </w:pPr>
            <w:r>
              <w:rPr>
                <w:noProof/>
              </w:rPr>
              <w:t>Étape/cible</w:t>
            </w:r>
          </w:p>
        </w:tc>
        <w:tc>
          <w:tcPr>
            <w:tcW w:w="3755" w:type="dxa"/>
            <w:shd w:val="clear" w:color="auto" w:fill="BDD7EE"/>
            <w:vAlign w:val="center"/>
          </w:tcPr>
          <w:p w14:paraId="16463038" w14:textId="77777777" w:rsidR="00FA40E8" w:rsidRDefault="00E74AE8">
            <w:pPr>
              <w:pStyle w:val="P68B1DB1-Normal37"/>
              <w:keepNext/>
              <w:keepLines/>
              <w:spacing w:after="0"/>
              <w:jc w:val="center"/>
              <w:rPr>
                <w:bCs/>
                <w:noProof/>
                <w:szCs w:val="22"/>
              </w:rPr>
            </w:pPr>
            <w:r>
              <w:rPr>
                <w:noProof/>
              </w:rPr>
              <w:t>Nom</w:t>
            </w:r>
          </w:p>
        </w:tc>
      </w:tr>
      <w:tr w:rsidR="00FA40E8" w14:paraId="4DBDE7E5" w14:textId="77777777">
        <w:trPr>
          <w:cantSplit/>
        </w:trPr>
        <w:tc>
          <w:tcPr>
            <w:tcW w:w="1346" w:type="dxa"/>
            <w:shd w:val="clear" w:color="auto" w:fill="EAF1DD" w:themeFill="accent3" w:themeFillTint="33"/>
            <w:noWrap/>
            <w:vAlign w:val="center"/>
          </w:tcPr>
          <w:p w14:paraId="70D499EB" w14:textId="77777777" w:rsidR="00FA40E8" w:rsidRDefault="00E74AE8">
            <w:pPr>
              <w:pStyle w:val="P68B1DB1-Normal39"/>
              <w:spacing w:after="0"/>
              <w:jc w:val="center"/>
              <w:rPr>
                <w:noProof/>
                <w:color w:val="000000"/>
                <w:szCs w:val="22"/>
              </w:rPr>
            </w:pPr>
            <w:r>
              <w:rPr>
                <w:noProof/>
              </w:rPr>
              <w:t>11</w:t>
            </w:r>
          </w:p>
        </w:tc>
        <w:tc>
          <w:tcPr>
            <w:tcW w:w="3499" w:type="dxa"/>
            <w:shd w:val="clear" w:color="auto" w:fill="EAF1DD" w:themeFill="accent3" w:themeFillTint="33"/>
          </w:tcPr>
          <w:p w14:paraId="2721C083" w14:textId="77777777" w:rsidR="00FA40E8" w:rsidRDefault="00E74AE8">
            <w:pPr>
              <w:pStyle w:val="P68B1DB1-Normal38"/>
              <w:spacing w:after="0"/>
              <w:textAlignment w:val="baseline"/>
              <w:rPr>
                <w:noProof/>
                <w:szCs w:val="22"/>
              </w:rPr>
            </w:pPr>
            <w:r>
              <w:rPr>
                <w:noProof/>
              </w:rPr>
              <w:t>A.1.1. Améliorer la qualité et l’accessibilité des services et promouvoir l’innovation</w:t>
            </w:r>
          </w:p>
          <w:p w14:paraId="29D0DAA3" w14:textId="2899ED06" w:rsidR="00FA40E8" w:rsidRDefault="00E74AE8">
            <w:pPr>
              <w:spacing w:after="0"/>
              <w:rPr>
                <w:rFonts w:ascii="Times New Roman" w:eastAsia="Times New Roman" w:hAnsi="Times New Roman" w:cs="Times New Roman"/>
                <w:noProof/>
                <w:sz w:val="20"/>
              </w:rPr>
            </w:pPr>
            <w:r>
              <w:rPr>
                <w:rFonts w:ascii="Times New Roman" w:eastAsia="Times New Roman" w:hAnsi="Times New Roman" w:cs="Times New Roman"/>
                <w:noProof/>
                <w:color w:val="000000" w:themeColor="text1"/>
              </w:rPr>
              <w:t xml:space="preserve">A.1.1.10. H Tableau de </w:t>
            </w:r>
            <w:r>
              <w:rPr>
                <w:rFonts w:ascii="Times New Roman" w:eastAsia="Segoe UI" w:hAnsi="Times New Roman" w:cs="Times New Roman"/>
                <w:noProof/>
                <w:color w:val="333333"/>
              </w:rPr>
              <w:t>bord</w:t>
            </w:r>
            <w:r>
              <w:rPr>
                <w:rFonts w:ascii="Times New Roman" w:eastAsia="Times New Roman" w:hAnsi="Times New Roman" w:cs="Times New Roman"/>
                <w:noProof/>
                <w:color w:val="000000" w:themeColor="text1"/>
              </w:rPr>
              <w:t xml:space="preserve"> de l’indicateur de qualité</w:t>
            </w:r>
            <w:r>
              <w:rPr>
                <w:rFonts w:ascii="Times New Roman" w:hAnsi="Times New Roman" w:cs="Times New Roman"/>
                <w:noProof/>
              </w:rPr>
              <w:t xml:space="preserve"> des services de soins aisés</w:t>
            </w:r>
          </w:p>
        </w:tc>
        <w:tc>
          <w:tcPr>
            <w:tcW w:w="1179" w:type="dxa"/>
            <w:shd w:val="clear" w:color="auto" w:fill="EAF1DD" w:themeFill="accent3" w:themeFillTint="33"/>
          </w:tcPr>
          <w:p w14:paraId="4C60759B" w14:textId="77777777" w:rsidR="00FA40E8" w:rsidRDefault="00E74AE8">
            <w:pPr>
              <w:pStyle w:val="P68B1DB1-Normal38"/>
              <w:spacing w:after="0"/>
              <w:jc w:val="center"/>
              <w:rPr>
                <w:noProof/>
                <w:szCs w:val="22"/>
              </w:rPr>
            </w:pPr>
            <w:r>
              <w:rPr>
                <w:noProof/>
              </w:rPr>
              <w:t>Objectif</w:t>
            </w:r>
          </w:p>
        </w:tc>
        <w:tc>
          <w:tcPr>
            <w:tcW w:w="3755" w:type="dxa"/>
            <w:shd w:val="clear" w:color="auto" w:fill="EAF1DD" w:themeFill="accent3" w:themeFillTint="33"/>
          </w:tcPr>
          <w:p w14:paraId="2B8CA5B5" w14:textId="0DA41CA5" w:rsidR="00FA40E8" w:rsidRDefault="00E74AE8">
            <w:pPr>
              <w:pStyle w:val="P68B1DB1-Normal25"/>
              <w:spacing w:before="60" w:after="60"/>
              <w:jc w:val="both"/>
              <w:rPr>
                <w:rFonts w:eastAsia="Times New Roman" w:cs="Times New Roman"/>
                <w:noProof/>
                <w:color w:val="000000"/>
                <w:szCs w:val="22"/>
              </w:rPr>
            </w:pPr>
            <w:r>
              <w:rPr>
                <w:noProof/>
              </w:rPr>
              <w:t>Tableau de bord de l’indicateur de qualité des services de santé</w:t>
            </w:r>
          </w:p>
        </w:tc>
      </w:tr>
      <w:tr w:rsidR="00FA40E8" w14:paraId="6BBAC262" w14:textId="77777777">
        <w:trPr>
          <w:cantSplit/>
        </w:trPr>
        <w:tc>
          <w:tcPr>
            <w:tcW w:w="1346" w:type="dxa"/>
            <w:shd w:val="clear" w:color="auto" w:fill="EAF1DD" w:themeFill="accent3" w:themeFillTint="33"/>
            <w:noWrap/>
            <w:vAlign w:val="center"/>
          </w:tcPr>
          <w:p w14:paraId="09761F8D" w14:textId="77777777" w:rsidR="00FA40E8" w:rsidRDefault="00E74AE8">
            <w:pPr>
              <w:pStyle w:val="P68B1DB1-Normal39"/>
              <w:spacing w:after="0"/>
              <w:jc w:val="center"/>
              <w:rPr>
                <w:noProof/>
                <w:color w:val="000000"/>
                <w:szCs w:val="22"/>
              </w:rPr>
            </w:pPr>
            <w:r>
              <w:rPr>
                <w:noProof/>
              </w:rPr>
              <w:t>16</w:t>
            </w:r>
          </w:p>
        </w:tc>
        <w:tc>
          <w:tcPr>
            <w:tcW w:w="3499" w:type="dxa"/>
            <w:shd w:val="clear" w:color="auto" w:fill="EAF1DD" w:themeFill="accent3" w:themeFillTint="33"/>
          </w:tcPr>
          <w:p w14:paraId="13A51228" w14:textId="121A7F98" w:rsidR="00FA40E8" w:rsidRDefault="00E74AE8">
            <w:pPr>
              <w:pStyle w:val="P68B1DB1-Normal38"/>
              <w:spacing w:after="0"/>
              <w:textAlignment w:val="baseline"/>
              <w:rPr>
                <w:noProof/>
                <w:szCs w:val="22"/>
              </w:rPr>
            </w:pPr>
            <w:r>
              <w:rPr>
                <w:noProof/>
              </w:rPr>
              <w:t>A.1.2. Fourniture de services de soins de longue durée</w:t>
            </w:r>
          </w:p>
          <w:p w14:paraId="7225B381" w14:textId="56E34386" w:rsidR="00FA40E8" w:rsidRDefault="00E74AE8">
            <w:pPr>
              <w:pStyle w:val="P68B1DB1-Normal38"/>
              <w:spacing w:after="0"/>
              <w:rPr>
                <w:noProof/>
              </w:rPr>
            </w:pPr>
            <w:r>
              <w:rPr>
                <w:noProof/>
              </w:rPr>
              <w:t xml:space="preserve">A.1.2.2. Ressources humaines et capacités des infrastructures pour la fourniture de services </w:t>
            </w:r>
            <w:r>
              <w:rPr>
                <w:noProof/>
              </w:rPr>
              <w:t>de soins de longue durée</w:t>
            </w:r>
          </w:p>
        </w:tc>
        <w:tc>
          <w:tcPr>
            <w:tcW w:w="1179" w:type="dxa"/>
            <w:shd w:val="clear" w:color="auto" w:fill="EAF1DD" w:themeFill="accent3" w:themeFillTint="33"/>
          </w:tcPr>
          <w:p w14:paraId="2B645B18" w14:textId="247CE2B5" w:rsidR="00FA40E8" w:rsidRDefault="00E74AE8">
            <w:pPr>
              <w:pStyle w:val="P68B1DB1-Normal38"/>
              <w:spacing w:after="0"/>
              <w:jc w:val="center"/>
              <w:rPr>
                <w:noProof/>
              </w:rPr>
            </w:pPr>
            <w:r>
              <w:rPr>
                <w:noProof/>
              </w:rPr>
              <w:t>Objectif</w:t>
            </w:r>
          </w:p>
        </w:tc>
        <w:tc>
          <w:tcPr>
            <w:tcW w:w="3755" w:type="dxa"/>
            <w:shd w:val="clear" w:color="auto" w:fill="EAF1DD" w:themeFill="accent3" w:themeFillTint="33"/>
          </w:tcPr>
          <w:p w14:paraId="44076BAE" w14:textId="18E1FE82" w:rsidR="00FA40E8" w:rsidRDefault="00E74AE8">
            <w:pPr>
              <w:pStyle w:val="P68B1DB1-Normal38"/>
              <w:spacing w:before="60" w:after="60"/>
              <w:rPr>
                <w:noProof/>
                <w:szCs w:val="22"/>
              </w:rPr>
            </w:pPr>
            <w:r>
              <w:rPr>
                <w:noProof/>
              </w:rPr>
              <w:t>Ressources humaines et capacités de l’infrastructure</w:t>
            </w:r>
          </w:p>
        </w:tc>
      </w:tr>
      <w:tr w:rsidR="00FA40E8" w14:paraId="7081D459" w14:textId="77777777">
        <w:trPr>
          <w:cantSplit/>
        </w:trPr>
        <w:tc>
          <w:tcPr>
            <w:tcW w:w="1346" w:type="dxa"/>
            <w:shd w:val="clear" w:color="auto" w:fill="EAF1DD" w:themeFill="accent3" w:themeFillTint="33"/>
            <w:noWrap/>
            <w:vAlign w:val="center"/>
          </w:tcPr>
          <w:p w14:paraId="1169FF4B" w14:textId="77777777" w:rsidR="00FA40E8" w:rsidRDefault="00E74AE8">
            <w:pPr>
              <w:pStyle w:val="P68B1DB1-Normal39"/>
              <w:spacing w:after="0"/>
              <w:jc w:val="center"/>
              <w:rPr>
                <w:noProof/>
                <w:color w:val="000000" w:themeColor="text1"/>
              </w:rPr>
            </w:pPr>
            <w:r>
              <w:rPr>
                <w:noProof/>
              </w:rPr>
              <w:t>22</w:t>
            </w:r>
          </w:p>
        </w:tc>
        <w:tc>
          <w:tcPr>
            <w:tcW w:w="3499" w:type="dxa"/>
            <w:shd w:val="clear" w:color="auto" w:fill="EAF1DD" w:themeFill="accent3" w:themeFillTint="33"/>
          </w:tcPr>
          <w:p w14:paraId="4F6E05D6" w14:textId="2E51139A" w:rsidR="00FA40E8" w:rsidRDefault="00E74AE8">
            <w:pPr>
              <w:pStyle w:val="P68B1DB1-Normal38"/>
              <w:spacing w:after="0"/>
              <w:rPr>
                <w:noProof/>
                <w:color w:val="000000" w:themeColor="text1"/>
              </w:rPr>
            </w:pPr>
            <w:r>
              <w:rPr>
                <w:noProof/>
              </w:rPr>
              <w:t>B. 1.1 Production d’électricité plus durable dans le pays — B.1.1.1 Travaux préparatoires pour les centrales éoliennes en mer et les infrastructures connexes</w:t>
            </w:r>
          </w:p>
        </w:tc>
        <w:tc>
          <w:tcPr>
            <w:tcW w:w="1179" w:type="dxa"/>
            <w:shd w:val="clear" w:color="auto" w:fill="EAF1DD" w:themeFill="accent3" w:themeFillTint="33"/>
          </w:tcPr>
          <w:p w14:paraId="5747F061" w14:textId="77777777" w:rsidR="00FA40E8" w:rsidRDefault="00E74AE8">
            <w:pPr>
              <w:pStyle w:val="P68B1DB1-Normal38"/>
              <w:spacing w:after="0"/>
              <w:jc w:val="center"/>
              <w:rPr>
                <w:noProof/>
                <w:color w:val="000000" w:themeColor="text1"/>
              </w:rPr>
            </w:pPr>
            <w:r>
              <w:rPr>
                <w:noProof/>
              </w:rPr>
              <w:t>Étape</w:t>
            </w:r>
          </w:p>
        </w:tc>
        <w:tc>
          <w:tcPr>
            <w:tcW w:w="3755" w:type="dxa"/>
            <w:shd w:val="clear" w:color="auto" w:fill="EAF1DD" w:themeFill="accent3" w:themeFillTint="33"/>
          </w:tcPr>
          <w:p w14:paraId="24573107" w14:textId="4A841CDF" w:rsidR="00FA40E8" w:rsidRDefault="00E74AE8">
            <w:pPr>
              <w:pStyle w:val="P68B1DB1-Normal38"/>
              <w:spacing w:before="60" w:after="60"/>
              <w:rPr>
                <w:strike/>
                <w:noProof/>
                <w:color w:val="000000" w:themeColor="text1"/>
                <w:sz w:val="20"/>
              </w:rPr>
            </w:pPr>
            <w:r>
              <w:rPr>
                <w:noProof/>
              </w:rPr>
              <w:t>Réalisation des travaux préparatoires pour les centrales éoliennes en mer et les infrastructures connexes</w:t>
            </w:r>
          </w:p>
        </w:tc>
      </w:tr>
      <w:tr w:rsidR="00FA40E8" w14:paraId="1DB08772" w14:textId="77777777">
        <w:trPr>
          <w:cantSplit/>
        </w:trPr>
        <w:tc>
          <w:tcPr>
            <w:tcW w:w="1346" w:type="dxa"/>
            <w:shd w:val="clear" w:color="auto" w:fill="EAF1DD" w:themeFill="accent3" w:themeFillTint="33"/>
            <w:noWrap/>
            <w:vAlign w:val="center"/>
          </w:tcPr>
          <w:p w14:paraId="19FCC2FA" w14:textId="77777777" w:rsidR="00FA40E8" w:rsidRDefault="00E74AE8">
            <w:pPr>
              <w:pStyle w:val="P68B1DB1-Normal39"/>
              <w:spacing w:after="0"/>
              <w:jc w:val="center"/>
              <w:rPr>
                <w:noProof/>
                <w:color w:val="000000"/>
                <w:szCs w:val="22"/>
              </w:rPr>
            </w:pPr>
            <w:r>
              <w:rPr>
                <w:noProof/>
              </w:rPr>
              <w:t>51</w:t>
            </w:r>
          </w:p>
        </w:tc>
        <w:tc>
          <w:tcPr>
            <w:tcW w:w="3499" w:type="dxa"/>
            <w:shd w:val="clear" w:color="auto" w:fill="EAF1DD" w:themeFill="accent3" w:themeFillTint="33"/>
          </w:tcPr>
          <w:p w14:paraId="10D0BE4D" w14:textId="77777777" w:rsidR="00FA40E8" w:rsidRDefault="00E74AE8">
            <w:pPr>
              <w:pStyle w:val="P68B1DB1-Normal38"/>
              <w:spacing w:after="0"/>
              <w:rPr>
                <w:noProof/>
                <w:szCs w:val="22"/>
              </w:rPr>
            </w:pPr>
            <w:r>
              <w:rPr>
                <w:noProof/>
              </w:rPr>
              <w:t>B.1.3 Accélérer la rénovation des bâtiments et un environnement urbain durable — B.1.3.2. Outils pour faciliter la coordination de la rénovation d</w:t>
            </w:r>
            <w:r>
              <w:rPr>
                <w:noProof/>
              </w:rPr>
              <w:t>es bâtiments et l’assistance technique</w:t>
            </w:r>
          </w:p>
        </w:tc>
        <w:tc>
          <w:tcPr>
            <w:tcW w:w="1179" w:type="dxa"/>
            <w:shd w:val="clear" w:color="auto" w:fill="EAF1DD" w:themeFill="accent3" w:themeFillTint="33"/>
          </w:tcPr>
          <w:p w14:paraId="33213C68" w14:textId="77777777" w:rsidR="00FA40E8" w:rsidRDefault="00E74AE8">
            <w:pPr>
              <w:pStyle w:val="P68B1DB1-Normal38"/>
              <w:spacing w:after="0"/>
              <w:jc w:val="center"/>
              <w:rPr>
                <w:noProof/>
                <w:szCs w:val="22"/>
              </w:rPr>
            </w:pPr>
            <w:r>
              <w:rPr>
                <w:noProof/>
              </w:rPr>
              <w:t>Objectif</w:t>
            </w:r>
          </w:p>
        </w:tc>
        <w:tc>
          <w:tcPr>
            <w:tcW w:w="3755" w:type="dxa"/>
            <w:shd w:val="clear" w:color="auto" w:fill="EAF1DD" w:themeFill="accent3" w:themeFillTint="33"/>
          </w:tcPr>
          <w:p w14:paraId="1D17309C" w14:textId="2046C9D0" w:rsidR="00FA40E8" w:rsidRDefault="00E74AE8">
            <w:pPr>
              <w:pStyle w:val="P68B1DB1-Normal38"/>
              <w:spacing w:after="0"/>
              <w:rPr>
                <w:noProof/>
              </w:rPr>
            </w:pPr>
            <w:r>
              <w:rPr>
                <w:noProof/>
              </w:rPr>
              <w:t>Fourniture d’outils numériques liés à la rénovation</w:t>
            </w:r>
          </w:p>
        </w:tc>
      </w:tr>
      <w:tr w:rsidR="00FA40E8" w14:paraId="4977ED0B" w14:textId="77777777">
        <w:trPr>
          <w:cantSplit/>
          <w:trHeight w:val="300"/>
        </w:trPr>
        <w:tc>
          <w:tcPr>
            <w:tcW w:w="1346" w:type="dxa"/>
            <w:shd w:val="clear" w:color="auto" w:fill="EAF1DD" w:themeFill="accent3" w:themeFillTint="33"/>
            <w:noWrap/>
            <w:vAlign w:val="center"/>
          </w:tcPr>
          <w:p w14:paraId="5402A35A" w14:textId="463D1DAB" w:rsidR="00FA40E8" w:rsidRDefault="00E74AE8">
            <w:pPr>
              <w:pStyle w:val="P68B1DB1-Normal39"/>
              <w:jc w:val="center"/>
              <w:rPr>
                <w:noProof/>
              </w:rPr>
            </w:pPr>
            <w:r>
              <w:rPr>
                <w:noProof/>
              </w:rPr>
              <w:t>58c</w:t>
            </w:r>
          </w:p>
        </w:tc>
        <w:tc>
          <w:tcPr>
            <w:tcW w:w="3499" w:type="dxa"/>
            <w:shd w:val="clear" w:color="auto" w:fill="EAF1DD" w:themeFill="accent3" w:themeFillTint="33"/>
          </w:tcPr>
          <w:p w14:paraId="6BE5DEF7" w14:textId="7C1CF79A" w:rsidR="00FA40E8" w:rsidRDefault="00E74AE8">
            <w:pPr>
              <w:pStyle w:val="P68B1DB1-Normal38"/>
              <w:spacing w:after="0"/>
              <w:rPr>
                <w:noProof/>
                <w:color w:val="000000" w:themeColor="text1"/>
              </w:rPr>
            </w:pPr>
            <w:r>
              <w:rPr>
                <w:noProof/>
              </w:rPr>
              <w:t>B.1.6. Transparence des informations relatives au raccordement au réseau électrique</w:t>
            </w:r>
          </w:p>
        </w:tc>
        <w:tc>
          <w:tcPr>
            <w:tcW w:w="1179" w:type="dxa"/>
            <w:shd w:val="clear" w:color="auto" w:fill="EAF1DD" w:themeFill="accent3" w:themeFillTint="33"/>
          </w:tcPr>
          <w:p w14:paraId="1646517E" w14:textId="5345B5D7" w:rsidR="00FA40E8" w:rsidRDefault="00E74AE8">
            <w:pPr>
              <w:pStyle w:val="P68B1DB1-Normal38"/>
              <w:jc w:val="center"/>
              <w:rPr>
                <w:noProof/>
                <w:color w:val="000000" w:themeColor="text1"/>
              </w:rPr>
            </w:pPr>
            <w:r>
              <w:rPr>
                <w:noProof/>
              </w:rPr>
              <w:t>Étape</w:t>
            </w:r>
          </w:p>
        </w:tc>
        <w:tc>
          <w:tcPr>
            <w:tcW w:w="3755" w:type="dxa"/>
            <w:shd w:val="clear" w:color="auto" w:fill="EAF1DD" w:themeFill="accent3" w:themeFillTint="33"/>
          </w:tcPr>
          <w:p w14:paraId="1D205072" w14:textId="56973D72" w:rsidR="00FA40E8" w:rsidRDefault="00E74AE8">
            <w:pPr>
              <w:pStyle w:val="P68B1DB1-Normal38"/>
              <w:spacing w:after="0"/>
              <w:rPr>
                <w:noProof/>
                <w:color w:val="000000" w:themeColor="text1"/>
              </w:rPr>
            </w:pPr>
            <w:r>
              <w:rPr>
                <w:noProof/>
              </w:rPr>
              <w:t>Entrée en vigueur de la législation</w:t>
            </w:r>
          </w:p>
        </w:tc>
      </w:tr>
      <w:tr w:rsidR="00FA40E8" w14:paraId="4B4F6F0D" w14:textId="77777777">
        <w:trPr>
          <w:cantSplit/>
          <w:trHeight w:val="300"/>
        </w:trPr>
        <w:tc>
          <w:tcPr>
            <w:tcW w:w="1346" w:type="dxa"/>
            <w:shd w:val="clear" w:color="auto" w:fill="EAF1DD" w:themeFill="accent3" w:themeFillTint="33"/>
            <w:noWrap/>
            <w:vAlign w:val="center"/>
          </w:tcPr>
          <w:p w14:paraId="34D46578" w14:textId="3EC0DDA8" w:rsidR="00FA40E8" w:rsidRDefault="00E74AE8">
            <w:pPr>
              <w:pStyle w:val="P68B1DB1-Normal39"/>
              <w:jc w:val="center"/>
              <w:rPr>
                <w:noProof/>
              </w:rPr>
            </w:pPr>
            <w:r>
              <w:rPr>
                <w:noProof/>
              </w:rPr>
              <w:t>65</w:t>
            </w:r>
          </w:p>
        </w:tc>
        <w:tc>
          <w:tcPr>
            <w:tcW w:w="3499" w:type="dxa"/>
            <w:shd w:val="clear" w:color="auto" w:fill="EAF1DD" w:themeFill="accent3" w:themeFillTint="33"/>
          </w:tcPr>
          <w:p w14:paraId="41584938" w14:textId="7C7441CA" w:rsidR="00FA40E8" w:rsidRDefault="00E74AE8">
            <w:pPr>
              <w:pStyle w:val="P68B1DB1-Normal38"/>
              <w:rPr>
                <w:noProof/>
                <w:color w:val="000000" w:themeColor="text1"/>
              </w:rPr>
            </w:pPr>
            <w:r>
              <w:rPr>
                <w:noProof/>
              </w:rPr>
              <w:t xml:space="preserve">C.1.2 Gestion des </w:t>
            </w:r>
            <w:r>
              <w:rPr>
                <w:noProof/>
              </w:rPr>
              <w:t>données et données ouvertes</w:t>
            </w:r>
          </w:p>
        </w:tc>
        <w:tc>
          <w:tcPr>
            <w:tcW w:w="1179" w:type="dxa"/>
            <w:shd w:val="clear" w:color="auto" w:fill="EAF1DD" w:themeFill="accent3" w:themeFillTint="33"/>
          </w:tcPr>
          <w:p w14:paraId="6232B082" w14:textId="22ACC23E" w:rsidR="00FA40E8" w:rsidRDefault="00E74AE8">
            <w:pPr>
              <w:pStyle w:val="P68B1DB1-Normal38"/>
              <w:jc w:val="center"/>
              <w:rPr>
                <w:noProof/>
              </w:rPr>
            </w:pPr>
            <w:r>
              <w:rPr>
                <w:noProof/>
              </w:rPr>
              <w:t>Objectif</w:t>
            </w:r>
          </w:p>
        </w:tc>
        <w:tc>
          <w:tcPr>
            <w:tcW w:w="3755" w:type="dxa"/>
            <w:shd w:val="clear" w:color="auto" w:fill="EAF1DD" w:themeFill="accent3" w:themeFillTint="33"/>
          </w:tcPr>
          <w:p w14:paraId="6DA2F43A" w14:textId="4D60B63C" w:rsidR="00FA40E8" w:rsidRDefault="00E74AE8">
            <w:pPr>
              <w:pStyle w:val="P68B1DB1-Normal38"/>
              <w:rPr>
                <w:noProof/>
              </w:rPr>
            </w:pPr>
            <w:r>
              <w:rPr>
                <w:noProof/>
              </w:rPr>
              <w:t>Fourniture d’un modèle de gestion des données</w:t>
            </w:r>
          </w:p>
        </w:tc>
      </w:tr>
      <w:tr w:rsidR="00FA40E8" w14:paraId="40E2D054" w14:textId="77777777">
        <w:trPr>
          <w:cantSplit/>
          <w:trHeight w:val="300"/>
        </w:trPr>
        <w:tc>
          <w:tcPr>
            <w:tcW w:w="1346" w:type="dxa"/>
            <w:shd w:val="clear" w:color="auto" w:fill="EAF1DD" w:themeFill="accent3" w:themeFillTint="33"/>
            <w:noWrap/>
            <w:vAlign w:val="center"/>
          </w:tcPr>
          <w:p w14:paraId="43C0B81A" w14:textId="1ADCE1D5" w:rsidR="00FA40E8" w:rsidRDefault="00E74AE8">
            <w:pPr>
              <w:pStyle w:val="P68B1DB1-Normal39"/>
              <w:jc w:val="center"/>
              <w:rPr>
                <w:noProof/>
              </w:rPr>
            </w:pPr>
            <w:r>
              <w:rPr>
                <w:noProof/>
              </w:rPr>
              <w:t>78</w:t>
            </w:r>
          </w:p>
        </w:tc>
        <w:tc>
          <w:tcPr>
            <w:tcW w:w="3499" w:type="dxa"/>
            <w:shd w:val="clear" w:color="auto" w:fill="EAF1DD" w:themeFill="accent3" w:themeFillTint="33"/>
          </w:tcPr>
          <w:p w14:paraId="7DDE9C30" w14:textId="0F89352A" w:rsidR="00FA40E8" w:rsidRDefault="00E74AE8">
            <w:pPr>
              <w:pStyle w:val="P68B1DB1-Normal38"/>
              <w:spacing w:after="0"/>
              <w:rPr>
                <w:noProof/>
                <w:color w:val="000000" w:themeColor="text1"/>
              </w:rPr>
            </w:pPr>
            <w:r>
              <w:rPr>
                <w:noProof/>
              </w:rPr>
              <w:t>C.1.4 Solutions technologiques dans les affaires et la vie quotidienne — C.1.4.2. Numérisation des ressources culturelles</w:t>
            </w:r>
          </w:p>
        </w:tc>
        <w:tc>
          <w:tcPr>
            <w:tcW w:w="1179" w:type="dxa"/>
            <w:shd w:val="clear" w:color="auto" w:fill="EAF1DD" w:themeFill="accent3" w:themeFillTint="33"/>
          </w:tcPr>
          <w:p w14:paraId="7EE9753F" w14:textId="48090803" w:rsidR="00FA40E8" w:rsidRDefault="00E74AE8">
            <w:pPr>
              <w:pStyle w:val="P68B1DB1-Normal38"/>
              <w:jc w:val="center"/>
              <w:rPr>
                <w:noProof/>
              </w:rPr>
            </w:pPr>
            <w:r>
              <w:rPr>
                <w:noProof/>
              </w:rPr>
              <w:t>Objectif</w:t>
            </w:r>
          </w:p>
        </w:tc>
        <w:tc>
          <w:tcPr>
            <w:tcW w:w="3755" w:type="dxa"/>
            <w:shd w:val="clear" w:color="auto" w:fill="EAF1DD" w:themeFill="accent3" w:themeFillTint="33"/>
          </w:tcPr>
          <w:p w14:paraId="392F4BE1" w14:textId="48B988EE" w:rsidR="00FA40E8" w:rsidRDefault="00E74AE8">
            <w:pPr>
              <w:pStyle w:val="P68B1DB1-Normal38"/>
              <w:rPr>
                <w:noProof/>
                <w:color w:val="000000" w:themeColor="text1"/>
              </w:rPr>
            </w:pPr>
            <w:r>
              <w:rPr>
                <w:noProof/>
              </w:rPr>
              <w:t xml:space="preserve">Ressources numériques (électroniques) </w:t>
            </w:r>
            <w:r>
              <w:rPr>
                <w:noProof/>
              </w:rPr>
              <w:t>mises à la disposition des personnes handicapées</w:t>
            </w:r>
          </w:p>
        </w:tc>
      </w:tr>
      <w:tr w:rsidR="00FA40E8" w14:paraId="1B5946CF" w14:textId="77777777">
        <w:trPr>
          <w:cantSplit/>
          <w:trHeight w:val="300"/>
        </w:trPr>
        <w:tc>
          <w:tcPr>
            <w:tcW w:w="1346" w:type="dxa"/>
            <w:shd w:val="clear" w:color="auto" w:fill="EAF1DD" w:themeFill="accent3" w:themeFillTint="33"/>
            <w:noWrap/>
            <w:vAlign w:val="center"/>
          </w:tcPr>
          <w:p w14:paraId="0722084C" w14:textId="558DD12B" w:rsidR="00FA40E8" w:rsidRDefault="00E74AE8">
            <w:pPr>
              <w:pStyle w:val="P68B1DB1-Normal39"/>
              <w:jc w:val="center"/>
              <w:rPr>
                <w:noProof/>
              </w:rPr>
            </w:pPr>
            <w:r>
              <w:rPr>
                <w:noProof/>
              </w:rPr>
              <w:t>85</w:t>
            </w:r>
          </w:p>
        </w:tc>
        <w:tc>
          <w:tcPr>
            <w:tcW w:w="3499" w:type="dxa"/>
            <w:shd w:val="clear" w:color="auto" w:fill="EAF1DD" w:themeFill="accent3" w:themeFillTint="33"/>
          </w:tcPr>
          <w:p w14:paraId="150DC0F0" w14:textId="6D95981B" w:rsidR="00FA40E8" w:rsidRDefault="00E74AE8">
            <w:pPr>
              <w:pStyle w:val="P68B1DB1-Normal38"/>
              <w:spacing w:before="60" w:after="60"/>
              <w:rPr>
                <w:noProof/>
                <w:szCs w:val="22"/>
              </w:rPr>
            </w:pPr>
            <w:r>
              <w:rPr>
                <w:noProof/>
              </w:rPr>
              <w:t>C.1.5 Étape vers la 5G — C.1.5.1. Feuille de route pour la 5G</w:t>
            </w:r>
          </w:p>
        </w:tc>
        <w:tc>
          <w:tcPr>
            <w:tcW w:w="1179" w:type="dxa"/>
            <w:shd w:val="clear" w:color="auto" w:fill="EAF1DD" w:themeFill="accent3" w:themeFillTint="33"/>
          </w:tcPr>
          <w:p w14:paraId="0AA1167C" w14:textId="5F61D839" w:rsidR="00FA40E8" w:rsidRDefault="00E74AE8">
            <w:pPr>
              <w:pStyle w:val="P68B1DB1-Normal38"/>
              <w:jc w:val="center"/>
              <w:rPr>
                <w:noProof/>
              </w:rPr>
            </w:pPr>
            <w:r>
              <w:rPr>
                <w:noProof/>
              </w:rPr>
              <w:t>Objectif</w:t>
            </w:r>
          </w:p>
        </w:tc>
        <w:tc>
          <w:tcPr>
            <w:tcW w:w="3755" w:type="dxa"/>
            <w:shd w:val="clear" w:color="auto" w:fill="EAF1DD" w:themeFill="accent3" w:themeFillTint="33"/>
          </w:tcPr>
          <w:p w14:paraId="16886261" w14:textId="1154B314" w:rsidR="00FA40E8" w:rsidRDefault="00E74AE8">
            <w:pPr>
              <w:pStyle w:val="P68B1DB1-Normal38"/>
              <w:spacing w:after="0"/>
              <w:rPr>
                <w:noProof/>
                <w:color w:val="000000" w:themeColor="text1"/>
              </w:rPr>
            </w:pPr>
            <w:r>
              <w:rPr>
                <w:noProof/>
              </w:rPr>
              <w:t>Services 5G dans les zones urbaines et autres axes routiers et ferroviaires d’importance nationale, aéroports et ports maritimes</w:t>
            </w:r>
          </w:p>
        </w:tc>
      </w:tr>
      <w:tr w:rsidR="00FA40E8" w14:paraId="436B1E9D" w14:textId="77777777">
        <w:trPr>
          <w:cantSplit/>
          <w:trHeight w:val="300"/>
        </w:trPr>
        <w:tc>
          <w:tcPr>
            <w:tcW w:w="1346" w:type="dxa"/>
            <w:shd w:val="clear" w:color="auto" w:fill="EAF1DD" w:themeFill="accent3" w:themeFillTint="33"/>
            <w:noWrap/>
            <w:vAlign w:val="center"/>
          </w:tcPr>
          <w:p w14:paraId="3998AEE7" w14:textId="14176A05" w:rsidR="00FA40E8" w:rsidRDefault="00E74AE8">
            <w:pPr>
              <w:pStyle w:val="P68B1DB1-Normal39"/>
              <w:jc w:val="center"/>
              <w:rPr>
                <w:noProof/>
              </w:rPr>
            </w:pPr>
            <w:r>
              <w:rPr>
                <w:noProof/>
              </w:rPr>
              <w:t>14</w:t>
            </w:r>
            <w:r>
              <w:rPr>
                <w:noProof/>
              </w:rPr>
              <w:t>1</w:t>
            </w:r>
          </w:p>
        </w:tc>
        <w:tc>
          <w:tcPr>
            <w:tcW w:w="3499" w:type="dxa"/>
            <w:shd w:val="clear" w:color="auto" w:fill="EAF1DD" w:themeFill="accent3" w:themeFillTint="33"/>
          </w:tcPr>
          <w:p w14:paraId="437F40EE" w14:textId="7C69DE1B" w:rsidR="00FA40E8" w:rsidRDefault="00E74AE8">
            <w:pPr>
              <w:pStyle w:val="P68B1DB1-Normal38"/>
              <w:spacing w:after="0"/>
              <w:rPr>
                <w:noProof/>
                <w:color w:val="000000" w:themeColor="text1"/>
              </w:rPr>
            </w:pPr>
            <w:r>
              <w:rPr>
                <w:noProof/>
              </w:rPr>
              <w:t>F.1.1. Secteur public efficace — F.1.1.2 Mise en place d’une plateforme d’apprentissage à distance pour les employés du secteur public</w:t>
            </w:r>
          </w:p>
        </w:tc>
        <w:tc>
          <w:tcPr>
            <w:tcW w:w="1179" w:type="dxa"/>
            <w:shd w:val="clear" w:color="auto" w:fill="EAF1DD" w:themeFill="accent3" w:themeFillTint="33"/>
          </w:tcPr>
          <w:p w14:paraId="0508D07E" w14:textId="3C23173E" w:rsidR="00FA40E8" w:rsidRDefault="00E74AE8">
            <w:pPr>
              <w:pStyle w:val="P68B1DB1-Normal38"/>
              <w:jc w:val="center"/>
              <w:rPr>
                <w:noProof/>
              </w:rPr>
            </w:pPr>
            <w:r>
              <w:rPr>
                <w:noProof/>
              </w:rPr>
              <w:t>Étape</w:t>
            </w:r>
          </w:p>
        </w:tc>
        <w:tc>
          <w:tcPr>
            <w:tcW w:w="3755" w:type="dxa"/>
            <w:shd w:val="clear" w:color="auto" w:fill="EAF1DD" w:themeFill="accent3" w:themeFillTint="33"/>
          </w:tcPr>
          <w:p w14:paraId="0C54D81C" w14:textId="74F90373" w:rsidR="00FA40E8" w:rsidRDefault="00E74AE8">
            <w:pPr>
              <w:pStyle w:val="P68B1DB1-Normal38"/>
              <w:rPr>
                <w:noProof/>
                <w:color w:val="000000" w:themeColor="text1"/>
              </w:rPr>
            </w:pPr>
            <w:r>
              <w:rPr>
                <w:noProof/>
              </w:rPr>
              <w:t xml:space="preserve">Mise en place d’une plateforme d’apprentissage à distance pour les compétences numériques, financières, </w:t>
            </w:r>
            <w:r>
              <w:rPr>
                <w:noProof/>
              </w:rPr>
              <w:t>analytiques et de leadership</w:t>
            </w:r>
          </w:p>
        </w:tc>
      </w:tr>
      <w:tr w:rsidR="00FA40E8" w14:paraId="35A2D9E0" w14:textId="77777777">
        <w:trPr>
          <w:cantSplit/>
          <w:trHeight w:val="300"/>
        </w:trPr>
        <w:tc>
          <w:tcPr>
            <w:tcW w:w="1346" w:type="dxa"/>
            <w:shd w:val="clear" w:color="auto" w:fill="EAF1DD" w:themeFill="accent3" w:themeFillTint="33"/>
            <w:noWrap/>
            <w:vAlign w:val="center"/>
          </w:tcPr>
          <w:p w14:paraId="125107A8" w14:textId="20DC7E69" w:rsidR="00FA40E8" w:rsidRDefault="00E74AE8">
            <w:pPr>
              <w:pStyle w:val="P68B1DB1-Normal39"/>
              <w:jc w:val="center"/>
              <w:rPr>
                <w:noProof/>
              </w:rPr>
            </w:pPr>
            <w:r>
              <w:rPr>
                <w:noProof/>
              </w:rPr>
              <w:t>163</w:t>
            </w:r>
          </w:p>
        </w:tc>
        <w:tc>
          <w:tcPr>
            <w:tcW w:w="3499" w:type="dxa"/>
            <w:shd w:val="clear" w:color="auto" w:fill="EAF1DD" w:themeFill="accent3" w:themeFillTint="33"/>
          </w:tcPr>
          <w:p w14:paraId="79848247" w14:textId="621F56E9" w:rsidR="00FA40E8" w:rsidRDefault="00E74AE8">
            <w:pPr>
              <w:pStyle w:val="P68B1DB1-Normal38"/>
              <w:spacing w:after="0"/>
              <w:rPr>
                <w:noProof/>
                <w:color w:val="000000" w:themeColor="text1"/>
              </w:rPr>
            </w:pPr>
            <w:r>
              <w:rPr>
                <w:noProof/>
              </w:rPr>
              <w:t>F.1.4. Amélioration du respect des obligations fiscales — F.1.4.5. Plus de transparence dans le secteur de la construction</w:t>
            </w:r>
          </w:p>
        </w:tc>
        <w:tc>
          <w:tcPr>
            <w:tcW w:w="1179" w:type="dxa"/>
            <w:shd w:val="clear" w:color="auto" w:fill="EAF1DD" w:themeFill="accent3" w:themeFillTint="33"/>
          </w:tcPr>
          <w:p w14:paraId="54346662" w14:textId="38406503" w:rsidR="00FA40E8" w:rsidRDefault="00E74AE8">
            <w:pPr>
              <w:pStyle w:val="P68B1DB1-Normal38"/>
              <w:jc w:val="center"/>
              <w:rPr>
                <w:noProof/>
                <w:color w:val="000000" w:themeColor="text1"/>
              </w:rPr>
            </w:pPr>
            <w:r>
              <w:rPr>
                <w:noProof/>
              </w:rPr>
              <w:t>Objectif</w:t>
            </w:r>
          </w:p>
        </w:tc>
        <w:tc>
          <w:tcPr>
            <w:tcW w:w="3755" w:type="dxa"/>
            <w:shd w:val="clear" w:color="auto" w:fill="EAF1DD" w:themeFill="accent3" w:themeFillTint="33"/>
          </w:tcPr>
          <w:p w14:paraId="52424DBC" w14:textId="3315B075" w:rsidR="00FA40E8" w:rsidRDefault="00E74AE8">
            <w:pPr>
              <w:pStyle w:val="P68B1DB1-Normal38"/>
              <w:spacing w:after="0"/>
              <w:rPr>
                <w:noProof/>
                <w:color w:val="000000" w:themeColor="text1"/>
              </w:rPr>
            </w:pPr>
            <w:r>
              <w:rPr>
                <w:noProof/>
              </w:rPr>
              <w:t>Travailleurs identifiables électroniquement utilisant Transparent Worker ID sur les chanti</w:t>
            </w:r>
            <w:r>
              <w:rPr>
                <w:noProof/>
              </w:rPr>
              <w:t>ers de construction</w:t>
            </w:r>
          </w:p>
        </w:tc>
      </w:tr>
      <w:tr w:rsidR="00FA40E8" w14:paraId="59B812BD" w14:textId="77777777">
        <w:trPr>
          <w:cantSplit/>
          <w:trHeight w:val="300"/>
        </w:trPr>
        <w:tc>
          <w:tcPr>
            <w:tcW w:w="1346" w:type="dxa"/>
            <w:shd w:val="clear" w:color="auto" w:fill="EAF1DD" w:themeFill="accent3" w:themeFillTint="33"/>
            <w:noWrap/>
            <w:vAlign w:val="center"/>
          </w:tcPr>
          <w:p w14:paraId="3C96B2E0" w14:textId="765B9847" w:rsidR="00FA40E8" w:rsidRDefault="00E74AE8">
            <w:pPr>
              <w:pStyle w:val="P68B1DB1-Normal39"/>
              <w:jc w:val="center"/>
              <w:rPr>
                <w:noProof/>
              </w:rPr>
            </w:pPr>
            <w:r>
              <w:rPr>
                <w:noProof/>
              </w:rPr>
              <w:t>164</w:t>
            </w:r>
          </w:p>
        </w:tc>
        <w:tc>
          <w:tcPr>
            <w:tcW w:w="3499" w:type="dxa"/>
            <w:shd w:val="clear" w:color="auto" w:fill="EAF1DD" w:themeFill="accent3" w:themeFillTint="33"/>
          </w:tcPr>
          <w:p w14:paraId="3E579392" w14:textId="06563BBA" w:rsidR="00FA40E8" w:rsidRDefault="00E74AE8">
            <w:pPr>
              <w:pStyle w:val="P68B1DB1-Normal38"/>
              <w:spacing w:after="0"/>
              <w:rPr>
                <w:noProof/>
                <w:color w:val="000000" w:themeColor="text1"/>
              </w:rPr>
            </w:pPr>
            <w:r>
              <w:rPr>
                <w:noProof/>
              </w:rPr>
              <w:t>F.1.5. Outils mis à la disposition des entreprises pour gérer le risque d’insolvabilité des entreprises</w:t>
            </w:r>
          </w:p>
        </w:tc>
        <w:tc>
          <w:tcPr>
            <w:tcW w:w="1179" w:type="dxa"/>
            <w:shd w:val="clear" w:color="auto" w:fill="EAF1DD" w:themeFill="accent3" w:themeFillTint="33"/>
          </w:tcPr>
          <w:p w14:paraId="254F479E" w14:textId="1A1BF578" w:rsidR="00FA40E8" w:rsidRDefault="00E74AE8">
            <w:pPr>
              <w:pStyle w:val="P68B1DB1-Normal38"/>
              <w:jc w:val="center"/>
              <w:rPr>
                <w:noProof/>
              </w:rPr>
            </w:pPr>
            <w:r>
              <w:rPr>
                <w:noProof/>
              </w:rPr>
              <w:t>Étape</w:t>
            </w:r>
          </w:p>
        </w:tc>
        <w:tc>
          <w:tcPr>
            <w:tcW w:w="3755" w:type="dxa"/>
            <w:shd w:val="clear" w:color="auto" w:fill="EAF1DD" w:themeFill="accent3" w:themeFillTint="33"/>
          </w:tcPr>
          <w:p w14:paraId="006EA761" w14:textId="38C35255" w:rsidR="00FA40E8" w:rsidRDefault="00E74AE8">
            <w:pPr>
              <w:pStyle w:val="P68B1DB1-Normal38"/>
              <w:spacing w:after="0"/>
              <w:rPr>
                <w:noProof/>
                <w:color w:val="000000" w:themeColor="text1"/>
              </w:rPr>
            </w:pPr>
            <w:r>
              <w:rPr>
                <w:noProof/>
              </w:rPr>
              <w:t>Outils numériques pour la gestion des risques d’insolvabilité des entreprises</w:t>
            </w:r>
          </w:p>
        </w:tc>
      </w:tr>
      <w:tr w:rsidR="00FA40E8" w14:paraId="72319D53" w14:textId="77777777">
        <w:trPr>
          <w:cantSplit/>
          <w:trHeight w:val="300"/>
        </w:trPr>
        <w:tc>
          <w:tcPr>
            <w:tcW w:w="1346" w:type="dxa"/>
            <w:shd w:val="clear" w:color="auto" w:fill="EAF1DD" w:themeFill="accent3" w:themeFillTint="33"/>
            <w:noWrap/>
            <w:vAlign w:val="center"/>
          </w:tcPr>
          <w:p w14:paraId="1D41D0AA" w14:textId="7252F586" w:rsidR="00FA40E8" w:rsidRDefault="00E74AE8">
            <w:pPr>
              <w:pStyle w:val="P68B1DB1-Normal39"/>
              <w:spacing w:after="0"/>
              <w:jc w:val="center"/>
              <w:rPr>
                <w:noProof/>
                <w:color w:val="000000" w:themeColor="text1"/>
                <w:szCs w:val="22"/>
              </w:rPr>
            </w:pPr>
            <w:r>
              <w:rPr>
                <w:noProof/>
              </w:rPr>
              <w:t>148a</w:t>
            </w:r>
          </w:p>
        </w:tc>
        <w:tc>
          <w:tcPr>
            <w:tcW w:w="3499" w:type="dxa"/>
            <w:shd w:val="clear" w:color="auto" w:fill="EAF1DD" w:themeFill="accent3" w:themeFillTint="33"/>
          </w:tcPr>
          <w:p w14:paraId="00EECA93" w14:textId="323A03E7" w:rsidR="00FA40E8" w:rsidRDefault="00E74AE8">
            <w:pPr>
              <w:pStyle w:val="P68B1DB1-Normal38"/>
              <w:spacing w:after="0"/>
              <w:rPr>
                <w:noProof/>
                <w:color w:val="000000" w:themeColor="text1"/>
                <w:szCs w:val="22"/>
              </w:rPr>
            </w:pPr>
            <w:r>
              <w:rPr>
                <w:noProof/>
              </w:rPr>
              <w:t xml:space="preserve">F.1.3. Viabilité à long terme et </w:t>
            </w:r>
            <w:r>
              <w:rPr>
                <w:noProof/>
              </w:rPr>
              <w:t>transparence du budget national — F.1.3.1. Le cadre budgétaire à moyen terme</w:t>
            </w:r>
          </w:p>
        </w:tc>
        <w:tc>
          <w:tcPr>
            <w:tcW w:w="1179" w:type="dxa"/>
            <w:shd w:val="clear" w:color="auto" w:fill="EAF1DD" w:themeFill="accent3" w:themeFillTint="33"/>
          </w:tcPr>
          <w:p w14:paraId="63DE2172" w14:textId="2A5CA5CD" w:rsidR="00FA40E8" w:rsidRDefault="00E74AE8">
            <w:pPr>
              <w:pStyle w:val="P68B1DB1-Normal38"/>
              <w:spacing w:after="0"/>
              <w:jc w:val="center"/>
              <w:rPr>
                <w:noProof/>
                <w:color w:val="000000" w:themeColor="text1"/>
                <w:szCs w:val="22"/>
              </w:rPr>
            </w:pPr>
            <w:r>
              <w:rPr>
                <w:noProof/>
              </w:rPr>
              <w:t>Étape</w:t>
            </w:r>
          </w:p>
        </w:tc>
        <w:tc>
          <w:tcPr>
            <w:tcW w:w="3755" w:type="dxa"/>
            <w:shd w:val="clear" w:color="auto" w:fill="EAF1DD" w:themeFill="accent3" w:themeFillTint="33"/>
          </w:tcPr>
          <w:p w14:paraId="5BB60D85" w14:textId="06236DAE" w:rsidR="00FA40E8" w:rsidRDefault="00E74AE8">
            <w:pPr>
              <w:pStyle w:val="P68B1DB1-Normal38"/>
              <w:spacing w:after="0"/>
              <w:rPr>
                <w:noProof/>
                <w:color w:val="000000" w:themeColor="text1"/>
              </w:rPr>
            </w:pPr>
            <w:r>
              <w:rPr>
                <w:noProof/>
              </w:rPr>
              <w:t>Mise à disposition de l’outil du système d’information de gestion stratégique permettant d’automatiser la budgétisation à moyen terme</w:t>
            </w:r>
          </w:p>
        </w:tc>
      </w:tr>
      <w:tr w:rsidR="00FA40E8" w14:paraId="22C8FC92" w14:textId="77777777">
        <w:trPr>
          <w:cantSplit/>
          <w:trHeight w:val="300"/>
        </w:trPr>
        <w:tc>
          <w:tcPr>
            <w:tcW w:w="1346" w:type="dxa"/>
            <w:shd w:val="clear" w:color="auto" w:fill="EAF1DD" w:themeFill="accent3" w:themeFillTint="33"/>
            <w:noWrap/>
            <w:vAlign w:val="center"/>
          </w:tcPr>
          <w:p w14:paraId="24753168" w14:textId="5DD3BC9B" w:rsidR="00FA40E8" w:rsidRDefault="00E74AE8">
            <w:pPr>
              <w:pStyle w:val="P68B1DB1-Normal39"/>
              <w:spacing w:after="0"/>
              <w:jc w:val="center"/>
              <w:rPr>
                <w:noProof/>
                <w:szCs w:val="22"/>
              </w:rPr>
            </w:pPr>
            <w:r>
              <w:rPr>
                <w:noProof/>
              </w:rPr>
              <w:t>170</w:t>
            </w:r>
          </w:p>
        </w:tc>
        <w:tc>
          <w:tcPr>
            <w:tcW w:w="3499" w:type="dxa"/>
            <w:shd w:val="clear" w:color="auto" w:fill="EAF1DD" w:themeFill="accent3" w:themeFillTint="33"/>
          </w:tcPr>
          <w:p w14:paraId="3EF5289D" w14:textId="1EF77B33" w:rsidR="00FA40E8" w:rsidRDefault="00E74AE8">
            <w:pPr>
              <w:pStyle w:val="P68B1DB1-Normal38"/>
              <w:spacing w:after="0"/>
              <w:rPr>
                <w:noProof/>
                <w:color w:val="000000" w:themeColor="text1"/>
                <w:szCs w:val="22"/>
              </w:rPr>
            </w:pPr>
            <w:r>
              <w:rPr>
                <w:noProof/>
              </w:rPr>
              <w:t xml:space="preserve">F.1.6. Une administration fiscale </w:t>
            </w:r>
            <w:r>
              <w:rPr>
                <w:noProof/>
              </w:rPr>
              <w:t>intelligente pour réduire l’écart de TVA — F.1.6.5. Nouveaux outils d’analyse des données et mise à niveau des systèmes informatiques des douanes lituaniennes</w:t>
            </w:r>
          </w:p>
        </w:tc>
        <w:tc>
          <w:tcPr>
            <w:tcW w:w="1179" w:type="dxa"/>
            <w:shd w:val="clear" w:color="auto" w:fill="EAF1DD" w:themeFill="accent3" w:themeFillTint="33"/>
          </w:tcPr>
          <w:p w14:paraId="5E23F3F6" w14:textId="173E14CB" w:rsidR="00FA40E8" w:rsidRDefault="00E74AE8">
            <w:pPr>
              <w:pStyle w:val="P68B1DB1-Normal38"/>
              <w:spacing w:after="0"/>
              <w:jc w:val="center"/>
              <w:rPr>
                <w:noProof/>
                <w:color w:val="000000" w:themeColor="text1"/>
                <w:szCs w:val="22"/>
              </w:rPr>
            </w:pPr>
            <w:r>
              <w:rPr>
                <w:noProof/>
              </w:rPr>
              <w:t>Étape</w:t>
            </w:r>
          </w:p>
        </w:tc>
        <w:tc>
          <w:tcPr>
            <w:tcW w:w="3755" w:type="dxa"/>
            <w:shd w:val="clear" w:color="auto" w:fill="EAF1DD" w:themeFill="accent3" w:themeFillTint="33"/>
          </w:tcPr>
          <w:p w14:paraId="245317E9" w14:textId="43B06B3D" w:rsidR="00FA40E8" w:rsidRDefault="00E74AE8">
            <w:pPr>
              <w:pStyle w:val="P68B1DB1-Normal38"/>
              <w:spacing w:after="0"/>
              <w:rPr>
                <w:noProof/>
                <w:color w:val="000000" w:themeColor="text1"/>
              </w:rPr>
            </w:pPr>
            <w:r>
              <w:rPr>
                <w:noProof/>
              </w:rPr>
              <w:t>Fourniture de cinq nouvelles méthodes d’analyse des données pour la gestion des risques fis</w:t>
            </w:r>
            <w:r>
              <w:rPr>
                <w:noProof/>
              </w:rPr>
              <w:t>caux en Lituanie</w:t>
            </w:r>
          </w:p>
        </w:tc>
      </w:tr>
      <w:tr w:rsidR="00FA40E8" w14:paraId="748A609C" w14:textId="77777777">
        <w:trPr>
          <w:cantSplit/>
          <w:trHeight w:val="300"/>
        </w:trPr>
        <w:tc>
          <w:tcPr>
            <w:tcW w:w="1346" w:type="dxa"/>
            <w:shd w:val="clear" w:color="auto" w:fill="EAF1DD" w:themeFill="accent3" w:themeFillTint="33"/>
            <w:noWrap/>
            <w:vAlign w:val="center"/>
          </w:tcPr>
          <w:p w14:paraId="15DED4AC" w14:textId="620EE58A" w:rsidR="00FA40E8" w:rsidRDefault="00E74AE8">
            <w:pPr>
              <w:pStyle w:val="P68B1DB1-Normal39"/>
              <w:spacing w:after="0"/>
              <w:jc w:val="center"/>
              <w:rPr>
                <w:noProof/>
                <w:szCs w:val="22"/>
              </w:rPr>
            </w:pPr>
            <w:r>
              <w:rPr>
                <w:noProof/>
              </w:rPr>
              <w:t>171</w:t>
            </w:r>
          </w:p>
        </w:tc>
        <w:tc>
          <w:tcPr>
            <w:tcW w:w="3499" w:type="dxa"/>
            <w:shd w:val="clear" w:color="auto" w:fill="EAF1DD" w:themeFill="accent3" w:themeFillTint="33"/>
          </w:tcPr>
          <w:p w14:paraId="20918395" w14:textId="7088CBED" w:rsidR="00FA40E8" w:rsidRDefault="00E74AE8">
            <w:pPr>
              <w:pStyle w:val="P68B1DB1-Normal38"/>
              <w:spacing w:after="0"/>
              <w:rPr>
                <w:noProof/>
                <w:color w:val="000000" w:themeColor="text1"/>
                <w:szCs w:val="22"/>
              </w:rPr>
            </w:pPr>
            <w:r>
              <w:rPr>
                <w:noProof/>
              </w:rPr>
              <w:t>F.1.6. Une administration fiscale intelligente pour réduire l’écart de TVA — F.1.6.5. Nouveaux outils d’analyse des données et mise à niveau des systèmes informatiques des douanes lituaniennes</w:t>
            </w:r>
          </w:p>
        </w:tc>
        <w:tc>
          <w:tcPr>
            <w:tcW w:w="1179" w:type="dxa"/>
            <w:shd w:val="clear" w:color="auto" w:fill="EAF1DD" w:themeFill="accent3" w:themeFillTint="33"/>
          </w:tcPr>
          <w:p w14:paraId="0971AE58" w14:textId="4B043969" w:rsidR="00FA40E8" w:rsidRDefault="00E74AE8">
            <w:pPr>
              <w:pStyle w:val="P68B1DB1-Normal38"/>
              <w:spacing w:after="0"/>
              <w:jc w:val="center"/>
              <w:rPr>
                <w:noProof/>
                <w:color w:val="000000" w:themeColor="text1"/>
                <w:szCs w:val="22"/>
              </w:rPr>
            </w:pPr>
            <w:r>
              <w:rPr>
                <w:noProof/>
              </w:rPr>
              <w:t>Objectif</w:t>
            </w:r>
          </w:p>
        </w:tc>
        <w:tc>
          <w:tcPr>
            <w:tcW w:w="3755" w:type="dxa"/>
            <w:shd w:val="clear" w:color="auto" w:fill="EAF1DD" w:themeFill="accent3" w:themeFillTint="33"/>
          </w:tcPr>
          <w:p w14:paraId="693A16D2" w14:textId="6611F2B3" w:rsidR="00FA40E8" w:rsidRDefault="00E74AE8">
            <w:pPr>
              <w:pStyle w:val="P68B1DB1-Normal38"/>
              <w:spacing w:after="0"/>
              <w:rPr>
                <w:noProof/>
                <w:color w:val="000000" w:themeColor="text1"/>
              </w:rPr>
            </w:pPr>
            <w:r>
              <w:rPr>
                <w:noProof/>
              </w:rPr>
              <w:t xml:space="preserve">Livraison du système intégré de </w:t>
            </w:r>
            <w:r>
              <w:rPr>
                <w:noProof/>
              </w:rPr>
              <w:t>contrôle des véhicules et des marchandises (TRAKIS) et interfaces avec les utilisateurs externes</w:t>
            </w:r>
          </w:p>
        </w:tc>
      </w:tr>
      <w:tr w:rsidR="00FA40E8" w14:paraId="20AF86F5" w14:textId="77777777">
        <w:trPr>
          <w:cantSplit/>
          <w:trHeight w:val="300"/>
        </w:trPr>
        <w:tc>
          <w:tcPr>
            <w:tcW w:w="1346" w:type="dxa"/>
            <w:shd w:val="clear" w:color="auto" w:fill="EAF1DD" w:themeFill="accent3" w:themeFillTint="33"/>
            <w:noWrap/>
            <w:vAlign w:val="center"/>
          </w:tcPr>
          <w:p w14:paraId="45FD258D" w14:textId="3D0483A2" w:rsidR="00FA40E8" w:rsidRDefault="00E74AE8">
            <w:pPr>
              <w:pStyle w:val="P68B1DB1-Normal39"/>
              <w:spacing w:after="0"/>
              <w:jc w:val="center"/>
              <w:rPr>
                <w:noProof/>
                <w:szCs w:val="22"/>
              </w:rPr>
            </w:pPr>
            <w:r>
              <w:rPr>
                <w:noProof/>
              </w:rPr>
              <w:t>172</w:t>
            </w:r>
          </w:p>
        </w:tc>
        <w:tc>
          <w:tcPr>
            <w:tcW w:w="3499" w:type="dxa"/>
            <w:shd w:val="clear" w:color="auto" w:fill="EAF1DD" w:themeFill="accent3" w:themeFillTint="33"/>
          </w:tcPr>
          <w:p w14:paraId="1B9665C5" w14:textId="713AC360" w:rsidR="00FA40E8" w:rsidRDefault="00E74AE8">
            <w:pPr>
              <w:pStyle w:val="P68B1DB1-Normal38"/>
              <w:spacing w:after="0"/>
              <w:rPr>
                <w:noProof/>
                <w:color w:val="000000" w:themeColor="text1"/>
                <w:szCs w:val="22"/>
              </w:rPr>
            </w:pPr>
            <w:r>
              <w:rPr>
                <w:noProof/>
              </w:rPr>
              <w:t>F.1.6. Une administration fiscale intelligente pour réduire l’écart de TVA — F.1.6.6. Formation du personnel de l’inspection nationale des impôts et des d</w:t>
            </w:r>
            <w:r>
              <w:rPr>
                <w:noProof/>
              </w:rPr>
              <w:t>ouanes lituaniennes</w:t>
            </w:r>
          </w:p>
        </w:tc>
        <w:tc>
          <w:tcPr>
            <w:tcW w:w="1179" w:type="dxa"/>
            <w:shd w:val="clear" w:color="auto" w:fill="EAF1DD" w:themeFill="accent3" w:themeFillTint="33"/>
          </w:tcPr>
          <w:p w14:paraId="73CAFE58" w14:textId="76663ECB" w:rsidR="00FA40E8" w:rsidRDefault="00E74AE8">
            <w:pPr>
              <w:pStyle w:val="P68B1DB1-Normal38"/>
              <w:spacing w:after="0"/>
              <w:jc w:val="center"/>
              <w:rPr>
                <w:noProof/>
                <w:color w:val="000000" w:themeColor="text1"/>
                <w:szCs w:val="22"/>
              </w:rPr>
            </w:pPr>
            <w:r>
              <w:rPr>
                <w:noProof/>
              </w:rPr>
              <w:t>Étape</w:t>
            </w:r>
          </w:p>
        </w:tc>
        <w:tc>
          <w:tcPr>
            <w:tcW w:w="3755" w:type="dxa"/>
            <w:shd w:val="clear" w:color="auto" w:fill="EAF1DD" w:themeFill="accent3" w:themeFillTint="33"/>
          </w:tcPr>
          <w:p w14:paraId="4D8C769F" w14:textId="4B83FAF0" w:rsidR="00FA40E8" w:rsidRDefault="00E74AE8">
            <w:pPr>
              <w:pStyle w:val="P68B1DB1-Normal38"/>
              <w:spacing w:after="0"/>
              <w:rPr>
                <w:noProof/>
                <w:color w:val="000000" w:themeColor="text1"/>
              </w:rPr>
            </w:pPr>
            <w:r>
              <w:rPr>
                <w:noProof/>
              </w:rPr>
              <w:t>Outils de gestion des compétences de l’inspection nationale des impôts, du personnel des douanes lituaniennes et des clients</w:t>
            </w:r>
          </w:p>
        </w:tc>
      </w:tr>
      <w:tr w:rsidR="00FA40E8" w14:paraId="1D1ECEF7" w14:textId="77777777">
        <w:trPr>
          <w:cantSplit/>
          <w:trHeight w:val="300"/>
        </w:trPr>
        <w:tc>
          <w:tcPr>
            <w:tcW w:w="1346" w:type="dxa"/>
            <w:shd w:val="clear" w:color="auto" w:fill="EAF1DD" w:themeFill="accent3" w:themeFillTint="33"/>
            <w:noWrap/>
            <w:vAlign w:val="center"/>
          </w:tcPr>
          <w:p w14:paraId="6F126FB1" w14:textId="213EB982" w:rsidR="00FA40E8" w:rsidRDefault="00E74AE8">
            <w:pPr>
              <w:pStyle w:val="P68B1DB1-Normal39"/>
              <w:spacing w:after="0"/>
              <w:jc w:val="center"/>
              <w:rPr>
                <w:noProof/>
                <w:szCs w:val="22"/>
              </w:rPr>
            </w:pPr>
            <w:r>
              <w:rPr>
                <w:noProof/>
              </w:rPr>
              <w:t>173</w:t>
            </w:r>
          </w:p>
        </w:tc>
        <w:tc>
          <w:tcPr>
            <w:tcW w:w="3499" w:type="dxa"/>
            <w:shd w:val="clear" w:color="auto" w:fill="EAF1DD" w:themeFill="accent3" w:themeFillTint="33"/>
          </w:tcPr>
          <w:p w14:paraId="3153C294" w14:textId="3AD772FC" w:rsidR="00FA40E8" w:rsidRDefault="00E74AE8">
            <w:pPr>
              <w:pStyle w:val="P68B1DB1-Normal38"/>
              <w:spacing w:after="0"/>
              <w:rPr>
                <w:noProof/>
                <w:color w:val="000000" w:themeColor="text1"/>
                <w:szCs w:val="22"/>
              </w:rPr>
            </w:pPr>
            <w:r>
              <w:rPr>
                <w:noProof/>
              </w:rPr>
              <w:t>F.1.6. Une administration fiscale intelligente pour réduire l’écart de TVA — F.1.6.6. Formation du p</w:t>
            </w:r>
            <w:r>
              <w:rPr>
                <w:noProof/>
              </w:rPr>
              <w:t>ersonnel de l’inspection nationale des impôts et des douanes lituaniennes</w:t>
            </w:r>
          </w:p>
        </w:tc>
        <w:tc>
          <w:tcPr>
            <w:tcW w:w="1179" w:type="dxa"/>
            <w:shd w:val="clear" w:color="auto" w:fill="EAF1DD" w:themeFill="accent3" w:themeFillTint="33"/>
          </w:tcPr>
          <w:p w14:paraId="755C632E" w14:textId="2E1BCF92" w:rsidR="00FA40E8" w:rsidRDefault="00E74AE8">
            <w:pPr>
              <w:pStyle w:val="P68B1DB1-Normal38"/>
              <w:spacing w:after="0"/>
              <w:jc w:val="center"/>
              <w:rPr>
                <w:noProof/>
                <w:color w:val="000000" w:themeColor="text1"/>
                <w:szCs w:val="22"/>
              </w:rPr>
            </w:pPr>
            <w:r>
              <w:rPr>
                <w:noProof/>
              </w:rPr>
              <w:t>Objectif</w:t>
            </w:r>
          </w:p>
        </w:tc>
        <w:tc>
          <w:tcPr>
            <w:tcW w:w="3755" w:type="dxa"/>
            <w:shd w:val="clear" w:color="auto" w:fill="EAF1DD" w:themeFill="accent3" w:themeFillTint="33"/>
          </w:tcPr>
          <w:p w14:paraId="7455DD7C" w14:textId="7BF6DFA3" w:rsidR="00FA40E8" w:rsidRDefault="00E74AE8">
            <w:pPr>
              <w:pStyle w:val="P68B1DB1-Normal38"/>
              <w:spacing w:after="0"/>
              <w:rPr>
                <w:noProof/>
                <w:color w:val="000000" w:themeColor="text1"/>
              </w:rPr>
            </w:pPr>
            <w:r>
              <w:rPr>
                <w:noProof/>
              </w:rPr>
              <w:t>Participation à des activités de formation</w:t>
            </w:r>
          </w:p>
        </w:tc>
      </w:tr>
      <w:tr w:rsidR="00FA40E8" w14:paraId="131FAFB2" w14:textId="77777777">
        <w:trPr>
          <w:cantSplit/>
          <w:trHeight w:val="300"/>
        </w:trPr>
        <w:tc>
          <w:tcPr>
            <w:tcW w:w="1346" w:type="dxa"/>
            <w:shd w:val="clear" w:color="auto" w:fill="EAF1DD" w:themeFill="accent3" w:themeFillTint="33"/>
            <w:noWrap/>
            <w:vAlign w:val="center"/>
          </w:tcPr>
          <w:p w14:paraId="005DE98E" w14:textId="48EE7AFB" w:rsidR="00FA40E8" w:rsidRDefault="00E74AE8">
            <w:pPr>
              <w:pStyle w:val="P68B1DB1-Normal39"/>
              <w:spacing w:after="0"/>
              <w:jc w:val="center"/>
              <w:rPr>
                <w:noProof/>
                <w:szCs w:val="22"/>
              </w:rPr>
            </w:pPr>
            <w:r>
              <w:rPr>
                <w:noProof/>
              </w:rPr>
              <w:t>174</w:t>
            </w:r>
          </w:p>
        </w:tc>
        <w:tc>
          <w:tcPr>
            <w:tcW w:w="3499" w:type="dxa"/>
            <w:shd w:val="clear" w:color="auto" w:fill="EAF1DD" w:themeFill="accent3" w:themeFillTint="33"/>
          </w:tcPr>
          <w:p w14:paraId="2DD598DF" w14:textId="7FF0D84E" w:rsidR="00FA40E8" w:rsidRDefault="00E74AE8">
            <w:pPr>
              <w:pStyle w:val="P68B1DB1-Normal38"/>
              <w:spacing w:after="0"/>
              <w:rPr>
                <w:noProof/>
                <w:color w:val="000000" w:themeColor="text1"/>
                <w:szCs w:val="22"/>
              </w:rPr>
            </w:pPr>
            <w:r>
              <w:rPr>
                <w:noProof/>
              </w:rPr>
              <w:t>F.1.7. Fourniture d’un écosystème de documents électroniques</w:t>
            </w:r>
          </w:p>
        </w:tc>
        <w:tc>
          <w:tcPr>
            <w:tcW w:w="1179" w:type="dxa"/>
            <w:shd w:val="clear" w:color="auto" w:fill="EAF1DD" w:themeFill="accent3" w:themeFillTint="33"/>
          </w:tcPr>
          <w:p w14:paraId="765663E6" w14:textId="55A72278" w:rsidR="00FA40E8" w:rsidRDefault="00E74AE8">
            <w:pPr>
              <w:pStyle w:val="P68B1DB1-Normal38"/>
              <w:spacing w:after="0"/>
              <w:jc w:val="center"/>
              <w:rPr>
                <w:noProof/>
                <w:color w:val="000000" w:themeColor="text1"/>
                <w:szCs w:val="22"/>
              </w:rPr>
            </w:pPr>
            <w:r>
              <w:rPr>
                <w:noProof/>
              </w:rPr>
              <w:t>Étape</w:t>
            </w:r>
          </w:p>
        </w:tc>
        <w:tc>
          <w:tcPr>
            <w:tcW w:w="3755" w:type="dxa"/>
            <w:shd w:val="clear" w:color="auto" w:fill="EAF1DD" w:themeFill="accent3" w:themeFillTint="33"/>
          </w:tcPr>
          <w:p w14:paraId="6B436251" w14:textId="07E2326F" w:rsidR="00FA40E8" w:rsidRDefault="00E74AE8">
            <w:pPr>
              <w:pStyle w:val="P68B1DB1-Normal38"/>
              <w:spacing w:after="0"/>
              <w:rPr>
                <w:noProof/>
                <w:color w:val="000000" w:themeColor="text1"/>
              </w:rPr>
            </w:pPr>
            <w:r>
              <w:rPr>
                <w:noProof/>
              </w:rPr>
              <w:t xml:space="preserve">Entrée en vigueur des actes législatifs concernant les </w:t>
            </w:r>
            <w:r>
              <w:rPr>
                <w:noProof/>
              </w:rPr>
              <w:t>journaux des caisses enregistreuses et les reçus électroniques</w:t>
            </w:r>
          </w:p>
        </w:tc>
      </w:tr>
      <w:tr w:rsidR="00FA40E8" w14:paraId="5F40DCFA" w14:textId="77777777">
        <w:trPr>
          <w:cantSplit/>
          <w:trHeight w:val="300"/>
        </w:trPr>
        <w:tc>
          <w:tcPr>
            <w:tcW w:w="1346" w:type="dxa"/>
            <w:shd w:val="clear" w:color="auto" w:fill="EAF1DD" w:themeFill="accent3" w:themeFillTint="33"/>
            <w:noWrap/>
            <w:vAlign w:val="center"/>
          </w:tcPr>
          <w:p w14:paraId="6757D2E5" w14:textId="3E49BE36" w:rsidR="00FA40E8" w:rsidRDefault="00E74AE8">
            <w:pPr>
              <w:pStyle w:val="P68B1DB1-Normal39"/>
              <w:jc w:val="center"/>
              <w:rPr>
                <w:noProof/>
              </w:rPr>
            </w:pPr>
            <w:r>
              <w:rPr>
                <w:noProof/>
              </w:rPr>
              <w:t>181</w:t>
            </w:r>
          </w:p>
        </w:tc>
        <w:tc>
          <w:tcPr>
            <w:tcW w:w="3499" w:type="dxa"/>
            <w:shd w:val="clear" w:color="auto" w:fill="EAF1DD" w:themeFill="accent3" w:themeFillTint="33"/>
          </w:tcPr>
          <w:p w14:paraId="72A95E41" w14:textId="367B4D1F" w:rsidR="00FA40E8" w:rsidRDefault="00E74AE8">
            <w:pPr>
              <w:pStyle w:val="P68B1DB1-Normal38"/>
              <w:rPr>
                <w:noProof/>
                <w:color w:val="000000" w:themeColor="text1"/>
              </w:rPr>
            </w:pPr>
            <w:r>
              <w:rPr>
                <w:noProof/>
              </w:rPr>
              <w:t>G.1.1. Protection du revenu minimum garanti — G.1.1.1. Étude sur le régime de revenu minimum et les modifications connexes apportées à la législation</w:t>
            </w:r>
          </w:p>
        </w:tc>
        <w:tc>
          <w:tcPr>
            <w:tcW w:w="1179" w:type="dxa"/>
            <w:shd w:val="clear" w:color="auto" w:fill="EAF1DD" w:themeFill="accent3" w:themeFillTint="33"/>
          </w:tcPr>
          <w:p w14:paraId="42362F88" w14:textId="6D85AC6D" w:rsidR="00FA40E8" w:rsidRDefault="00E74AE8">
            <w:pPr>
              <w:pStyle w:val="P68B1DB1-Normal38"/>
              <w:jc w:val="center"/>
              <w:rPr>
                <w:noProof/>
                <w:color w:val="000000" w:themeColor="text1"/>
              </w:rPr>
            </w:pPr>
            <w:r>
              <w:rPr>
                <w:noProof/>
              </w:rPr>
              <w:t>Étape</w:t>
            </w:r>
          </w:p>
        </w:tc>
        <w:tc>
          <w:tcPr>
            <w:tcW w:w="3755" w:type="dxa"/>
            <w:shd w:val="clear" w:color="auto" w:fill="EAF1DD" w:themeFill="accent3" w:themeFillTint="33"/>
          </w:tcPr>
          <w:p w14:paraId="1400A80E" w14:textId="334A793A" w:rsidR="00FA40E8" w:rsidRDefault="00E74AE8">
            <w:pPr>
              <w:pStyle w:val="P68B1DB1-Normal38"/>
              <w:spacing w:after="0"/>
              <w:rPr>
                <w:noProof/>
                <w:color w:val="000000" w:themeColor="text1"/>
              </w:rPr>
            </w:pPr>
            <w:r>
              <w:rPr>
                <w:noProof/>
              </w:rPr>
              <w:t xml:space="preserve">Entrée en vigueur des </w:t>
            </w:r>
            <w:r>
              <w:rPr>
                <w:noProof/>
              </w:rPr>
              <w:t>modifications des lois pertinentes régissant la protection du revenu minimum</w:t>
            </w:r>
          </w:p>
        </w:tc>
      </w:tr>
      <w:tr w:rsidR="00FA40E8" w14:paraId="31E78B82" w14:textId="77777777">
        <w:trPr>
          <w:cantSplit/>
        </w:trPr>
        <w:tc>
          <w:tcPr>
            <w:tcW w:w="1346" w:type="dxa"/>
            <w:shd w:val="clear" w:color="auto" w:fill="EAF1DD" w:themeFill="accent3" w:themeFillTint="33"/>
            <w:noWrap/>
          </w:tcPr>
          <w:p w14:paraId="1877E42D" w14:textId="77777777" w:rsidR="00FA40E8" w:rsidRDefault="00FA40E8">
            <w:pPr>
              <w:spacing w:after="0"/>
              <w:jc w:val="center"/>
              <w:rPr>
                <w:rFonts w:ascii="Times New Roman" w:eastAsia="Times New Roman" w:hAnsi="Times New Roman" w:cs="Times New Roman"/>
                <w:noProof/>
                <w:color w:val="000000"/>
                <w:szCs w:val="22"/>
              </w:rPr>
            </w:pPr>
          </w:p>
        </w:tc>
        <w:tc>
          <w:tcPr>
            <w:tcW w:w="3499" w:type="dxa"/>
            <w:shd w:val="clear" w:color="auto" w:fill="EAF1DD" w:themeFill="accent3" w:themeFillTint="33"/>
          </w:tcPr>
          <w:p w14:paraId="4A7955A2" w14:textId="77777777" w:rsidR="00FA40E8" w:rsidRDefault="00FA40E8">
            <w:pPr>
              <w:spacing w:after="0"/>
              <w:rPr>
                <w:rFonts w:ascii="Times New Roman" w:eastAsia="Times New Roman" w:hAnsi="Times New Roman" w:cs="Times New Roman"/>
                <w:noProof/>
                <w:color w:val="000000"/>
                <w:szCs w:val="22"/>
              </w:rPr>
            </w:pPr>
          </w:p>
        </w:tc>
        <w:tc>
          <w:tcPr>
            <w:tcW w:w="1179" w:type="dxa"/>
            <w:shd w:val="clear" w:color="auto" w:fill="EAF1DD" w:themeFill="accent3" w:themeFillTint="33"/>
            <w:vAlign w:val="center"/>
          </w:tcPr>
          <w:p w14:paraId="2BD7060A" w14:textId="77777777" w:rsidR="00FA40E8" w:rsidRDefault="00E74AE8">
            <w:pPr>
              <w:pStyle w:val="P68B1DB1-Normal38"/>
              <w:spacing w:after="0"/>
              <w:jc w:val="center"/>
              <w:rPr>
                <w:noProof/>
                <w:color w:val="000000" w:themeColor="text1"/>
              </w:rPr>
            </w:pPr>
            <w:r>
              <w:rPr>
                <w:noProof/>
              </w:rPr>
              <w:t>Montant de l’acompte</w:t>
            </w:r>
          </w:p>
        </w:tc>
        <w:tc>
          <w:tcPr>
            <w:tcW w:w="3755" w:type="dxa"/>
            <w:shd w:val="clear" w:color="auto" w:fill="EAF1DD" w:themeFill="accent3" w:themeFillTint="33"/>
            <w:vAlign w:val="center"/>
          </w:tcPr>
          <w:p w14:paraId="730F6D78" w14:textId="4E259137" w:rsidR="00FA40E8" w:rsidRDefault="00E74AE8">
            <w:pPr>
              <w:spacing w:after="0"/>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178</w:t>
            </w:r>
            <w:r>
              <w:rPr>
                <w:rFonts w:ascii="Times New Roman" w:hAnsi="Times New Roman"/>
                <w:noProof/>
                <w:sz w:val="20"/>
              </w:rPr>
              <w:t xml:space="preserve"> </w:t>
            </w:r>
            <w:r>
              <w:rPr>
                <w:rFonts w:ascii="Times New Roman" w:eastAsia="Times New Roman" w:hAnsi="Times New Roman" w:cs="Times New Roman"/>
                <w:noProof/>
                <w:color w:val="000000" w:themeColor="text1"/>
              </w:rPr>
              <w:t>000</w:t>
            </w:r>
            <w:r>
              <w:rPr>
                <w:rFonts w:ascii="Times New Roman" w:hAnsi="Times New Roman"/>
                <w:noProof/>
                <w:sz w:val="20"/>
              </w:rPr>
              <w:t xml:space="preserve"> </w:t>
            </w:r>
            <w:r>
              <w:rPr>
                <w:rFonts w:ascii="Times New Roman" w:eastAsia="Times New Roman" w:hAnsi="Times New Roman" w:cs="Times New Roman"/>
                <w:noProof/>
                <w:color w:val="000000" w:themeColor="text1"/>
              </w:rPr>
              <w:t>000 EUR</w:t>
            </w:r>
          </w:p>
        </w:tc>
      </w:tr>
    </w:tbl>
    <w:p w14:paraId="1ADFB7E5" w14:textId="235C8209" w:rsidR="00FA40E8" w:rsidRDefault="00E74AE8">
      <w:pPr>
        <w:pStyle w:val="P68B1DB1-ListParagraph36"/>
        <w:keepNext/>
        <w:keepLines/>
        <w:numPr>
          <w:ilvl w:val="1"/>
          <w:numId w:val="110"/>
        </w:numPr>
        <w:spacing w:before="480" w:line="240" w:lineRule="auto"/>
        <w:jc w:val="both"/>
        <w:rPr>
          <w:noProof/>
        </w:rPr>
      </w:pPr>
      <w:r>
        <w:rPr>
          <w:noProof/>
        </w:rPr>
        <w:t>Septième tranche (soutien non remboursable):</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04"/>
        <w:gridCol w:w="3402"/>
        <w:gridCol w:w="1594"/>
        <w:gridCol w:w="3579"/>
      </w:tblGrid>
      <w:tr w:rsidR="00FA40E8" w14:paraId="3CAB7FFF" w14:textId="77777777">
        <w:trPr>
          <w:cantSplit/>
          <w:trHeight w:val="491"/>
          <w:tblHeader/>
        </w:trPr>
        <w:tc>
          <w:tcPr>
            <w:tcW w:w="1204" w:type="dxa"/>
            <w:shd w:val="clear" w:color="auto" w:fill="BDD7EE"/>
            <w:vAlign w:val="center"/>
          </w:tcPr>
          <w:p w14:paraId="139E927A" w14:textId="77777777" w:rsidR="00FA40E8" w:rsidRDefault="00E74AE8">
            <w:pPr>
              <w:pStyle w:val="P68B1DB1-Normal37"/>
              <w:keepNext/>
              <w:keepLines/>
              <w:spacing w:after="0"/>
              <w:jc w:val="center"/>
              <w:rPr>
                <w:bCs/>
                <w:noProof/>
                <w:szCs w:val="22"/>
              </w:rPr>
            </w:pPr>
            <w:r>
              <w:rPr>
                <w:noProof/>
              </w:rPr>
              <w:t>Numéro séquentiel</w:t>
            </w:r>
          </w:p>
        </w:tc>
        <w:tc>
          <w:tcPr>
            <w:tcW w:w="3402" w:type="dxa"/>
            <w:shd w:val="clear" w:color="auto" w:fill="BDD7EE"/>
            <w:vAlign w:val="center"/>
          </w:tcPr>
          <w:p w14:paraId="45661455" w14:textId="77777777" w:rsidR="00FA40E8" w:rsidRDefault="00E74AE8">
            <w:pPr>
              <w:pStyle w:val="P68B1DB1-Normal37"/>
              <w:keepNext/>
              <w:keepLines/>
              <w:spacing w:after="0"/>
              <w:jc w:val="center"/>
              <w:rPr>
                <w:bCs/>
                <w:noProof/>
                <w:szCs w:val="22"/>
              </w:rPr>
            </w:pPr>
            <w:r>
              <w:rPr>
                <w:noProof/>
              </w:rPr>
              <w:t xml:space="preserve">Mesure connexe </w:t>
            </w:r>
            <w:r>
              <w:rPr>
                <w:noProof/>
              </w:rPr>
              <w:br/>
              <w:t>(Réforme ou investissement)</w:t>
            </w:r>
          </w:p>
        </w:tc>
        <w:tc>
          <w:tcPr>
            <w:tcW w:w="1594" w:type="dxa"/>
            <w:shd w:val="clear" w:color="auto" w:fill="BDD7EE"/>
            <w:vAlign w:val="center"/>
          </w:tcPr>
          <w:p w14:paraId="7826DBB0" w14:textId="77777777" w:rsidR="00FA40E8" w:rsidRDefault="00E74AE8">
            <w:pPr>
              <w:pStyle w:val="P68B1DB1-Normal37"/>
              <w:keepNext/>
              <w:keepLines/>
              <w:spacing w:after="0"/>
              <w:jc w:val="center"/>
              <w:rPr>
                <w:bCs/>
                <w:noProof/>
                <w:szCs w:val="22"/>
              </w:rPr>
            </w:pPr>
            <w:r>
              <w:rPr>
                <w:noProof/>
              </w:rPr>
              <w:t>Étape/cible</w:t>
            </w:r>
          </w:p>
        </w:tc>
        <w:tc>
          <w:tcPr>
            <w:tcW w:w="3579" w:type="dxa"/>
            <w:shd w:val="clear" w:color="auto" w:fill="BDD7EE"/>
            <w:vAlign w:val="center"/>
          </w:tcPr>
          <w:p w14:paraId="05C6F4D7" w14:textId="77777777" w:rsidR="00FA40E8" w:rsidRDefault="00E74AE8">
            <w:pPr>
              <w:pStyle w:val="P68B1DB1-Normal37"/>
              <w:keepNext/>
              <w:keepLines/>
              <w:spacing w:after="0"/>
              <w:jc w:val="center"/>
              <w:rPr>
                <w:bCs/>
                <w:noProof/>
                <w:szCs w:val="22"/>
              </w:rPr>
            </w:pPr>
            <w:r>
              <w:rPr>
                <w:noProof/>
              </w:rPr>
              <w:t>Nom</w:t>
            </w:r>
          </w:p>
        </w:tc>
      </w:tr>
      <w:tr w:rsidR="00FA40E8" w14:paraId="70157B1F" w14:textId="77777777">
        <w:trPr>
          <w:cantSplit/>
          <w:trHeight w:val="300"/>
        </w:trPr>
        <w:tc>
          <w:tcPr>
            <w:tcW w:w="1204" w:type="dxa"/>
            <w:shd w:val="clear" w:color="auto" w:fill="EAF1DD" w:themeFill="accent3" w:themeFillTint="33"/>
            <w:noWrap/>
            <w:vAlign w:val="center"/>
          </w:tcPr>
          <w:p w14:paraId="1A5A33B4" w14:textId="77777777" w:rsidR="00FA40E8" w:rsidRDefault="00E74AE8">
            <w:pPr>
              <w:pStyle w:val="P68B1DB1-Normal39"/>
              <w:spacing w:after="0"/>
              <w:jc w:val="center"/>
              <w:rPr>
                <w:noProof/>
                <w:color w:val="000000"/>
                <w:szCs w:val="22"/>
              </w:rPr>
            </w:pPr>
            <w:r>
              <w:rPr>
                <w:noProof/>
              </w:rPr>
              <w:t>7</w:t>
            </w:r>
          </w:p>
        </w:tc>
        <w:tc>
          <w:tcPr>
            <w:tcW w:w="3402" w:type="dxa"/>
            <w:shd w:val="clear" w:color="auto" w:fill="EAF1DD" w:themeFill="accent3" w:themeFillTint="33"/>
          </w:tcPr>
          <w:p w14:paraId="117E409B" w14:textId="77777777" w:rsidR="00FA40E8" w:rsidRDefault="00E74AE8">
            <w:pPr>
              <w:pStyle w:val="P68B1DB1-Normal38"/>
              <w:spacing w:after="0"/>
              <w:textAlignment w:val="baseline"/>
              <w:rPr>
                <w:noProof/>
                <w:szCs w:val="22"/>
              </w:rPr>
            </w:pPr>
            <w:r>
              <w:rPr>
                <w:noProof/>
              </w:rPr>
              <w:t xml:space="preserve">A.1.1. </w:t>
            </w:r>
            <w:r>
              <w:rPr>
                <w:noProof/>
              </w:rPr>
              <w:t>Améliorer la qualité et l’accessibilité des services et promouvoir l’innovation</w:t>
            </w:r>
          </w:p>
          <w:p w14:paraId="019A7D98" w14:textId="77777777" w:rsidR="00FA40E8" w:rsidRDefault="00E74AE8">
            <w:pPr>
              <w:pStyle w:val="P68B1DB1-Normal38"/>
              <w:spacing w:after="0"/>
              <w:rPr>
                <w:noProof/>
                <w:szCs w:val="22"/>
              </w:rPr>
            </w:pPr>
            <w:r>
              <w:rPr>
                <w:noProof/>
              </w:rPr>
              <w:t>A.1.1.7. Création d’un centre de thérapies innovantes</w:t>
            </w:r>
          </w:p>
        </w:tc>
        <w:tc>
          <w:tcPr>
            <w:tcW w:w="1594" w:type="dxa"/>
            <w:shd w:val="clear" w:color="auto" w:fill="EAF1DD" w:themeFill="accent3" w:themeFillTint="33"/>
          </w:tcPr>
          <w:p w14:paraId="1ED0F169" w14:textId="77777777"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50C9FDAB" w14:textId="7662F15B" w:rsidR="00FA40E8" w:rsidRDefault="00E74AE8">
            <w:pPr>
              <w:pStyle w:val="P68B1DB1-Normal38"/>
              <w:spacing w:after="0"/>
              <w:rPr>
                <w:noProof/>
              </w:rPr>
            </w:pPr>
            <w:r>
              <w:rPr>
                <w:noProof/>
              </w:rPr>
              <w:t>Centre de thérapie innovante</w:t>
            </w:r>
          </w:p>
        </w:tc>
      </w:tr>
      <w:tr w:rsidR="00FA40E8" w14:paraId="1D40E146" w14:textId="77777777">
        <w:trPr>
          <w:cantSplit/>
          <w:trHeight w:val="300"/>
        </w:trPr>
        <w:tc>
          <w:tcPr>
            <w:tcW w:w="1204" w:type="dxa"/>
            <w:shd w:val="clear" w:color="auto" w:fill="EAF1DD" w:themeFill="accent3" w:themeFillTint="33"/>
            <w:noWrap/>
            <w:vAlign w:val="center"/>
          </w:tcPr>
          <w:p w14:paraId="03214F4C" w14:textId="342CA0CC" w:rsidR="00FA40E8" w:rsidRDefault="00E74AE8">
            <w:pPr>
              <w:pStyle w:val="P68B1DB1-Normal39"/>
              <w:spacing w:after="0"/>
              <w:jc w:val="center"/>
              <w:rPr>
                <w:noProof/>
                <w:color w:val="000000"/>
              </w:rPr>
            </w:pPr>
            <w:r>
              <w:rPr>
                <w:noProof/>
              </w:rPr>
              <w:t>9</w:t>
            </w:r>
          </w:p>
        </w:tc>
        <w:tc>
          <w:tcPr>
            <w:tcW w:w="3402" w:type="dxa"/>
            <w:shd w:val="clear" w:color="auto" w:fill="EAF1DD" w:themeFill="accent3" w:themeFillTint="33"/>
          </w:tcPr>
          <w:p w14:paraId="2FEBD3FA" w14:textId="77777777" w:rsidR="00FA40E8" w:rsidRDefault="00E74AE8">
            <w:pPr>
              <w:pStyle w:val="P68B1DB1-Normal38"/>
              <w:spacing w:after="0"/>
              <w:textAlignment w:val="baseline"/>
              <w:rPr>
                <w:noProof/>
                <w:szCs w:val="22"/>
              </w:rPr>
            </w:pPr>
            <w:r>
              <w:rPr>
                <w:noProof/>
              </w:rPr>
              <w:t xml:space="preserve">A.1.1. Améliorer la qualité et l’accessibilité des services et promouvoir </w:t>
            </w:r>
            <w:r>
              <w:rPr>
                <w:noProof/>
              </w:rPr>
              <w:t>l’innovation</w:t>
            </w:r>
          </w:p>
          <w:p w14:paraId="1AE126B8" w14:textId="6FBDB2F9" w:rsidR="00FA40E8" w:rsidRDefault="00E74AE8">
            <w:pPr>
              <w:pStyle w:val="P68B1DB1-Normal38"/>
              <w:spacing w:after="0"/>
              <w:rPr>
                <w:noProof/>
                <w:szCs w:val="22"/>
              </w:rPr>
            </w:pPr>
            <w:r>
              <w:rPr>
                <w:noProof/>
              </w:rPr>
              <w:t>A.1.1.8. Collecte de données génomiques de référence</w:t>
            </w:r>
          </w:p>
        </w:tc>
        <w:tc>
          <w:tcPr>
            <w:tcW w:w="1594" w:type="dxa"/>
            <w:shd w:val="clear" w:color="auto" w:fill="EAF1DD" w:themeFill="accent3" w:themeFillTint="33"/>
          </w:tcPr>
          <w:p w14:paraId="4A973117" w14:textId="77777777"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25432DCD" w14:textId="1CC13744" w:rsidR="00FA40E8" w:rsidRDefault="00E74AE8">
            <w:pPr>
              <w:pStyle w:val="P68B1DB1-Normal38"/>
              <w:spacing w:after="0"/>
              <w:rPr>
                <w:noProof/>
              </w:rPr>
            </w:pPr>
            <w:r>
              <w:rPr>
                <w:noProof/>
              </w:rPr>
              <w:t>Nombre de tests de séquençage effectués pour le génome humain</w:t>
            </w:r>
          </w:p>
        </w:tc>
      </w:tr>
      <w:tr w:rsidR="00FA40E8" w14:paraId="3C7B6365" w14:textId="77777777">
        <w:trPr>
          <w:cantSplit/>
          <w:trHeight w:val="300"/>
        </w:trPr>
        <w:tc>
          <w:tcPr>
            <w:tcW w:w="1204" w:type="dxa"/>
            <w:shd w:val="clear" w:color="auto" w:fill="EAF1DD" w:themeFill="accent3" w:themeFillTint="33"/>
            <w:noWrap/>
            <w:vAlign w:val="center"/>
          </w:tcPr>
          <w:p w14:paraId="1B98DCC4" w14:textId="339C8E46" w:rsidR="00FA40E8" w:rsidRDefault="00E74AE8">
            <w:pPr>
              <w:pStyle w:val="P68B1DB1-Normal40"/>
              <w:spacing w:after="0"/>
              <w:jc w:val="center"/>
              <w:rPr>
                <w:rFonts w:ascii="Times New Roman" w:eastAsia="Times New Roman" w:hAnsi="Times New Roman" w:cs="Times New Roman"/>
                <w:noProof/>
              </w:rPr>
            </w:pPr>
            <w:r>
              <w:rPr>
                <w:noProof/>
              </w:rPr>
              <w:t>13a</w:t>
            </w:r>
          </w:p>
        </w:tc>
        <w:tc>
          <w:tcPr>
            <w:tcW w:w="3402" w:type="dxa"/>
            <w:shd w:val="clear" w:color="auto" w:fill="EAF1DD" w:themeFill="accent3" w:themeFillTint="33"/>
          </w:tcPr>
          <w:p w14:paraId="180AD72B" w14:textId="77777777" w:rsidR="00FA40E8" w:rsidRDefault="00E74AE8">
            <w:pPr>
              <w:pStyle w:val="P68B1DB1-Normal41"/>
              <w:spacing w:after="0"/>
              <w:textAlignment w:val="baseline"/>
              <w:rPr>
                <w:rFonts w:eastAsia="Times New Roman"/>
                <w:noProof/>
              </w:rPr>
            </w:pPr>
            <w:r>
              <w:rPr>
                <w:noProof/>
              </w:rPr>
              <w:t>A.1.1. Améliorer la qualité et l’accessibilité des services et promouvoir l’innovation</w:t>
            </w:r>
          </w:p>
          <w:p w14:paraId="525A03FF" w14:textId="72ED47E3" w:rsidR="00FA40E8" w:rsidRDefault="00E74AE8">
            <w:pPr>
              <w:pStyle w:val="P68B1DB1-Normal41"/>
              <w:spacing w:after="0"/>
              <w:textAlignment w:val="baseline"/>
              <w:rPr>
                <w:rFonts w:eastAsia="Times New Roman"/>
                <w:noProof/>
              </w:rPr>
            </w:pPr>
            <w:r>
              <w:rPr>
                <w:noProof/>
              </w:rPr>
              <w:t xml:space="preserve">A.1.1.11. Numérisation du secteur des soins de santé </w:t>
            </w:r>
          </w:p>
        </w:tc>
        <w:tc>
          <w:tcPr>
            <w:tcW w:w="1594" w:type="dxa"/>
            <w:shd w:val="clear" w:color="auto" w:fill="EAF1DD" w:themeFill="accent3" w:themeFillTint="33"/>
          </w:tcPr>
          <w:p w14:paraId="625841B3" w14:textId="60342A73" w:rsidR="00FA40E8" w:rsidRDefault="00E74AE8">
            <w:pPr>
              <w:pStyle w:val="P68B1DB1-Normal41"/>
              <w:spacing w:after="0"/>
              <w:jc w:val="center"/>
              <w:rPr>
                <w:rFonts w:eastAsia="Times New Roman"/>
                <w:noProof/>
              </w:rPr>
            </w:pPr>
            <w:r>
              <w:rPr>
                <w:noProof/>
              </w:rPr>
              <w:t>Étape</w:t>
            </w:r>
          </w:p>
        </w:tc>
        <w:tc>
          <w:tcPr>
            <w:tcW w:w="3579" w:type="dxa"/>
            <w:shd w:val="clear" w:color="auto" w:fill="EAF1DD" w:themeFill="accent3" w:themeFillTint="33"/>
          </w:tcPr>
          <w:p w14:paraId="6EDD57BA" w14:textId="646EFCCB" w:rsidR="00FA40E8" w:rsidRDefault="00E74AE8">
            <w:pPr>
              <w:pStyle w:val="P68B1DB1-Normal41"/>
              <w:spacing w:before="60" w:after="60"/>
              <w:rPr>
                <w:rFonts w:eastAsia="Times New Roman"/>
                <w:noProof/>
              </w:rPr>
            </w:pPr>
            <w:r>
              <w:rPr>
                <w:noProof/>
              </w:rPr>
              <w:t>Plan d’action et projets pour le développement du système de santé numérique</w:t>
            </w:r>
          </w:p>
        </w:tc>
      </w:tr>
      <w:tr w:rsidR="00FA40E8" w14:paraId="0C224C64" w14:textId="77777777">
        <w:trPr>
          <w:cantSplit/>
          <w:trHeight w:val="300"/>
        </w:trPr>
        <w:tc>
          <w:tcPr>
            <w:tcW w:w="1204" w:type="dxa"/>
            <w:shd w:val="clear" w:color="auto" w:fill="EAF1DD" w:themeFill="accent3" w:themeFillTint="33"/>
            <w:noWrap/>
            <w:vAlign w:val="center"/>
          </w:tcPr>
          <w:p w14:paraId="61733335" w14:textId="77777777" w:rsidR="00FA40E8" w:rsidRDefault="00E74AE8">
            <w:pPr>
              <w:pStyle w:val="P68B1DB1-Normal39"/>
              <w:spacing w:after="0"/>
              <w:jc w:val="center"/>
              <w:rPr>
                <w:noProof/>
              </w:rPr>
            </w:pPr>
            <w:r>
              <w:rPr>
                <w:noProof/>
              </w:rPr>
              <w:t>17</w:t>
            </w:r>
          </w:p>
        </w:tc>
        <w:tc>
          <w:tcPr>
            <w:tcW w:w="3402" w:type="dxa"/>
            <w:shd w:val="clear" w:color="auto" w:fill="EAF1DD" w:themeFill="accent3" w:themeFillTint="33"/>
          </w:tcPr>
          <w:p w14:paraId="1B80552B" w14:textId="77E44C63" w:rsidR="00FA40E8" w:rsidRDefault="00E74AE8">
            <w:pPr>
              <w:pStyle w:val="P68B1DB1-Normal39"/>
              <w:spacing w:after="0"/>
              <w:rPr>
                <w:noProof/>
              </w:rPr>
            </w:pPr>
            <w:r>
              <w:rPr>
                <w:noProof/>
              </w:rPr>
              <w:t>A.1.2. Fourniture de services de soins de longue durée</w:t>
            </w:r>
          </w:p>
          <w:p w14:paraId="0B5FAF3D" w14:textId="3B71DB82" w:rsidR="00FA40E8" w:rsidRDefault="00E74AE8">
            <w:pPr>
              <w:pStyle w:val="P68B1DB1-Normal39"/>
              <w:spacing w:after="0"/>
              <w:rPr>
                <w:noProof/>
              </w:rPr>
            </w:pPr>
            <w:r>
              <w:rPr>
                <w:noProof/>
              </w:rPr>
              <w:t xml:space="preserve">A.1.2.2. Ressources humaines et capacités des </w:t>
            </w:r>
            <w:r>
              <w:rPr>
                <w:noProof/>
              </w:rPr>
              <w:t>infrastructures pour la fourniture de services de soins de longue durée</w:t>
            </w:r>
          </w:p>
        </w:tc>
        <w:tc>
          <w:tcPr>
            <w:tcW w:w="1594" w:type="dxa"/>
            <w:shd w:val="clear" w:color="auto" w:fill="EAF1DD" w:themeFill="accent3" w:themeFillTint="33"/>
          </w:tcPr>
          <w:p w14:paraId="70D26E61" w14:textId="399627A2" w:rsidR="00FA40E8" w:rsidRDefault="00E74AE8">
            <w:pPr>
              <w:pStyle w:val="P68B1DB1-Normal39"/>
              <w:spacing w:after="0"/>
              <w:jc w:val="center"/>
              <w:rPr>
                <w:noProof/>
              </w:rPr>
            </w:pPr>
            <w:r>
              <w:rPr>
                <w:noProof/>
              </w:rPr>
              <w:t>Objectif</w:t>
            </w:r>
          </w:p>
        </w:tc>
        <w:tc>
          <w:tcPr>
            <w:tcW w:w="3579" w:type="dxa"/>
            <w:shd w:val="clear" w:color="auto" w:fill="EAF1DD" w:themeFill="accent3" w:themeFillTint="33"/>
          </w:tcPr>
          <w:p w14:paraId="53E17A6B" w14:textId="4B196D2D" w:rsidR="00FA40E8" w:rsidRDefault="00E74AE8">
            <w:pPr>
              <w:pStyle w:val="P68B1DB1-Normal39"/>
              <w:spacing w:after="0"/>
              <w:rPr>
                <w:noProof/>
              </w:rPr>
            </w:pPr>
            <w:r>
              <w:rPr>
                <w:noProof/>
              </w:rPr>
              <w:t>Capacités de l’infrastructure</w:t>
            </w:r>
          </w:p>
        </w:tc>
      </w:tr>
      <w:tr w:rsidR="00FA40E8" w14:paraId="6D87BA89" w14:textId="77777777">
        <w:trPr>
          <w:cantSplit/>
          <w:trHeight w:val="300"/>
        </w:trPr>
        <w:tc>
          <w:tcPr>
            <w:tcW w:w="1204" w:type="dxa"/>
            <w:shd w:val="clear" w:color="auto" w:fill="EAF1DD" w:themeFill="accent3" w:themeFillTint="33"/>
            <w:noWrap/>
            <w:vAlign w:val="center"/>
          </w:tcPr>
          <w:p w14:paraId="3945FB58" w14:textId="07AA6630" w:rsidR="00FA40E8" w:rsidRDefault="00E74AE8">
            <w:pPr>
              <w:pStyle w:val="P68B1DB1-Normal39"/>
              <w:spacing w:after="0"/>
              <w:jc w:val="center"/>
              <w:rPr>
                <w:noProof/>
              </w:rPr>
            </w:pPr>
            <w:r>
              <w:rPr>
                <w:noProof/>
              </w:rPr>
              <w:t>19</w:t>
            </w:r>
          </w:p>
        </w:tc>
        <w:tc>
          <w:tcPr>
            <w:tcW w:w="3402" w:type="dxa"/>
            <w:shd w:val="clear" w:color="auto" w:fill="EAF1DD" w:themeFill="accent3" w:themeFillTint="33"/>
          </w:tcPr>
          <w:p w14:paraId="6204EC23" w14:textId="507B45C5" w:rsidR="00FA40E8" w:rsidRDefault="00E74AE8">
            <w:pPr>
              <w:pStyle w:val="P68B1DB1-Normal39"/>
              <w:spacing w:after="0"/>
              <w:rPr>
                <w:noProof/>
              </w:rPr>
            </w:pPr>
            <w:r>
              <w:rPr>
                <w:noProof/>
              </w:rPr>
              <w:t>A.1.3. Résilience des systèmes de santé face aux situations d’urgence</w:t>
            </w:r>
          </w:p>
          <w:p w14:paraId="4CC82B18" w14:textId="24308131" w:rsidR="00FA40E8" w:rsidRDefault="00E74AE8">
            <w:pPr>
              <w:pStyle w:val="P68B1DB1-Normal39"/>
              <w:spacing w:after="0"/>
              <w:rPr>
                <w:noProof/>
              </w:rPr>
            </w:pPr>
            <w:r>
              <w:rPr>
                <w:noProof/>
              </w:rPr>
              <w:t>A.1.3.2. Modernisation des pôles de maladies infectieuses</w:t>
            </w:r>
          </w:p>
        </w:tc>
        <w:tc>
          <w:tcPr>
            <w:tcW w:w="1594" w:type="dxa"/>
            <w:shd w:val="clear" w:color="auto" w:fill="EAF1DD" w:themeFill="accent3" w:themeFillTint="33"/>
          </w:tcPr>
          <w:p w14:paraId="362A268A" w14:textId="0506F02E" w:rsidR="00FA40E8" w:rsidRDefault="00E74AE8">
            <w:pPr>
              <w:pStyle w:val="P68B1DB1-Normal39"/>
              <w:spacing w:after="0"/>
              <w:jc w:val="center"/>
              <w:rPr>
                <w:noProof/>
              </w:rPr>
            </w:pPr>
            <w:r>
              <w:rPr>
                <w:noProof/>
              </w:rPr>
              <w:t>Objectif</w:t>
            </w:r>
          </w:p>
        </w:tc>
        <w:tc>
          <w:tcPr>
            <w:tcW w:w="3579" w:type="dxa"/>
            <w:shd w:val="clear" w:color="auto" w:fill="EAF1DD" w:themeFill="accent3" w:themeFillTint="33"/>
          </w:tcPr>
          <w:p w14:paraId="0A15486A" w14:textId="010DCC2D" w:rsidR="00FA40E8" w:rsidRDefault="00E74AE8">
            <w:pPr>
              <w:pStyle w:val="P68B1DB1-Normal39"/>
              <w:spacing w:after="0"/>
              <w:rPr>
                <w:noProof/>
              </w:rPr>
            </w:pPr>
            <w:r>
              <w:rPr>
                <w:noProof/>
              </w:rPr>
              <w:t>Nomb</w:t>
            </w:r>
            <w:r>
              <w:rPr>
                <w:noProof/>
              </w:rPr>
              <w:t>re de centres de clusters modernisés dans le domaine des maladies infectieuses</w:t>
            </w:r>
          </w:p>
        </w:tc>
      </w:tr>
      <w:tr w:rsidR="00FA40E8" w14:paraId="2587532A" w14:textId="77777777">
        <w:trPr>
          <w:cantSplit/>
          <w:trHeight w:val="300"/>
        </w:trPr>
        <w:tc>
          <w:tcPr>
            <w:tcW w:w="1204" w:type="dxa"/>
            <w:shd w:val="clear" w:color="auto" w:fill="EAF1DD" w:themeFill="accent3" w:themeFillTint="33"/>
            <w:noWrap/>
            <w:vAlign w:val="center"/>
          </w:tcPr>
          <w:p w14:paraId="203246A6" w14:textId="76B55250" w:rsidR="00FA40E8" w:rsidRDefault="00E74AE8">
            <w:pPr>
              <w:pStyle w:val="P68B1DB1-Normal39"/>
              <w:spacing w:after="0"/>
              <w:jc w:val="center"/>
              <w:rPr>
                <w:noProof/>
              </w:rPr>
            </w:pPr>
            <w:r>
              <w:rPr>
                <w:noProof/>
              </w:rPr>
              <w:t>20</w:t>
            </w:r>
          </w:p>
        </w:tc>
        <w:tc>
          <w:tcPr>
            <w:tcW w:w="3402" w:type="dxa"/>
            <w:shd w:val="clear" w:color="auto" w:fill="EAF1DD" w:themeFill="accent3" w:themeFillTint="33"/>
          </w:tcPr>
          <w:p w14:paraId="54981CDD" w14:textId="73D8FA7B" w:rsidR="00FA40E8" w:rsidRDefault="00E74AE8">
            <w:pPr>
              <w:pStyle w:val="P68B1DB1-Normal39"/>
              <w:spacing w:after="0"/>
              <w:rPr>
                <w:noProof/>
              </w:rPr>
            </w:pPr>
            <w:r>
              <w:rPr>
                <w:noProof/>
              </w:rPr>
              <w:t>A.1.3. Résilience des systèmes de santé face aux situations d’urgence</w:t>
            </w:r>
          </w:p>
          <w:p w14:paraId="43CD18EF" w14:textId="1A27CCB4" w:rsidR="00FA40E8" w:rsidRDefault="00E74AE8">
            <w:pPr>
              <w:pStyle w:val="P68B1DB1-Normal39"/>
              <w:spacing w:after="0"/>
              <w:rPr>
                <w:noProof/>
              </w:rPr>
            </w:pPr>
            <w:r>
              <w:rPr>
                <w:noProof/>
              </w:rPr>
              <w:t>A.1.3.3. Modernisation des services d’urgence et des unités de réanimation dans les hôpitaux régionaux</w:t>
            </w:r>
          </w:p>
        </w:tc>
        <w:tc>
          <w:tcPr>
            <w:tcW w:w="1594" w:type="dxa"/>
            <w:shd w:val="clear" w:color="auto" w:fill="EAF1DD" w:themeFill="accent3" w:themeFillTint="33"/>
          </w:tcPr>
          <w:p w14:paraId="2E425F5E" w14:textId="47B84168" w:rsidR="00FA40E8" w:rsidRDefault="00E74AE8">
            <w:pPr>
              <w:pStyle w:val="P68B1DB1-Normal39"/>
              <w:spacing w:after="0"/>
              <w:jc w:val="center"/>
              <w:rPr>
                <w:noProof/>
              </w:rPr>
            </w:pPr>
            <w:r>
              <w:rPr>
                <w:noProof/>
              </w:rPr>
              <w:t>Objectif</w:t>
            </w:r>
          </w:p>
        </w:tc>
        <w:tc>
          <w:tcPr>
            <w:tcW w:w="3579" w:type="dxa"/>
            <w:shd w:val="clear" w:color="auto" w:fill="EAF1DD" w:themeFill="accent3" w:themeFillTint="33"/>
          </w:tcPr>
          <w:p w14:paraId="43516B1F" w14:textId="297E3FA6" w:rsidR="00FA40E8" w:rsidRDefault="00E74AE8">
            <w:pPr>
              <w:pStyle w:val="P68B1DB1-Normal39"/>
              <w:spacing w:after="0"/>
              <w:rPr>
                <w:noProof/>
              </w:rPr>
            </w:pPr>
            <w:r>
              <w:rPr>
                <w:noProof/>
              </w:rPr>
              <w:t>Nombre d’hôpitaux disposant d’unités d’urgence, de réanimation ou de soins intensifs modernisées.</w:t>
            </w:r>
          </w:p>
        </w:tc>
      </w:tr>
      <w:tr w:rsidR="00FA40E8" w14:paraId="62AB76B4" w14:textId="77777777">
        <w:trPr>
          <w:cantSplit/>
          <w:trHeight w:val="300"/>
        </w:trPr>
        <w:tc>
          <w:tcPr>
            <w:tcW w:w="1204" w:type="dxa"/>
            <w:shd w:val="clear" w:color="auto" w:fill="EAF1DD" w:themeFill="accent3" w:themeFillTint="33"/>
            <w:noWrap/>
            <w:vAlign w:val="center"/>
          </w:tcPr>
          <w:p w14:paraId="10B38889" w14:textId="6B5C9726" w:rsidR="00FA40E8" w:rsidRDefault="00E74AE8">
            <w:pPr>
              <w:pStyle w:val="P68B1DB1-Normal39"/>
              <w:spacing w:after="0"/>
              <w:jc w:val="center"/>
              <w:rPr>
                <w:noProof/>
              </w:rPr>
            </w:pPr>
            <w:r>
              <w:rPr>
                <w:noProof/>
              </w:rPr>
              <w:t>26</w:t>
            </w:r>
          </w:p>
        </w:tc>
        <w:tc>
          <w:tcPr>
            <w:tcW w:w="3402" w:type="dxa"/>
            <w:shd w:val="clear" w:color="auto" w:fill="EAF1DD" w:themeFill="accent3" w:themeFillTint="33"/>
          </w:tcPr>
          <w:p w14:paraId="52899B6A" w14:textId="3E35664A" w:rsidR="00FA40E8" w:rsidRDefault="00E74AE8">
            <w:pPr>
              <w:pStyle w:val="P68B1DB1-Normal38"/>
              <w:spacing w:after="0"/>
              <w:rPr>
                <w:noProof/>
              </w:rPr>
            </w:pPr>
            <w:r>
              <w:rPr>
                <w:noProof/>
              </w:rPr>
              <w:t>B.1.1 Production d’électricité plus durable dans le pays — B.1.1.2</w:t>
            </w:r>
            <w:r>
              <w:rPr>
                <w:noProof/>
                <w:u w:val="single"/>
              </w:rPr>
              <w:t xml:space="preserve"> </w:t>
            </w:r>
            <w:r>
              <w:rPr>
                <w:noProof/>
              </w:rPr>
              <w:t xml:space="preserve">Soutien à la construction d’installations de stockage individuelles </w:t>
            </w:r>
          </w:p>
        </w:tc>
        <w:tc>
          <w:tcPr>
            <w:tcW w:w="1594" w:type="dxa"/>
            <w:shd w:val="clear" w:color="auto" w:fill="EAF1DD" w:themeFill="accent3" w:themeFillTint="33"/>
          </w:tcPr>
          <w:p w14:paraId="041C1714" w14:textId="4C4D71EA" w:rsidR="00FA40E8" w:rsidRDefault="00E74AE8">
            <w:pPr>
              <w:pStyle w:val="P68B1DB1-Normal38"/>
              <w:spacing w:after="0"/>
              <w:jc w:val="center"/>
              <w:rPr>
                <w:noProof/>
              </w:rPr>
            </w:pPr>
            <w:r>
              <w:rPr>
                <w:noProof/>
              </w:rPr>
              <w:t>Objectif</w:t>
            </w:r>
          </w:p>
        </w:tc>
        <w:tc>
          <w:tcPr>
            <w:tcW w:w="3579" w:type="dxa"/>
            <w:shd w:val="clear" w:color="auto" w:fill="EAF1DD" w:themeFill="accent3" w:themeFillTint="33"/>
          </w:tcPr>
          <w:p w14:paraId="44AE02BA" w14:textId="3F85066B" w:rsidR="00FA40E8" w:rsidRDefault="00E74AE8">
            <w:pPr>
              <w:pStyle w:val="P68B1DB1-Normal38"/>
              <w:spacing w:after="0"/>
              <w:rPr>
                <w:noProof/>
              </w:rPr>
            </w:pPr>
            <w:r>
              <w:rPr>
                <w:noProof/>
              </w:rPr>
              <w:t>Capacité de stockage d’énergie individuelle installée</w:t>
            </w:r>
          </w:p>
        </w:tc>
      </w:tr>
      <w:tr w:rsidR="00FA40E8" w14:paraId="3AFC2D94" w14:textId="77777777">
        <w:trPr>
          <w:cantSplit/>
          <w:trHeight w:val="300"/>
        </w:trPr>
        <w:tc>
          <w:tcPr>
            <w:tcW w:w="1204" w:type="dxa"/>
            <w:shd w:val="clear" w:color="auto" w:fill="EAF1DD" w:themeFill="accent3" w:themeFillTint="33"/>
            <w:noWrap/>
            <w:vAlign w:val="center"/>
          </w:tcPr>
          <w:p w14:paraId="25246619" w14:textId="6D540206" w:rsidR="00FA40E8" w:rsidRDefault="00E74AE8">
            <w:pPr>
              <w:pStyle w:val="P68B1DB1-Normal39"/>
              <w:spacing w:after="0"/>
              <w:jc w:val="center"/>
              <w:rPr>
                <w:noProof/>
                <w:color w:val="000000" w:themeColor="text1"/>
              </w:rPr>
            </w:pPr>
            <w:r>
              <w:rPr>
                <w:noProof/>
              </w:rPr>
              <w:t xml:space="preserve">32 </w:t>
            </w:r>
          </w:p>
        </w:tc>
        <w:tc>
          <w:tcPr>
            <w:tcW w:w="3402" w:type="dxa"/>
            <w:shd w:val="clear" w:color="auto" w:fill="EAF1DD" w:themeFill="accent3" w:themeFillTint="33"/>
          </w:tcPr>
          <w:p w14:paraId="62770C8C" w14:textId="550CF75A" w:rsidR="00FA40E8" w:rsidRDefault="00E74AE8">
            <w:pPr>
              <w:pStyle w:val="P68B1DB1-Normal38"/>
              <w:spacing w:after="0"/>
              <w:rPr>
                <w:noProof/>
                <w:color w:val="000000" w:themeColor="text1"/>
              </w:rPr>
            </w:pPr>
            <w:r>
              <w:rPr>
                <w:noProof/>
              </w:rPr>
              <w:t>B.1.2. Se déplacer sans polluer l’environnement — B.1.2.1. Soutien à la fourniture de véhicules propres et à la mobilité durable</w:t>
            </w:r>
          </w:p>
        </w:tc>
        <w:tc>
          <w:tcPr>
            <w:tcW w:w="1594" w:type="dxa"/>
            <w:shd w:val="clear" w:color="auto" w:fill="EAF1DD" w:themeFill="accent3" w:themeFillTint="33"/>
          </w:tcPr>
          <w:p w14:paraId="668C7E9F" w14:textId="52180CAD" w:rsidR="00FA40E8" w:rsidRDefault="00E74AE8">
            <w:pPr>
              <w:pStyle w:val="P68B1DB1-Normal38"/>
              <w:spacing w:after="0"/>
              <w:jc w:val="center"/>
              <w:rPr>
                <w:noProof/>
                <w:color w:val="000000" w:themeColor="text1"/>
              </w:rPr>
            </w:pPr>
            <w:r>
              <w:rPr>
                <w:noProof/>
              </w:rPr>
              <w:t>Objectif</w:t>
            </w:r>
          </w:p>
        </w:tc>
        <w:tc>
          <w:tcPr>
            <w:tcW w:w="3579" w:type="dxa"/>
            <w:shd w:val="clear" w:color="auto" w:fill="EAF1DD" w:themeFill="accent3" w:themeFillTint="33"/>
          </w:tcPr>
          <w:p w14:paraId="5171CDFB" w14:textId="7A767C50" w:rsidR="00FA40E8" w:rsidRDefault="00E74AE8">
            <w:pPr>
              <w:pStyle w:val="P68B1DB1-Normal38"/>
              <w:spacing w:after="0"/>
              <w:rPr>
                <w:noProof/>
                <w:color w:val="000000" w:themeColor="text1"/>
              </w:rPr>
            </w:pPr>
            <w:r>
              <w:rPr>
                <w:noProof/>
              </w:rPr>
              <w:t>Nombre de véhicules de transport propres livrés et immatric</w:t>
            </w:r>
            <w:r>
              <w:rPr>
                <w:noProof/>
              </w:rPr>
              <w:t xml:space="preserve">ulés en Lituanie </w:t>
            </w:r>
          </w:p>
        </w:tc>
      </w:tr>
      <w:tr w:rsidR="00FA40E8" w14:paraId="5F774270" w14:textId="77777777">
        <w:trPr>
          <w:cantSplit/>
          <w:trHeight w:val="300"/>
        </w:trPr>
        <w:tc>
          <w:tcPr>
            <w:tcW w:w="1204" w:type="dxa"/>
            <w:shd w:val="clear" w:color="auto" w:fill="EAF1DD" w:themeFill="accent3" w:themeFillTint="33"/>
            <w:noWrap/>
            <w:vAlign w:val="center"/>
          </w:tcPr>
          <w:p w14:paraId="4BDAB5FF" w14:textId="2E8BFA6E" w:rsidR="00FA40E8" w:rsidRDefault="00E74AE8">
            <w:pPr>
              <w:pStyle w:val="P68B1DB1-Normal39"/>
              <w:spacing w:after="0"/>
              <w:jc w:val="center"/>
              <w:rPr>
                <w:noProof/>
                <w:color w:val="000000" w:themeColor="text1"/>
              </w:rPr>
            </w:pPr>
            <w:r>
              <w:rPr>
                <w:noProof/>
              </w:rPr>
              <w:t>32a</w:t>
            </w:r>
          </w:p>
        </w:tc>
        <w:tc>
          <w:tcPr>
            <w:tcW w:w="3402" w:type="dxa"/>
            <w:shd w:val="clear" w:color="auto" w:fill="EAF1DD" w:themeFill="accent3" w:themeFillTint="33"/>
          </w:tcPr>
          <w:p w14:paraId="5C0A1F34" w14:textId="3D4A90FA" w:rsidR="00FA40E8" w:rsidRDefault="00E74AE8">
            <w:pPr>
              <w:pStyle w:val="P68B1DB1-Normal39"/>
              <w:spacing w:after="0"/>
              <w:rPr>
                <w:noProof/>
                <w:color w:val="000000" w:themeColor="text1"/>
              </w:rPr>
            </w:pPr>
            <w:r>
              <w:rPr>
                <w:noProof/>
              </w:rPr>
              <w:t>B.1.2. Se déplacer sans polluer l’environnement — B.1.2.1. Soutien à la fourniture de véhicules propres et à la mobilité durable</w:t>
            </w:r>
          </w:p>
        </w:tc>
        <w:tc>
          <w:tcPr>
            <w:tcW w:w="1594" w:type="dxa"/>
            <w:shd w:val="clear" w:color="auto" w:fill="EAF1DD" w:themeFill="accent3" w:themeFillTint="33"/>
          </w:tcPr>
          <w:p w14:paraId="51F536E1" w14:textId="37E800C9" w:rsidR="00FA40E8" w:rsidRDefault="00E74AE8">
            <w:pPr>
              <w:pStyle w:val="P68B1DB1-Normal39"/>
              <w:spacing w:after="0"/>
              <w:jc w:val="center"/>
              <w:rPr>
                <w:noProof/>
                <w:color w:val="000000" w:themeColor="text1"/>
              </w:rPr>
            </w:pPr>
            <w:r>
              <w:rPr>
                <w:noProof/>
              </w:rPr>
              <w:t>Objectif</w:t>
            </w:r>
          </w:p>
        </w:tc>
        <w:tc>
          <w:tcPr>
            <w:tcW w:w="3579" w:type="dxa"/>
            <w:shd w:val="clear" w:color="auto" w:fill="EAF1DD" w:themeFill="accent3" w:themeFillTint="33"/>
          </w:tcPr>
          <w:p w14:paraId="3119DD21" w14:textId="5A72EBAB" w:rsidR="00FA40E8" w:rsidRDefault="00E74AE8">
            <w:pPr>
              <w:pStyle w:val="P68B1DB1-Normal39"/>
              <w:spacing w:after="0"/>
              <w:rPr>
                <w:noProof/>
                <w:color w:val="000000" w:themeColor="text1"/>
              </w:rPr>
            </w:pPr>
            <w:r>
              <w:rPr>
                <w:noProof/>
              </w:rPr>
              <w:t xml:space="preserve">Longueur des pistes cyclables, des rues ou des voies nouvellement construites ou rénovées, ou </w:t>
            </w:r>
            <w:r>
              <w:rPr>
                <w:noProof/>
              </w:rPr>
              <w:t>des pistes cyclables et piétonnes combinées</w:t>
            </w:r>
          </w:p>
        </w:tc>
      </w:tr>
      <w:tr w:rsidR="00FA40E8" w14:paraId="4EBBC3BD" w14:textId="77777777">
        <w:trPr>
          <w:cantSplit/>
          <w:trHeight w:val="300"/>
        </w:trPr>
        <w:tc>
          <w:tcPr>
            <w:tcW w:w="1204" w:type="dxa"/>
            <w:shd w:val="clear" w:color="auto" w:fill="EAF1DD" w:themeFill="accent3" w:themeFillTint="33"/>
            <w:noWrap/>
            <w:vAlign w:val="center"/>
          </w:tcPr>
          <w:p w14:paraId="03D26AB1" w14:textId="77708AB0" w:rsidR="00FA40E8" w:rsidRDefault="00E74AE8">
            <w:pPr>
              <w:pStyle w:val="P68B1DB1-Normal39"/>
              <w:spacing w:after="0"/>
              <w:jc w:val="center"/>
              <w:rPr>
                <w:noProof/>
                <w:szCs w:val="22"/>
              </w:rPr>
            </w:pPr>
            <w:r>
              <w:rPr>
                <w:noProof/>
              </w:rPr>
              <w:t>32b</w:t>
            </w:r>
          </w:p>
        </w:tc>
        <w:tc>
          <w:tcPr>
            <w:tcW w:w="3402" w:type="dxa"/>
            <w:shd w:val="clear" w:color="auto" w:fill="EAF1DD" w:themeFill="accent3" w:themeFillTint="33"/>
          </w:tcPr>
          <w:p w14:paraId="3A53B7CE" w14:textId="3385848A" w:rsidR="00FA40E8" w:rsidRDefault="00E74AE8">
            <w:pPr>
              <w:pStyle w:val="P68B1DB1-Normal39"/>
              <w:spacing w:after="0"/>
              <w:rPr>
                <w:noProof/>
              </w:rPr>
            </w:pPr>
            <w:r>
              <w:rPr>
                <w:noProof/>
              </w:rPr>
              <w:t>B.1.2. Se déplacer sans polluer l’environnement — B.1.2.1. Soutien à la fourniture de véhicules propres et à la mobilité durable</w:t>
            </w:r>
          </w:p>
        </w:tc>
        <w:tc>
          <w:tcPr>
            <w:tcW w:w="1594" w:type="dxa"/>
            <w:shd w:val="clear" w:color="auto" w:fill="EAF1DD" w:themeFill="accent3" w:themeFillTint="33"/>
          </w:tcPr>
          <w:p w14:paraId="38BF39D2" w14:textId="243A6CB0" w:rsidR="00FA40E8" w:rsidRDefault="00E74AE8">
            <w:pPr>
              <w:pStyle w:val="P68B1DB1-Normal39"/>
              <w:spacing w:after="0"/>
              <w:jc w:val="center"/>
              <w:rPr>
                <w:noProof/>
                <w:szCs w:val="22"/>
              </w:rPr>
            </w:pPr>
            <w:r>
              <w:rPr>
                <w:noProof/>
              </w:rPr>
              <w:t>Étape</w:t>
            </w:r>
          </w:p>
        </w:tc>
        <w:tc>
          <w:tcPr>
            <w:tcW w:w="3579" w:type="dxa"/>
            <w:shd w:val="clear" w:color="auto" w:fill="EAF1DD" w:themeFill="accent3" w:themeFillTint="33"/>
          </w:tcPr>
          <w:p w14:paraId="1B19FAEB" w14:textId="70686B82" w:rsidR="00FA40E8" w:rsidRDefault="00E74AE8">
            <w:pPr>
              <w:pStyle w:val="P68B1DB1-Normal39"/>
              <w:spacing w:after="0"/>
              <w:rPr>
                <w:noProof/>
              </w:rPr>
            </w:pPr>
            <w:r>
              <w:rPr>
                <w:noProof/>
              </w:rPr>
              <w:t>Électrification des segments ferroviaires entre Radviliškis et Klaipėda</w:t>
            </w:r>
          </w:p>
        </w:tc>
      </w:tr>
      <w:tr w:rsidR="00FA40E8" w14:paraId="1DFBCF89" w14:textId="77777777">
        <w:trPr>
          <w:cantSplit/>
          <w:trHeight w:val="300"/>
        </w:trPr>
        <w:tc>
          <w:tcPr>
            <w:tcW w:w="1204" w:type="dxa"/>
            <w:shd w:val="clear" w:color="auto" w:fill="EAF1DD" w:themeFill="accent3" w:themeFillTint="33"/>
            <w:noWrap/>
            <w:vAlign w:val="center"/>
          </w:tcPr>
          <w:p w14:paraId="2630C3ED" w14:textId="70F156AE" w:rsidR="00FA40E8" w:rsidRDefault="00E74AE8">
            <w:pPr>
              <w:pStyle w:val="P68B1DB1-Normal39"/>
              <w:spacing w:after="0"/>
              <w:jc w:val="center"/>
              <w:rPr>
                <w:noProof/>
                <w:szCs w:val="22"/>
              </w:rPr>
            </w:pPr>
            <w:r>
              <w:rPr>
                <w:noProof/>
              </w:rPr>
              <w:t>33</w:t>
            </w:r>
          </w:p>
        </w:tc>
        <w:tc>
          <w:tcPr>
            <w:tcW w:w="3402" w:type="dxa"/>
            <w:shd w:val="clear" w:color="auto" w:fill="EAF1DD" w:themeFill="accent3" w:themeFillTint="33"/>
          </w:tcPr>
          <w:p w14:paraId="37D9159E" w14:textId="7597462C" w:rsidR="00FA40E8" w:rsidRDefault="00E74AE8">
            <w:pPr>
              <w:pStyle w:val="P68B1DB1-Normal38"/>
              <w:spacing w:after="0"/>
              <w:rPr>
                <w:noProof/>
              </w:rPr>
            </w:pPr>
            <w:r>
              <w:rPr>
                <w:noProof/>
              </w:rPr>
              <w:t xml:space="preserve">B.1.2. Se déplacer sans polluer l’environnement — B.1.2.1.  Soutien à la fourniture de véhicules propres et à la mobilité durable </w:t>
            </w:r>
          </w:p>
        </w:tc>
        <w:tc>
          <w:tcPr>
            <w:tcW w:w="1594" w:type="dxa"/>
            <w:shd w:val="clear" w:color="auto" w:fill="EAF1DD" w:themeFill="accent3" w:themeFillTint="33"/>
          </w:tcPr>
          <w:p w14:paraId="1E1F22EC" w14:textId="7FAB2D8C"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2B8B6704" w14:textId="13958F73" w:rsidR="00FA40E8" w:rsidRDefault="00E74AE8">
            <w:pPr>
              <w:pStyle w:val="P68B1DB1-Normal38"/>
              <w:spacing w:after="0"/>
              <w:rPr>
                <w:noProof/>
              </w:rPr>
            </w:pPr>
            <w:r>
              <w:rPr>
                <w:noProof/>
              </w:rPr>
              <w:t>Nombre d’autobus rénovés</w:t>
            </w:r>
          </w:p>
        </w:tc>
      </w:tr>
      <w:tr w:rsidR="00FA40E8" w14:paraId="6BCCD644" w14:textId="77777777">
        <w:trPr>
          <w:cantSplit/>
          <w:trHeight w:val="300"/>
        </w:trPr>
        <w:tc>
          <w:tcPr>
            <w:tcW w:w="1204" w:type="dxa"/>
            <w:shd w:val="clear" w:color="auto" w:fill="EAF1DD" w:themeFill="accent3" w:themeFillTint="33"/>
            <w:noWrap/>
            <w:vAlign w:val="center"/>
          </w:tcPr>
          <w:p w14:paraId="4B36C475" w14:textId="6BACEE04" w:rsidR="00FA40E8" w:rsidRDefault="00E74AE8">
            <w:pPr>
              <w:pStyle w:val="P68B1DB1-Normal39"/>
              <w:spacing w:after="0"/>
              <w:jc w:val="center"/>
              <w:rPr>
                <w:noProof/>
                <w:szCs w:val="22"/>
              </w:rPr>
            </w:pPr>
            <w:r>
              <w:rPr>
                <w:noProof/>
              </w:rPr>
              <w:t>34</w:t>
            </w:r>
          </w:p>
        </w:tc>
        <w:tc>
          <w:tcPr>
            <w:tcW w:w="3402" w:type="dxa"/>
            <w:shd w:val="clear" w:color="auto" w:fill="EAF1DD" w:themeFill="accent3" w:themeFillTint="33"/>
          </w:tcPr>
          <w:p w14:paraId="0F1B9A64" w14:textId="6433F4FB" w:rsidR="00FA40E8" w:rsidRDefault="00E74AE8">
            <w:pPr>
              <w:pStyle w:val="P68B1DB1-Normal38"/>
              <w:spacing w:after="0"/>
              <w:rPr>
                <w:noProof/>
              </w:rPr>
            </w:pPr>
            <w:r>
              <w:rPr>
                <w:noProof/>
              </w:rPr>
              <w:t xml:space="preserve">B.1.2 Promouvoir sans polluer l’environnement — B.1.2.2. Aide à l’achat de </w:t>
            </w:r>
            <w:r>
              <w:rPr>
                <w:noProof/>
              </w:rPr>
              <w:t>véhicules de transport public à émissions nulles</w:t>
            </w:r>
          </w:p>
        </w:tc>
        <w:tc>
          <w:tcPr>
            <w:tcW w:w="1594" w:type="dxa"/>
            <w:shd w:val="clear" w:color="auto" w:fill="EAF1DD" w:themeFill="accent3" w:themeFillTint="33"/>
          </w:tcPr>
          <w:p w14:paraId="30FEB8A9" w14:textId="384A1FD2"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36FEE610" w14:textId="0EB37E94" w:rsidR="00FA40E8" w:rsidRDefault="00E74AE8">
            <w:pPr>
              <w:pStyle w:val="P68B1DB1-Normal38"/>
              <w:spacing w:after="0"/>
              <w:rPr>
                <w:noProof/>
              </w:rPr>
            </w:pPr>
            <w:r>
              <w:rPr>
                <w:noProof/>
              </w:rPr>
              <w:t>Réforme du système de mobilité interurbaine</w:t>
            </w:r>
          </w:p>
        </w:tc>
      </w:tr>
      <w:tr w:rsidR="00FA40E8" w14:paraId="6014638C" w14:textId="77777777">
        <w:trPr>
          <w:cantSplit/>
          <w:trHeight w:val="300"/>
        </w:trPr>
        <w:tc>
          <w:tcPr>
            <w:tcW w:w="1204" w:type="dxa"/>
            <w:shd w:val="clear" w:color="auto" w:fill="EAF1DD" w:themeFill="accent3" w:themeFillTint="33"/>
            <w:noWrap/>
            <w:vAlign w:val="center"/>
          </w:tcPr>
          <w:p w14:paraId="34A943BB" w14:textId="5A1F7075" w:rsidR="00FA40E8" w:rsidRDefault="00E74AE8">
            <w:pPr>
              <w:pStyle w:val="P68B1DB1-Normal39"/>
              <w:spacing w:after="0"/>
              <w:jc w:val="center"/>
              <w:rPr>
                <w:noProof/>
                <w:szCs w:val="22"/>
              </w:rPr>
            </w:pPr>
            <w:r>
              <w:rPr>
                <w:noProof/>
              </w:rPr>
              <w:t>36</w:t>
            </w:r>
          </w:p>
        </w:tc>
        <w:tc>
          <w:tcPr>
            <w:tcW w:w="3402" w:type="dxa"/>
            <w:shd w:val="clear" w:color="auto" w:fill="EAF1DD" w:themeFill="accent3" w:themeFillTint="33"/>
          </w:tcPr>
          <w:p w14:paraId="5C983905" w14:textId="35C27FB2" w:rsidR="00FA40E8" w:rsidRDefault="00E74AE8">
            <w:pPr>
              <w:pStyle w:val="P68B1DB1-Normal38"/>
              <w:spacing w:after="0"/>
              <w:rPr>
                <w:noProof/>
              </w:rPr>
            </w:pPr>
            <w:r>
              <w:rPr>
                <w:noProof/>
              </w:rPr>
              <w:t xml:space="preserve">B.1.2 Promouvoir sans polluer l’environnement — B.1.2.2. Aide à l’achat de véhicules de transport public à émissions nulles </w:t>
            </w:r>
          </w:p>
        </w:tc>
        <w:tc>
          <w:tcPr>
            <w:tcW w:w="1594" w:type="dxa"/>
            <w:shd w:val="clear" w:color="auto" w:fill="EAF1DD" w:themeFill="accent3" w:themeFillTint="33"/>
          </w:tcPr>
          <w:p w14:paraId="56D057B8" w14:textId="64FF58DB"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11C2250F" w14:textId="63741B92" w:rsidR="00FA40E8" w:rsidRDefault="00E74AE8">
            <w:pPr>
              <w:pStyle w:val="P68B1DB1-Normal38"/>
              <w:spacing w:after="0"/>
              <w:rPr>
                <w:noProof/>
              </w:rPr>
            </w:pPr>
            <w:r>
              <w:rPr>
                <w:noProof/>
              </w:rPr>
              <w:t xml:space="preserve">Livraison de bus </w:t>
            </w:r>
            <w:r>
              <w:rPr>
                <w:noProof/>
              </w:rPr>
              <w:t>électriques ou fonctionnant à l’hydrogène</w:t>
            </w:r>
          </w:p>
        </w:tc>
      </w:tr>
      <w:tr w:rsidR="00FA40E8" w14:paraId="32726DCB" w14:textId="77777777">
        <w:trPr>
          <w:cantSplit/>
          <w:trHeight w:val="300"/>
        </w:trPr>
        <w:tc>
          <w:tcPr>
            <w:tcW w:w="1204" w:type="dxa"/>
            <w:shd w:val="clear" w:color="auto" w:fill="EAF1DD" w:themeFill="accent3" w:themeFillTint="33"/>
            <w:noWrap/>
            <w:vAlign w:val="center"/>
          </w:tcPr>
          <w:p w14:paraId="5CCC7133" w14:textId="4B5D061F" w:rsidR="00FA40E8" w:rsidRDefault="00E74AE8">
            <w:pPr>
              <w:pStyle w:val="P68B1DB1-Normal39"/>
              <w:jc w:val="center"/>
              <w:rPr>
                <w:noProof/>
              </w:rPr>
            </w:pPr>
            <w:r>
              <w:rPr>
                <w:noProof/>
              </w:rPr>
              <w:t>39</w:t>
            </w:r>
          </w:p>
        </w:tc>
        <w:tc>
          <w:tcPr>
            <w:tcW w:w="3402" w:type="dxa"/>
            <w:shd w:val="clear" w:color="auto" w:fill="EAF1DD" w:themeFill="accent3" w:themeFillTint="33"/>
          </w:tcPr>
          <w:p w14:paraId="22CB0C97" w14:textId="486DC35B" w:rsidR="00FA40E8" w:rsidRDefault="00E74AE8">
            <w:pPr>
              <w:pStyle w:val="P68B1DB1-Normal38"/>
              <w:rPr>
                <w:noProof/>
                <w:color w:val="000000" w:themeColor="text1"/>
              </w:rPr>
            </w:pPr>
            <w:r>
              <w:rPr>
                <w:noProof/>
              </w:rPr>
              <w:t>Installation de points de recharge privés et ouverts au public</w:t>
            </w:r>
          </w:p>
        </w:tc>
        <w:tc>
          <w:tcPr>
            <w:tcW w:w="1594" w:type="dxa"/>
            <w:shd w:val="clear" w:color="auto" w:fill="EAF1DD" w:themeFill="accent3" w:themeFillTint="33"/>
          </w:tcPr>
          <w:p w14:paraId="5BECD9F3" w14:textId="6B4DE618" w:rsidR="00FA40E8" w:rsidRDefault="00E74AE8">
            <w:pPr>
              <w:pStyle w:val="P68B1DB1-Normal38"/>
              <w:jc w:val="center"/>
              <w:rPr>
                <w:noProof/>
              </w:rPr>
            </w:pPr>
            <w:r>
              <w:rPr>
                <w:noProof/>
              </w:rPr>
              <w:t>Objectif</w:t>
            </w:r>
          </w:p>
        </w:tc>
        <w:tc>
          <w:tcPr>
            <w:tcW w:w="3579" w:type="dxa"/>
            <w:shd w:val="clear" w:color="auto" w:fill="EAF1DD" w:themeFill="accent3" w:themeFillTint="33"/>
          </w:tcPr>
          <w:p w14:paraId="5121B32F" w14:textId="459F15B5" w:rsidR="00FA40E8" w:rsidRDefault="00E74AE8">
            <w:pPr>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800 points de recharge pour véhicules électriques ouverts au public et 18</w:t>
            </w:r>
            <w:r>
              <w:rPr>
                <w:rFonts w:ascii="Times New Roman" w:hAnsi="Times New Roman"/>
                <w:noProof/>
                <w:sz w:val="20"/>
              </w:rPr>
              <w:t xml:space="preserve"> </w:t>
            </w:r>
            <w:r>
              <w:rPr>
                <w:rFonts w:ascii="Times New Roman" w:eastAsia="Times New Roman" w:hAnsi="Times New Roman" w:cs="Times New Roman"/>
                <w:noProof/>
                <w:color w:val="000000" w:themeColor="text1"/>
              </w:rPr>
              <w:t xml:space="preserve">910 points de recharge pour véhicules électriques privés sont </w:t>
            </w:r>
            <w:r>
              <w:rPr>
                <w:rFonts w:ascii="Times New Roman" w:eastAsia="Times New Roman" w:hAnsi="Times New Roman" w:cs="Times New Roman"/>
                <w:noProof/>
                <w:color w:val="000000" w:themeColor="text1"/>
              </w:rPr>
              <w:t>installés.</w:t>
            </w:r>
          </w:p>
        </w:tc>
      </w:tr>
      <w:tr w:rsidR="00FA40E8" w14:paraId="2072D0BC" w14:textId="77777777">
        <w:trPr>
          <w:cantSplit/>
          <w:trHeight w:val="300"/>
        </w:trPr>
        <w:tc>
          <w:tcPr>
            <w:tcW w:w="1204" w:type="dxa"/>
            <w:shd w:val="clear" w:color="auto" w:fill="EAF1DD" w:themeFill="accent3" w:themeFillTint="33"/>
            <w:noWrap/>
            <w:vAlign w:val="center"/>
          </w:tcPr>
          <w:p w14:paraId="46981E14" w14:textId="032A28D3" w:rsidR="00FA40E8" w:rsidRDefault="00E74AE8">
            <w:pPr>
              <w:pStyle w:val="P68B1DB1-Normal39"/>
              <w:spacing w:after="0"/>
              <w:jc w:val="center"/>
              <w:rPr>
                <w:noProof/>
                <w:szCs w:val="22"/>
              </w:rPr>
            </w:pPr>
            <w:r>
              <w:rPr>
                <w:noProof/>
              </w:rPr>
              <w:t>42</w:t>
            </w:r>
          </w:p>
        </w:tc>
        <w:tc>
          <w:tcPr>
            <w:tcW w:w="3402" w:type="dxa"/>
            <w:shd w:val="clear" w:color="auto" w:fill="EAF1DD" w:themeFill="accent3" w:themeFillTint="33"/>
          </w:tcPr>
          <w:p w14:paraId="54C6B9C9" w14:textId="5F7F292E" w:rsidR="00FA40E8" w:rsidRDefault="00E74AE8">
            <w:pPr>
              <w:pStyle w:val="P68B1DB1-Normal38"/>
              <w:spacing w:after="0"/>
              <w:rPr>
                <w:noProof/>
              </w:rPr>
            </w:pPr>
            <w:r>
              <w:rPr>
                <w:noProof/>
              </w:rPr>
              <w:t xml:space="preserve">B.1.2 Promouvoir sans polluer l’environnement — B.1.2.3. Installation d’infrastructures de recharge des véhicules et de remplissage des carburants alternatifs </w:t>
            </w:r>
          </w:p>
        </w:tc>
        <w:tc>
          <w:tcPr>
            <w:tcW w:w="1594" w:type="dxa"/>
            <w:shd w:val="clear" w:color="auto" w:fill="EAF1DD" w:themeFill="accent3" w:themeFillTint="33"/>
          </w:tcPr>
          <w:p w14:paraId="66D229A9" w14:textId="3300B349"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279529D6" w14:textId="563BC040" w:rsidR="00FA40E8" w:rsidRDefault="00E74AE8">
            <w:pPr>
              <w:pStyle w:val="P68B1DB1-Normal38"/>
              <w:spacing w:after="0"/>
              <w:rPr>
                <w:noProof/>
              </w:rPr>
            </w:pPr>
            <w:r>
              <w:rPr>
                <w:noProof/>
              </w:rPr>
              <w:t>Installation d’un service de station d’hydrogène accessible au public</w:t>
            </w:r>
          </w:p>
        </w:tc>
      </w:tr>
      <w:tr w:rsidR="00FA40E8" w14:paraId="47C8C95A" w14:textId="77777777">
        <w:trPr>
          <w:cantSplit/>
          <w:trHeight w:val="300"/>
        </w:trPr>
        <w:tc>
          <w:tcPr>
            <w:tcW w:w="1204" w:type="dxa"/>
            <w:shd w:val="clear" w:color="auto" w:fill="EAF1DD" w:themeFill="accent3" w:themeFillTint="33"/>
            <w:noWrap/>
            <w:vAlign w:val="center"/>
          </w:tcPr>
          <w:p w14:paraId="6C4500C5" w14:textId="4D4B4060" w:rsidR="00FA40E8" w:rsidRDefault="00E74AE8">
            <w:pPr>
              <w:pStyle w:val="P68B1DB1-Normal39"/>
              <w:spacing w:after="0"/>
              <w:jc w:val="center"/>
              <w:rPr>
                <w:noProof/>
                <w:szCs w:val="22"/>
              </w:rPr>
            </w:pPr>
            <w:r>
              <w:rPr>
                <w:noProof/>
              </w:rPr>
              <w:t>4</w:t>
            </w:r>
            <w:r>
              <w:rPr>
                <w:noProof/>
              </w:rPr>
              <w:t>5</w:t>
            </w:r>
          </w:p>
        </w:tc>
        <w:tc>
          <w:tcPr>
            <w:tcW w:w="3402" w:type="dxa"/>
            <w:shd w:val="clear" w:color="auto" w:fill="EAF1DD" w:themeFill="accent3" w:themeFillTint="33"/>
          </w:tcPr>
          <w:p w14:paraId="2E3B8326" w14:textId="5AF176A5" w:rsidR="00FA40E8" w:rsidRDefault="00E74AE8">
            <w:pPr>
              <w:pStyle w:val="P68B1DB1-Normal38"/>
              <w:spacing w:after="0"/>
              <w:rPr>
                <w:noProof/>
              </w:rPr>
            </w:pPr>
            <w:r>
              <w:rPr>
                <w:noProof/>
              </w:rPr>
              <w:t>B.1.2 Promouvoir sans polluer l’environnement — B.1.2.4. Soutien au secteur des carburants SER (gaz biométhane, biocarburants liquides de deuxième génération pour les transports et hydrogène renouvelable)</w:t>
            </w:r>
          </w:p>
        </w:tc>
        <w:tc>
          <w:tcPr>
            <w:tcW w:w="1594" w:type="dxa"/>
            <w:shd w:val="clear" w:color="auto" w:fill="EAF1DD" w:themeFill="accent3" w:themeFillTint="33"/>
          </w:tcPr>
          <w:p w14:paraId="3C230CC4" w14:textId="7C6174A0"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27AD8B61" w14:textId="41C4126A" w:rsidR="00FA40E8" w:rsidRDefault="00E74AE8">
            <w:pPr>
              <w:pStyle w:val="P68B1DB1-Normal38"/>
              <w:spacing w:after="0"/>
              <w:rPr>
                <w:noProof/>
              </w:rPr>
            </w:pPr>
            <w:r>
              <w:rPr>
                <w:noProof/>
              </w:rPr>
              <w:t>Capacité totale installée des nouvelles installations de production de gaz biométhane et d’hydrogène renouvelable</w:t>
            </w:r>
          </w:p>
        </w:tc>
      </w:tr>
      <w:tr w:rsidR="00FA40E8" w14:paraId="45411C7F" w14:textId="77777777">
        <w:trPr>
          <w:cantSplit/>
          <w:trHeight w:val="300"/>
        </w:trPr>
        <w:tc>
          <w:tcPr>
            <w:tcW w:w="1204" w:type="dxa"/>
            <w:shd w:val="clear" w:color="auto" w:fill="EAF1DD" w:themeFill="accent3" w:themeFillTint="33"/>
            <w:noWrap/>
            <w:vAlign w:val="center"/>
          </w:tcPr>
          <w:p w14:paraId="3C553BF2" w14:textId="1A0342C1" w:rsidR="00FA40E8" w:rsidRDefault="00E74AE8">
            <w:pPr>
              <w:pStyle w:val="P68B1DB1-Normal39"/>
              <w:spacing w:after="0"/>
              <w:jc w:val="center"/>
              <w:rPr>
                <w:noProof/>
                <w:szCs w:val="22"/>
              </w:rPr>
            </w:pPr>
            <w:r>
              <w:rPr>
                <w:noProof/>
              </w:rPr>
              <w:t>46</w:t>
            </w:r>
          </w:p>
        </w:tc>
        <w:tc>
          <w:tcPr>
            <w:tcW w:w="3402" w:type="dxa"/>
            <w:shd w:val="clear" w:color="auto" w:fill="EAF1DD" w:themeFill="accent3" w:themeFillTint="33"/>
          </w:tcPr>
          <w:p w14:paraId="2CE97A53" w14:textId="768D23F1" w:rsidR="00FA40E8" w:rsidRDefault="00E74AE8">
            <w:pPr>
              <w:pStyle w:val="P68B1DB1-Normal38"/>
              <w:spacing w:after="0"/>
              <w:rPr>
                <w:noProof/>
              </w:rPr>
            </w:pPr>
            <w:r>
              <w:rPr>
                <w:noProof/>
              </w:rPr>
              <w:t xml:space="preserve">B.1.2 Promouvoir sans polluer l’environnement — B.1.2.4. Soutien au secteur des carburants SER (gaz biométhane, biocarburants liquides de </w:t>
            </w:r>
            <w:r>
              <w:rPr>
                <w:noProof/>
              </w:rPr>
              <w:t xml:space="preserve">deuxième génération pour les transports et hydrogène renouvelable) </w:t>
            </w:r>
          </w:p>
        </w:tc>
        <w:tc>
          <w:tcPr>
            <w:tcW w:w="1594" w:type="dxa"/>
            <w:shd w:val="clear" w:color="auto" w:fill="EAF1DD" w:themeFill="accent3" w:themeFillTint="33"/>
          </w:tcPr>
          <w:p w14:paraId="140687FD" w14:textId="3CEAB64F"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599BB379" w14:textId="703F199A" w:rsidR="00FA40E8" w:rsidRDefault="00E74AE8">
            <w:pPr>
              <w:pStyle w:val="P68B1DB1-Normal38"/>
              <w:spacing w:after="0"/>
              <w:rPr>
                <w:noProof/>
              </w:rPr>
            </w:pPr>
            <w:r>
              <w:rPr>
                <w:noProof/>
              </w:rPr>
              <w:t xml:space="preserve">Production annuelle supplémentaire de biocarburants liquides de deuxième génération </w:t>
            </w:r>
          </w:p>
        </w:tc>
      </w:tr>
      <w:tr w:rsidR="00FA40E8" w14:paraId="716A0221" w14:textId="77777777">
        <w:trPr>
          <w:cantSplit/>
          <w:trHeight w:val="300"/>
        </w:trPr>
        <w:tc>
          <w:tcPr>
            <w:tcW w:w="1204" w:type="dxa"/>
            <w:shd w:val="clear" w:color="auto" w:fill="EAF1DD" w:themeFill="accent3" w:themeFillTint="33"/>
            <w:noWrap/>
            <w:vAlign w:val="center"/>
          </w:tcPr>
          <w:p w14:paraId="071A30B8" w14:textId="7BF00652" w:rsidR="00FA40E8" w:rsidRDefault="00E74AE8">
            <w:pPr>
              <w:pStyle w:val="P68B1DB1-Normal39"/>
              <w:spacing w:after="0"/>
              <w:jc w:val="center"/>
              <w:rPr>
                <w:noProof/>
                <w:szCs w:val="22"/>
              </w:rPr>
            </w:pPr>
            <w:r>
              <w:rPr>
                <w:noProof/>
              </w:rPr>
              <w:t>52</w:t>
            </w:r>
          </w:p>
        </w:tc>
        <w:tc>
          <w:tcPr>
            <w:tcW w:w="3402" w:type="dxa"/>
            <w:shd w:val="clear" w:color="auto" w:fill="EAF1DD" w:themeFill="accent3" w:themeFillTint="33"/>
          </w:tcPr>
          <w:p w14:paraId="12CBC4B5" w14:textId="422F7F1C" w:rsidR="00FA40E8" w:rsidRDefault="00E74AE8">
            <w:pPr>
              <w:pStyle w:val="P68B1DB1-Normal38"/>
              <w:spacing w:after="0"/>
              <w:rPr>
                <w:noProof/>
              </w:rPr>
            </w:pPr>
            <w:r>
              <w:rPr>
                <w:noProof/>
              </w:rPr>
              <w:t xml:space="preserve">B.1.3 Accélérer la rénovation des bâtiments et un environnement urbain durable — B.1.3.3. </w:t>
            </w:r>
            <w:r>
              <w:rPr>
                <w:noProof/>
              </w:rPr>
              <w:t>Fourniture de produits et de services de construction qui accélèrent la rénovation des bâtiments</w:t>
            </w:r>
          </w:p>
        </w:tc>
        <w:tc>
          <w:tcPr>
            <w:tcW w:w="1594" w:type="dxa"/>
            <w:shd w:val="clear" w:color="auto" w:fill="EAF1DD" w:themeFill="accent3" w:themeFillTint="33"/>
          </w:tcPr>
          <w:p w14:paraId="2E4620A2" w14:textId="332C30CF"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535EA843" w14:textId="415954A8" w:rsidR="00FA40E8" w:rsidRDefault="00E74AE8">
            <w:pPr>
              <w:pStyle w:val="P68B1DB1-Normal38"/>
              <w:spacing w:after="0"/>
              <w:rPr>
                <w:noProof/>
                <w:szCs w:val="22"/>
              </w:rPr>
            </w:pPr>
            <w:r>
              <w:rPr>
                <w:noProof/>
              </w:rPr>
              <w:t>Capacité de production installée de structures modulaires à partir de matériaux organiques</w:t>
            </w:r>
          </w:p>
        </w:tc>
      </w:tr>
      <w:tr w:rsidR="00FA40E8" w14:paraId="1A8D1835" w14:textId="77777777">
        <w:trPr>
          <w:cantSplit/>
          <w:trHeight w:val="300"/>
        </w:trPr>
        <w:tc>
          <w:tcPr>
            <w:tcW w:w="1204" w:type="dxa"/>
            <w:shd w:val="clear" w:color="auto" w:fill="EAF1DD" w:themeFill="accent3" w:themeFillTint="33"/>
            <w:noWrap/>
            <w:vAlign w:val="center"/>
          </w:tcPr>
          <w:p w14:paraId="784363E8" w14:textId="1B119A9C" w:rsidR="00FA40E8" w:rsidRDefault="00E74AE8">
            <w:pPr>
              <w:pStyle w:val="P68B1DB1-Normal39"/>
              <w:spacing w:after="0"/>
              <w:jc w:val="center"/>
              <w:rPr>
                <w:noProof/>
                <w:szCs w:val="22"/>
              </w:rPr>
            </w:pPr>
            <w:r>
              <w:rPr>
                <w:noProof/>
              </w:rPr>
              <w:t>54</w:t>
            </w:r>
          </w:p>
        </w:tc>
        <w:tc>
          <w:tcPr>
            <w:tcW w:w="3402" w:type="dxa"/>
            <w:shd w:val="clear" w:color="auto" w:fill="EAF1DD" w:themeFill="accent3" w:themeFillTint="33"/>
          </w:tcPr>
          <w:p w14:paraId="4C5CB317" w14:textId="13C98DAB" w:rsidR="00FA40E8" w:rsidRDefault="00E74AE8">
            <w:pPr>
              <w:pStyle w:val="P68B1DB1-Normal38"/>
              <w:spacing w:after="0"/>
              <w:rPr>
                <w:noProof/>
              </w:rPr>
            </w:pPr>
            <w:r>
              <w:rPr>
                <w:noProof/>
              </w:rPr>
              <w:t>B.1.3 Accélérer la rénovation des bâtiments et un environnement urbain durable — B.1.3.4. Soutien à la rénovation des bâtiments</w:t>
            </w:r>
          </w:p>
        </w:tc>
        <w:tc>
          <w:tcPr>
            <w:tcW w:w="1594" w:type="dxa"/>
            <w:shd w:val="clear" w:color="auto" w:fill="EAF1DD" w:themeFill="accent3" w:themeFillTint="33"/>
          </w:tcPr>
          <w:p w14:paraId="1B4F6448" w14:textId="1360D6C9"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4FC6D959" w14:textId="3069F48A" w:rsidR="00FA40E8" w:rsidRDefault="00E74AE8">
            <w:pPr>
              <w:pStyle w:val="P68B1DB1-Normal38"/>
              <w:spacing w:after="0"/>
              <w:rPr>
                <w:noProof/>
                <w:szCs w:val="22"/>
              </w:rPr>
            </w:pPr>
            <w:r>
              <w:rPr>
                <w:noProof/>
              </w:rPr>
              <w:t xml:space="preserve">Surface des immeubles comprenant plusieurs appartements rénovés </w:t>
            </w:r>
          </w:p>
        </w:tc>
      </w:tr>
      <w:tr w:rsidR="00FA40E8" w14:paraId="7E8C204D" w14:textId="77777777">
        <w:trPr>
          <w:cantSplit/>
          <w:trHeight w:val="300"/>
        </w:trPr>
        <w:tc>
          <w:tcPr>
            <w:tcW w:w="1204" w:type="dxa"/>
            <w:shd w:val="clear" w:color="auto" w:fill="EAF1DD" w:themeFill="accent3" w:themeFillTint="33"/>
            <w:noWrap/>
            <w:vAlign w:val="center"/>
          </w:tcPr>
          <w:p w14:paraId="24041657" w14:textId="6BD71365" w:rsidR="00FA40E8" w:rsidRDefault="00E74AE8">
            <w:pPr>
              <w:pStyle w:val="P68B1DB1-Normal38"/>
              <w:spacing w:after="0"/>
              <w:jc w:val="center"/>
              <w:rPr>
                <w:noProof/>
                <w:szCs w:val="22"/>
              </w:rPr>
            </w:pPr>
            <w:r>
              <w:rPr>
                <w:noProof/>
              </w:rPr>
              <w:t>55</w:t>
            </w:r>
          </w:p>
        </w:tc>
        <w:tc>
          <w:tcPr>
            <w:tcW w:w="3402" w:type="dxa"/>
            <w:shd w:val="clear" w:color="auto" w:fill="EAF1DD" w:themeFill="accent3" w:themeFillTint="33"/>
          </w:tcPr>
          <w:p w14:paraId="4BD9D4A2" w14:textId="350FEB8C" w:rsidR="00FA40E8" w:rsidRDefault="00E74AE8">
            <w:pPr>
              <w:pStyle w:val="P68B1DB1-Normal38"/>
              <w:spacing w:after="0"/>
              <w:rPr>
                <w:noProof/>
              </w:rPr>
            </w:pPr>
            <w:r>
              <w:rPr>
                <w:noProof/>
              </w:rPr>
              <w:t>Maintenir et accroître la capacité d’absorption de</w:t>
            </w:r>
            <w:r>
              <w:rPr>
                <w:noProof/>
              </w:rPr>
              <w:t>s GES</w:t>
            </w:r>
          </w:p>
        </w:tc>
        <w:tc>
          <w:tcPr>
            <w:tcW w:w="1594" w:type="dxa"/>
            <w:shd w:val="clear" w:color="auto" w:fill="EAF1DD" w:themeFill="accent3" w:themeFillTint="33"/>
          </w:tcPr>
          <w:p w14:paraId="7EBF1A32" w14:textId="3ECC3C64"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045CFE15" w14:textId="3C359CB3" w:rsidR="00FA40E8" w:rsidRDefault="00E74AE8">
            <w:pPr>
              <w:pStyle w:val="P68B1DB1-Normal38"/>
              <w:spacing w:after="0"/>
              <w:rPr>
                <w:noProof/>
                <w:szCs w:val="22"/>
              </w:rPr>
            </w:pPr>
            <w:r>
              <w:rPr>
                <w:noProof/>
              </w:rPr>
              <w:t>Acquisition de zones forestières riches en biodiversité</w:t>
            </w:r>
          </w:p>
        </w:tc>
      </w:tr>
      <w:tr w:rsidR="00FA40E8" w14:paraId="6626B80A" w14:textId="77777777">
        <w:trPr>
          <w:cantSplit/>
          <w:trHeight w:val="300"/>
        </w:trPr>
        <w:tc>
          <w:tcPr>
            <w:tcW w:w="1204" w:type="dxa"/>
            <w:shd w:val="clear" w:color="auto" w:fill="EAF1DD" w:themeFill="accent3" w:themeFillTint="33"/>
            <w:noWrap/>
            <w:vAlign w:val="center"/>
          </w:tcPr>
          <w:p w14:paraId="274A018E" w14:textId="6FC946BB" w:rsidR="00FA40E8" w:rsidRDefault="00E74AE8">
            <w:pPr>
              <w:pStyle w:val="P68B1DB1-Normal39"/>
              <w:spacing w:after="0"/>
              <w:jc w:val="center"/>
              <w:rPr>
                <w:noProof/>
                <w:szCs w:val="22"/>
              </w:rPr>
            </w:pPr>
            <w:r>
              <w:rPr>
                <w:noProof/>
              </w:rPr>
              <w:t>59</w:t>
            </w:r>
          </w:p>
        </w:tc>
        <w:tc>
          <w:tcPr>
            <w:tcW w:w="3402" w:type="dxa"/>
            <w:shd w:val="clear" w:color="auto" w:fill="EAF1DD" w:themeFill="accent3" w:themeFillTint="33"/>
          </w:tcPr>
          <w:p w14:paraId="5D2A713C" w14:textId="17AB6D9F" w:rsidR="00FA40E8" w:rsidRDefault="00E74AE8">
            <w:pPr>
              <w:pStyle w:val="P68B1DB1-Normal38"/>
              <w:spacing w:after="0"/>
              <w:rPr>
                <w:noProof/>
              </w:rPr>
            </w:pPr>
            <w:r>
              <w:rPr>
                <w:noProof/>
              </w:rPr>
              <w:t xml:space="preserve">C.1.1 Transformation de la gouvernance publique des technologies de l’information </w:t>
            </w:r>
          </w:p>
        </w:tc>
        <w:tc>
          <w:tcPr>
            <w:tcW w:w="1594" w:type="dxa"/>
            <w:shd w:val="clear" w:color="auto" w:fill="EAF1DD" w:themeFill="accent3" w:themeFillTint="33"/>
          </w:tcPr>
          <w:p w14:paraId="40470408" w14:textId="051C8795"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7F727CB2" w14:textId="37D0DB95" w:rsidR="00FA40E8" w:rsidRDefault="00E74AE8">
            <w:pPr>
              <w:pStyle w:val="P68B1DB1-Normal38"/>
              <w:spacing w:after="0"/>
              <w:rPr>
                <w:noProof/>
              </w:rPr>
            </w:pPr>
            <w:r>
              <w:rPr>
                <w:noProof/>
              </w:rPr>
              <w:t xml:space="preserve">Systèmes gérés par les institutions et organes de l’État migrés vers une infrastructure en nuage hybride </w:t>
            </w:r>
          </w:p>
        </w:tc>
      </w:tr>
      <w:tr w:rsidR="00FA40E8" w14:paraId="6F0966A7" w14:textId="77777777">
        <w:trPr>
          <w:cantSplit/>
          <w:trHeight w:val="300"/>
        </w:trPr>
        <w:tc>
          <w:tcPr>
            <w:tcW w:w="1204" w:type="dxa"/>
            <w:shd w:val="clear" w:color="auto" w:fill="EAF1DD" w:themeFill="accent3" w:themeFillTint="33"/>
            <w:noWrap/>
            <w:vAlign w:val="center"/>
          </w:tcPr>
          <w:p w14:paraId="0581634C" w14:textId="7D2B96A4" w:rsidR="00FA40E8" w:rsidRDefault="00E74AE8">
            <w:pPr>
              <w:pStyle w:val="P68B1DB1-Normal39"/>
              <w:spacing w:after="0"/>
              <w:jc w:val="center"/>
              <w:rPr>
                <w:noProof/>
                <w:szCs w:val="22"/>
              </w:rPr>
            </w:pPr>
            <w:r>
              <w:rPr>
                <w:noProof/>
              </w:rPr>
              <w:t>60b</w:t>
            </w:r>
          </w:p>
        </w:tc>
        <w:tc>
          <w:tcPr>
            <w:tcW w:w="3402" w:type="dxa"/>
            <w:shd w:val="clear" w:color="auto" w:fill="EAF1DD" w:themeFill="accent3" w:themeFillTint="33"/>
          </w:tcPr>
          <w:p w14:paraId="4FCB03F8" w14:textId="6747FA8B" w:rsidR="00FA40E8" w:rsidRDefault="00E74AE8">
            <w:pPr>
              <w:pStyle w:val="P68B1DB1-Normal38"/>
              <w:spacing w:after="0"/>
              <w:rPr>
                <w:noProof/>
              </w:rPr>
            </w:pPr>
            <w:r>
              <w:rPr>
                <w:noProof/>
              </w:rPr>
              <w:t>C.1.1a Développement de la cybersécurité de l’État</w:t>
            </w:r>
          </w:p>
        </w:tc>
        <w:tc>
          <w:tcPr>
            <w:tcW w:w="1594" w:type="dxa"/>
            <w:shd w:val="clear" w:color="auto" w:fill="EAF1DD" w:themeFill="accent3" w:themeFillTint="33"/>
          </w:tcPr>
          <w:p w14:paraId="3A642520" w14:textId="6869708B"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2EF102E9" w14:textId="300F823A" w:rsidR="00FA40E8" w:rsidRDefault="00E74AE8">
            <w:pPr>
              <w:pStyle w:val="P68B1DB1-Normal38"/>
              <w:spacing w:after="0"/>
              <w:rPr>
                <w:noProof/>
                <w:szCs w:val="22"/>
              </w:rPr>
            </w:pPr>
            <w:r>
              <w:rPr>
                <w:noProof/>
              </w:rPr>
              <w:t>Mise en place d’un système national de suivi de la cybersécurité.</w:t>
            </w:r>
          </w:p>
        </w:tc>
      </w:tr>
      <w:tr w:rsidR="00FA40E8" w14:paraId="1887B774" w14:textId="77777777">
        <w:trPr>
          <w:cantSplit/>
          <w:trHeight w:val="300"/>
        </w:trPr>
        <w:tc>
          <w:tcPr>
            <w:tcW w:w="1204" w:type="dxa"/>
            <w:shd w:val="clear" w:color="auto" w:fill="EAF1DD" w:themeFill="accent3" w:themeFillTint="33"/>
            <w:noWrap/>
            <w:vAlign w:val="center"/>
          </w:tcPr>
          <w:p w14:paraId="5577DF65" w14:textId="26E79666" w:rsidR="00FA40E8" w:rsidRDefault="00E74AE8">
            <w:pPr>
              <w:pStyle w:val="P68B1DB1-Normal39"/>
              <w:spacing w:after="0"/>
              <w:jc w:val="center"/>
              <w:rPr>
                <w:noProof/>
                <w:szCs w:val="22"/>
              </w:rPr>
            </w:pPr>
            <w:r>
              <w:rPr>
                <w:noProof/>
              </w:rPr>
              <w:t>60c</w:t>
            </w:r>
          </w:p>
        </w:tc>
        <w:tc>
          <w:tcPr>
            <w:tcW w:w="3402" w:type="dxa"/>
            <w:shd w:val="clear" w:color="auto" w:fill="EAF1DD" w:themeFill="accent3" w:themeFillTint="33"/>
          </w:tcPr>
          <w:p w14:paraId="72C2169B" w14:textId="036CE4D9" w:rsidR="00FA40E8" w:rsidRDefault="00E74AE8">
            <w:pPr>
              <w:pStyle w:val="P68B1DB1-Normal38"/>
              <w:spacing w:after="0"/>
              <w:rPr>
                <w:noProof/>
                <w:szCs w:val="22"/>
              </w:rPr>
            </w:pPr>
            <w:r>
              <w:rPr>
                <w:noProof/>
              </w:rPr>
              <w:t xml:space="preserve">C.1.1a </w:t>
            </w:r>
            <w:r>
              <w:rPr>
                <w:noProof/>
              </w:rPr>
              <w:t>Développement de la cybersécurité de l’État</w:t>
            </w:r>
          </w:p>
        </w:tc>
        <w:tc>
          <w:tcPr>
            <w:tcW w:w="1594" w:type="dxa"/>
            <w:shd w:val="clear" w:color="auto" w:fill="EAF1DD" w:themeFill="accent3" w:themeFillTint="33"/>
          </w:tcPr>
          <w:p w14:paraId="1AEA2E40" w14:textId="109BE7A7"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24FCFD22" w14:textId="4812A3B8" w:rsidR="00FA40E8" w:rsidRDefault="00E74AE8">
            <w:pPr>
              <w:pStyle w:val="P68B1DB1-Normal38"/>
              <w:spacing w:after="0"/>
              <w:rPr>
                <w:noProof/>
                <w:szCs w:val="22"/>
              </w:rPr>
            </w:pPr>
            <w:r>
              <w:rPr>
                <w:noProof/>
              </w:rPr>
              <w:t>Matériel et logiciels fournis pour les enquêtes sur la cybercriminalité</w:t>
            </w:r>
          </w:p>
        </w:tc>
      </w:tr>
      <w:tr w:rsidR="00FA40E8" w14:paraId="7294D709" w14:textId="77777777">
        <w:trPr>
          <w:cantSplit/>
          <w:trHeight w:val="300"/>
        </w:trPr>
        <w:tc>
          <w:tcPr>
            <w:tcW w:w="1204" w:type="dxa"/>
            <w:shd w:val="clear" w:color="auto" w:fill="EAF1DD" w:themeFill="accent3" w:themeFillTint="33"/>
            <w:noWrap/>
            <w:vAlign w:val="center"/>
          </w:tcPr>
          <w:p w14:paraId="3954E6C3" w14:textId="0E1FB093" w:rsidR="00FA40E8" w:rsidRDefault="00E74AE8">
            <w:pPr>
              <w:pStyle w:val="P68B1DB1-Normal39"/>
              <w:spacing w:after="0"/>
              <w:jc w:val="center"/>
              <w:rPr>
                <w:noProof/>
                <w:szCs w:val="22"/>
              </w:rPr>
            </w:pPr>
            <w:r>
              <w:rPr>
                <w:noProof/>
              </w:rPr>
              <w:t>61</w:t>
            </w:r>
          </w:p>
        </w:tc>
        <w:tc>
          <w:tcPr>
            <w:tcW w:w="3402" w:type="dxa"/>
            <w:shd w:val="clear" w:color="auto" w:fill="EAF1DD" w:themeFill="accent3" w:themeFillTint="33"/>
          </w:tcPr>
          <w:p w14:paraId="09258C01" w14:textId="3AF0EA5E" w:rsidR="00FA40E8" w:rsidRDefault="00E74AE8">
            <w:pPr>
              <w:pStyle w:val="P68B1DB1-Normal38"/>
              <w:spacing w:after="0"/>
              <w:rPr>
                <w:noProof/>
                <w:szCs w:val="22"/>
              </w:rPr>
            </w:pPr>
            <w:r>
              <w:rPr>
                <w:noProof/>
              </w:rPr>
              <w:t>C.1.1a Développement de la cybersécurité de l’État</w:t>
            </w:r>
          </w:p>
        </w:tc>
        <w:tc>
          <w:tcPr>
            <w:tcW w:w="1594" w:type="dxa"/>
            <w:shd w:val="clear" w:color="auto" w:fill="EAF1DD" w:themeFill="accent3" w:themeFillTint="33"/>
          </w:tcPr>
          <w:p w14:paraId="0078A895" w14:textId="6A646978"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2FE801AB" w14:textId="292F08F8" w:rsidR="00FA40E8" w:rsidRDefault="00E74AE8">
            <w:pPr>
              <w:pStyle w:val="P68B1DB1-Normal38"/>
              <w:spacing w:after="0"/>
              <w:rPr>
                <w:noProof/>
                <w:szCs w:val="22"/>
              </w:rPr>
            </w:pPr>
            <w:r>
              <w:rPr>
                <w:noProof/>
              </w:rPr>
              <w:t xml:space="preserve">Achèvement de la formation à la cybersécurité. </w:t>
            </w:r>
          </w:p>
        </w:tc>
      </w:tr>
      <w:tr w:rsidR="00FA40E8" w14:paraId="62AA77D4" w14:textId="77777777">
        <w:trPr>
          <w:cantSplit/>
          <w:trHeight w:val="300"/>
        </w:trPr>
        <w:tc>
          <w:tcPr>
            <w:tcW w:w="1204" w:type="dxa"/>
            <w:shd w:val="clear" w:color="auto" w:fill="EAF1DD" w:themeFill="accent3" w:themeFillTint="33"/>
            <w:noWrap/>
            <w:vAlign w:val="center"/>
          </w:tcPr>
          <w:p w14:paraId="7784F6CF" w14:textId="0C77ECE9" w:rsidR="00FA40E8" w:rsidRDefault="00E74AE8">
            <w:pPr>
              <w:pStyle w:val="P68B1DB1-Normal39"/>
              <w:spacing w:after="0"/>
              <w:jc w:val="center"/>
              <w:rPr>
                <w:noProof/>
                <w:szCs w:val="22"/>
              </w:rPr>
            </w:pPr>
            <w:r>
              <w:rPr>
                <w:noProof/>
              </w:rPr>
              <w:t>63</w:t>
            </w:r>
          </w:p>
        </w:tc>
        <w:tc>
          <w:tcPr>
            <w:tcW w:w="3402" w:type="dxa"/>
            <w:shd w:val="clear" w:color="auto" w:fill="EAF1DD" w:themeFill="accent3" w:themeFillTint="33"/>
          </w:tcPr>
          <w:p w14:paraId="42FD66D9" w14:textId="6FC85FD0" w:rsidR="00FA40E8" w:rsidRDefault="00E74AE8">
            <w:pPr>
              <w:pStyle w:val="P68B1DB1-Normal38"/>
              <w:spacing w:after="0"/>
              <w:rPr>
                <w:noProof/>
                <w:szCs w:val="22"/>
              </w:rPr>
            </w:pPr>
            <w:r>
              <w:rPr>
                <w:noProof/>
              </w:rPr>
              <w:t xml:space="preserve">C.1.1 Transformation de la gouvernance publique des technologies de l’information </w:t>
            </w:r>
          </w:p>
        </w:tc>
        <w:tc>
          <w:tcPr>
            <w:tcW w:w="1594" w:type="dxa"/>
            <w:shd w:val="clear" w:color="auto" w:fill="EAF1DD" w:themeFill="accent3" w:themeFillTint="33"/>
          </w:tcPr>
          <w:p w14:paraId="0E5F7238" w14:textId="328A1933"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7EAD8A95" w14:textId="19B4A20E" w:rsidR="00FA40E8" w:rsidRDefault="00E74AE8">
            <w:pPr>
              <w:pStyle w:val="P68B1DB1-Normal38"/>
              <w:spacing w:after="0"/>
              <w:rPr>
                <w:noProof/>
                <w:szCs w:val="22"/>
              </w:rPr>
            </w:pPr>
            <w:r>
              <w:rPr>
                <w:noProof/>
              </w:rPr>
              <w:t>L’Agence nationale des solutions numériques fournit des services informatiques à toutes les institutions et organes de l’État figurant sur la liste des institutions</w:t>
            </w:r>
            <w:r>
              <w:rPr>
                <w:noProof/>
              </w:rPr>
              <w:t xml:space="preserve"> et organismes de l’État qui reçoivent des services centralisés dans le domaine des technologies de l’information.</w:t>
            </w:r>
          </w:p>
        </w:tc>
      </w:tr>
      <w:tr w:rsidR="00FA40E8" w14:paraId="5FB03177" w14:textId="77777777">
        <w:trPr>
          <w:cantSplit/>
          <w:trHeight w:val="300"/>
        </w:trPr>
        <w:tc>
          <w:tcPr>
            <w:tcW w:w="1204" w:type="dxa"/>
            <w:shd w:val="clear" w:color="auto" w:fill="EAF1DD" w:themeFill="accent3" w:themeFillTint="33"/>
            <w:noWrap/>
            <w:vAlign w:val="center"/>
          </w:tcPr>
          <w:p w14:paraId="4A9F4C36" w14:textId="26510C3A" w:rsidR="00FA40E8" w:rsidRDefault="00E74AE8">
            <w:pPr>
              <w:pStyle w:val="P68B1DB1-Normal39"/>
              <w:spacing w:after="0"/>
              <w:jc w:val="center"/>
              <w:rPr>
                <w:noProof/>
              </w:rPr>
            </w:pPr>
            <w:r>
              <w:rPr>
                <w:noProof/>
              </w:rPr>
              <w:t>66</w:t>
            </w:r>
          </w:p>
        </w:tc>
        <w:tc>
          <w:tcPr>
            <w:tcW w:w="3402" w:type="dxa"/>
            <w:shd w:val="clear" w:color="auto" w:fill="EAF1DD" w:themeFill="accent3" w:themeFillTint="33"/>
          </w:tcPr>
          <w:p w14:paraId="5C3B8583" w14:textId="0E4ED7DA" w:rsidR="00FA40E8" w:rsidRDefault="00E74AE8">
            <w:pPr>
              <w:pStyle w:val="P68B1DB1-Normal38"/>
              <w:spacing w:after="0"/>
              <w:rPr>
                <w:noProof/>
                <w:color w:val="000000" w:themeColor="text1"/>
              </w:rPr>
            </w:pPr>
            <w:r>
              <w:rPr>
                <w:noProof/>
              </w:rPr>
              <w:t xml:space="preserve">C.1.2 Gestion des données et données ouvertes </w:t>
            </w:r>
          </w:p>
        </w:tc>
        <w:tc>
          <w:tcPr>
            <w:tcW w:w="1594" w:type="dxa"/>
            <w:shd w:val="clear" w:color="auto" w:fill="EAF1DD" w:themeFill="accent3" w:themeFillTint="33"/>
          </w:tcPr>
          <w:p w14:paraId="727DE0E2" w14:textId="76F58A99" w:rsidR="00FA40E8" w:rsidRDefault="00E74AE8">
            <w:pPr>
              <w:pStyle w:val="P68B1DB1-Normal38"/>
              <w:spacing w:after="0"/>
              <w:jc w:val="center"/>
              <w:rPr>
                <w:noProof/>
                <w:color w:val="000000" w:themeColor="text1"/>
              </w:rPr>
            </w:pPr>
            <w:r>
              <w:rPr>
                <w:noProof/>
              </w:rPr>
              <w:t>Objectif</w:t>
            </w:r>
          </w:p>
        </w:tc>
        <w:tc>
          <w:tcPr>
            <w:tcW w:w="3579" w:type="dxa"/>
            <w:shd w:val="clear" w:color="auto" w:fill="EAF1DD" w:themeFill="accent3" w:themeFillTint="33"/>
          </w:tcPr>
          <w:p w14:paraId="62292653" w14:textId="11CFBACC" w:rsidR="00FA40E8" w:rsidRDefault="00E74AE8">
            <w:pPr>
              <w:pStyle w:val="P68B1DB1-Normal38"/>
              <w:spacing w:after="0"/>
              <w:rPr>
                <w:noProof/>
                <w:color w:val="000000" w:themeColor="text1"/>
              </w:rPr>
            </w:pPr>
            <w:r>
              <w:rPr>
                <w:noProof/>
              </w:rPr>
              <w:t xml:space="preserve">Intégration des ressources d’information dans le lac de données </w:t>
            </w:r>
          </w:p>
        </w:tc>
      </w:tr>
      <w:tr w:rsidR="00FA40E8" w14:paraId="7D12ACDC" w14:textId="77777777">
        <w:trPr>
          <w:cantSplit/>
          <w:trHeight w:val="300"/>
        </w:trPr>
        <w:tc>
          <w:tcPr>
            <w:tcW w:w="1204" w:type="dxa"/>
            <w:shd w:val="clear" w:color="auto" w:fill="EAF1DD" w:themeFill="accent3" w:themeFillTint="33"/>
            <w:noWrap/>
            <w:vAlign w:val="center"/>
          </w:tcPr>
          <w:p w14:paraId="1274B5B7" w14:textId="693DCD65" w:rsidR="00FA40E8" w:rsidRDefault="00E74AE8">
            <w:pPr>
              <w:pStyle w:val="P68B1DB1-Normal39"/>
              <w:spacing w:after="0"/>
              <w:jc w:val="center"/>
              <w:rPr>
                <w:noProof/>
              </w:rPr>
            </w:pPr>
            <w:r>
              <w:rPr>
                <w:noProof/>
              </w:rPr>
              <w:t>73</w:t>
            </w:r>
          </w:p>
        </w:tc>
        <w:tc>
          <w:tcPr>
            <w:tcW w:w="3402" w:type="dxa"/>
            <w:shd w:val="clear" w:color="auto" w:fill="EAF1DD" w:themeFill="accent3" w:themeFillTint="33"/>
          </w:tcPr>
          <w:p w14:paraId="226BE887" w14:textId="02FD8FC2" w:rsidR="00FA40E8" w:rsidRDefault="00E74AE8">
            <w:pPr>
              <w:pStyle w:val="P68B1DB1-Normal38"/>
              <w:spacing w:after="0"/>
              <w:rPr>
                <w:noProof/>
                <w:color w:val="000000" w:themeColor="text1"/>
              </w:rPr>
            </w:pPr>
            <w:r>
              <w:rPr>
                <w:noProof/>
              </w:rPr>
              <w:t xml:space="preserve">C.1.3 Services axés sur le client </w:t>
            </w:r>
          </w:p>
        </w:tc>
        <w:tc>
          <w:tcPr>
            <w:tcW w:w="1594" w:type="dxa"/>
            <w:shd w:val="clear" w:color="auto" w:fill="EAF1DD" w:themeFill="accent3" w:themeFillTint="33"/>
          </w:tcPr>
          <w:p w14:paraId="20C43B9E" w14:textId="44D2FDF4" w:rsidR="00FA40E8" w:rsidRDefault="00E74AE8">
            <w:pPr>
              <w:pStyle w:val="P68B1DB1-Normal38"/>
              <w:spacing w:after="0"/>
              <w:jc w:val="center"/>
              <w:rPr>
                <w:noProof/>
                <w:color w:val="000000" w:themeColor="text1"/>
              </w:rPr>
            </w:pPr>
            <w:r>
              <w:rPr>
                <w:noProof/>
              </w:rPr>
              <w:t>Objectif</w:t>
            </w:r>
          </w:p>
        </w:tc>
        <w:tc>
          <w:tcPr>
            <w:tcW w:w="3579" w:type="dxa"/>
            <w:shd w:val="clear" w:color="auto" w:fill="EAF1DD" w:themeFill="accent3" w:themeFillTint="33"/>
          </w:tcPr>
          <w:p w14:paraId="232FD532" w14:textId="604A6B24" w:rsidR="00FA40E8" w:rsidRDefault="00E74AE8">
            <w:pPr>
              <w:pStyle w:val="P68B1DB1-Normal38"/>
              <w:spacing w:after="0"/>
              <w:rPr>
                <w:noProof/>
                <w:color w:val="000000" w:themeColor="text1"/>
              </w:rPr>
            </w:pPr>
            <w:r>
              <w:rPr>
                <w:noProof/>
              </w:rPr>
              <w:t>Fourniture de services numériques nouveaux ou améliorés du secteur public</w:t>
            </w:r>
          </w:p>
        </w:tc>
      </w:tr>
      <w:tr w:rsidR="00FA40E8" w14:paraId="51A9D293" w14:textId="77777777">
        <w:trPr>
          <w:cantSplit/>
          <w:trHeight w:val="300"/>
        </w:trPr>
        <w:tc>
          <w:tcPr>
            <w:tcW w:w="1204" w:type="dxa"/>
            <w:shd w:val="clear" w:color="auto" w:fill="EAF1DD" w:themeFill="accent3" w:themeFillTint="33"/>
            <w:noWrap/>
            <w:vAlign w:val="center"/>
          </w:tcPr>
          <w:p w14:paraId="794074C2" w14:textId="2A60853B" w:rsidR="00FA40E8" w:rsidRDefault="00E74AE8">
            <w:pPr>
              <w:pStyle w:val="P68B1DB1-Normal39"/>
              <w:spacing w:after="0"/>
              <w:jc w:val="center"/>
              <w:rPr>
                <w:noProof/>
              </w:rPr>
            </w:pPr>
            <w:r>
              <w:rPr>
                <w:noProof/>
              </w:rPr>
              <w:t>75</w:t>
            </w:r>
          </w:p>
        </w:tc>
        <w:tc>
          <w:tcPr>
            <w:tcW w:w="3402" w:type="dxa"/>
            <w:shd w:val="clear" w:color="auto" w:fill="EAF1DD" w:themeFill="accent3" w:themeFillTint="33"/>
          </w:tcPr>
          <w:p w14:paraId="38CC2359" w14:textId="6D49A5EF" w:rsidR="00FA40E8" w:rsidRDefault="00E74AE8">
            <w:pPr>
              <w:pStyle w:val="P68B1DB1-Normal38"/>
              <w:spacing w:after="0"/>
              <w:rPr>
                <w:noProof/>
                <w:color w:val="000000" w:themeColor="text1"/>
              </w:rPr>
            </w:pPr>
            <w:r>
              <w:rPr>
                <w:noProof/>
              </w:rPr>
              <w:t>C.1.4 Solutions technologiques dans les affaires et la vie quotidienne — C.1.4.1. Ressources technologiques en langue lituanienne</w:t>
            </w:r>
          </w:p>
        </w:tc>
        <w:tc>
          <w:tcPr>
            <w:tcW w:w="1594" w:type="dxa"/>
            <w:shd w:val="clear" w:color="auto" w:fill="EAF1DD" w:themeFill="accent3" w:themeFillTint="33"/>
          </w:tcPr>
          <w:p w14:paraId="0A74E454" w14:textId="6D65428B" w:rsidR="00FA40E8" w:rsidRDefault="00E74AE8">
            <w:pPr>
              <w:pStyle w:val="P68B1DB1-Normal38"/>
              <w:spacing w:after="0"/>
              <w:jc w:val="center"/>
              <w:rPr>
                <w:noProof/>
                <w:color w:val="000000" w:themeColor="text1"/>
              </w:rPr>
            </w:pPr>
            <w:r>
              <w:rPr>
                <w:noProof/>
              </w:rPr>
              <w:t>Objectif</w:t>
            </w:r>
          </w:p>
        </w:tc>
        <w:tc>
          <w:tcPr>
            <w:tcW w:w="3579" w:type="dxa"/>
            <w:shd w:val="clear" w:color="auto" w:fill="EAF1DD" w:themeFill="accent3" w:themeFillTint="33"/>
          </w:tcPr>
          <w:p w14:paraId="41681992" w14:textId="21FD2F8E" w:rsidR="00FA40E8" w:rsidRDefault="00E74AE8">
            <w:pPr>
              <w:pStyle w:val="P68B1DB1-Normal38"/>
              <w:spacing w:after="0"/>
              <w:rPr>
                <w:noProof/>
                <w:color w:val="000000" w:themeColor="text1"/>
              </w:rPr>
            </w:pPr>
            <w:r>
              <w:rPr>
                <w:noProof/>
              </w:rPr>
              <w:t>Fourniture des ressources linguistiques lituaniennes nécessaires au développement de solutions d’IA</w:t>
            </w:r>
          </w:p>
        </w:tc>
      </w:tr>
      <w:tr w:rsidR="00FA40E8" w14:paraId="0622BC8B" w14:textId="77777777">
        <w:trPr>
          <w:cantSplit/>
          <w:trHeight w:val="300"/>
        </w:trPr>
        <w:tc>
          <w:tcPr>
            <w:tcW w:w="1204" w:type="dxa"/>
            <w:shd w:val="clear" w:color="auto" w:fill="EAF1DD" w:themeFill="accent3" w:themeFillTint="33"/>
            <w:noWrap/>
            <w:vAlign w:val="center"/>
          </w:tcPr>
          <w:p w14:paraId="025BE66C" w14:textId="719CCB21" w:rsidR="00FA40E8" w:rsidRDefault="00E74AE8">
            <w:pPr>
              <w:pStyle w:val="P68B1DB1-Normal39"/>
              <w:spacing w:after="0"/>
              <w:jc w:val="center"/>
              <w:rPr>
                <w:noProof/>
              </w:rPr>
            </w:pPr>
            <w:r>
              <w:rPr>
                <w:noProof/>
              </w:rPr>
              <w:t>77</w:t>
            </w:r>
          </w:p>
        </w:tc>
        <w:tc>
          <w:tcPr>
            <w:tcW w:w="3402" w:type="dxa"/>
            <w:shd w:val="clear" w:color="auto" w:fill="EAF1DD" w:themeFill="accent3" w:themeFillTint="33"/>
          </w:tcPr>
          <w:p w14:paraId="1AA367A6" w14:textId="1DC9529E" w:rsidR="00FA40E8" w:rsidRDefault="00E74AE8">
            <w:pPr>
              <w:pStyle w:val="P68B1DB1-Normal38"/>
              <w:spacing w:after="0"/>
              <w:rPr>
                <w:noProof/>
                <w:color w:val="000000" w:themeColor="text1"/>
              </w:rPr>
            </w:pPr>
            <w:r>
              <w:rPr>
                <w:noProof/>
              </w:rPr>
              <w:t xml:space="preserve">C.1.4 Solutions technologiques dans les affaires et la vie quotidienne — C.1.4.2. Numérisation des ressources culturelles </w:t>
            </w:r>
          </w:p>
        </w:tc>
        <w:tc>
          <w:tcPr>
            <w:tcW w:w="1594" w:type="dxa"/>
            <w:shd w:val="clear" w:color="auto" w:fill="EAF1DD" w:themeFill="accent3" w:themeFillTint="33"/>
          </w:tcPr>
          <w:p w14:paraId="09CC02F1" w14:textId="0551789F" w:rsidR="00FA40E8" w:rsidRDefault="00E74AE8">
            <w:pPr>
              <w:pStyle w:val="P68B1DB1-Normal38"/>
              <w:spacing w:after="0"/>
              <w:jc w:val="center"/>
              <w:rPr>
                <w:noProof/>
                <w:color w:val="000000" w:themeColor="text1"/>
              </w:rPr>
            </w:pPr>
            <w:r>
              <w:rPr>
                <w:noProof/>
              </w:rPr>
              <w:t>Étape</w:t>
            </w:r>
          </w:p>
        </w:tc>
        <w:tc>
          <w:tcPr>
            <w:tcW w:w="3579" w:type="dxa"/>
            <w:shd w:val="clear" w:color="auto" w:fill="EAF1DD" w:themeFill="accent3" w:themeFillTint="33"/>
          </w:tcPr>
          <w:p w14:paraId="72998225" w14:textId="0916279E" w:rsidR="00FA40E8" w:rsidRDefault="00E74AE8">
            <w:pPr>
              <w:pStyle w:val="P68B1DB1-Normal38"/>
              <w:spacing w:after="0"/>
              <w:rPr>
                <w:noProof/>
                <w:color w:val="000000" w:themeColor="text1"/>
              </w:rPr>
            </w:pPr>
            <w:r>
              <w:rPr>
                <w:noProof/>
              </w:rPr>
              <w:t>Mise à disposi</w:t>
            </w:r>
            <w:r>
              <w:rPr>
                <w:noProof/>
              </w:rPr>
              <w:t>tion des ressources culturelles</w:t>
            </w:r>
          </w:p>
        </w:tc>
      </w:tr>
      <w:tr w:rsidR="00FA40E8" w14:paraId="13F59C0A" w14:textId="77777777">
        <w:trPr>
          <w:cantSplit/>
          <w:trHeight w:val="300"/>
        </w:trPr>
        <w:tc>
          <w:tcPr>
            <w:tcW w:w="1204" w:type="dxa"/>
            <w:shd w:val="clear" w:color="auto" w:fill="EAF1DD" w:themeFill="accent3" w:themeFillTint="33"/>
            <w:noWrap/>
            <w:vAlign w:val="center"/>
          </w:tcPr>
          <w:p w14:paraId="553FF474" w14:textId="77777777" w:rsidR="00FA40E8" w:rsidRDefault="00E74AE8">
            <w:pPr>
              <w:pStyle w:val="P68B1DB1-Normal39"/>
              <w:spacing w:after="0"/>
              <w:jc w:val="center"/>
              <w:rPr>
                <w:noProof/>
                <w:color w:val="000000"/>
                <w:szCs w:val="22"/>
              </w:rPr>
            </w:pPr>
            <w:r>
              <w:rPr>
                <w:noProof/>
              </w:rPr>
              <w:t>82</w:t>
            </w:r>
          </w:p>
        </w:tc>
        <w:tc>
          <w:tcPr>
            <w:tcW w:w="3402" w:type="dxa"/>
            <w:shd w:val="clear" w:color="auto" w:fill="EAF1DD" w:themeFill="accent3" w:themeFillTint="33"/>
          </w:tcPr>
          <w:p w14:paraId="1191E90D" w14:textId="27305DFF" w:rsidR="00FA40E8" w:rsidRDefault="00E74AE8">
            <w:pPr>
              <w:pStyle w:val="P68B1DB1-Normal38"/>
              <w:spacing w:after="0"/>
              <w:rPr>
                <w:noProof/>
                <w:szCs w:val="22"/>
              </w:rPr>
            </w:pPr>
            <w:r>
              <w:rPr>
                <w:noProof/>
              </w:rPr>
              <w:t>C.1.4 Solutions technologiques dans les affaires et la vie quotidienne — C.1.4.5. Centre d’excellence TIC</w:t>
            </w:r>
          </w:p>
        </w:tc>
        <w:tc>
          <w:tcPr>
            <w:tcW w:w="1594" w:type="dxa"/>
            <w:shd w:val="clear" w:color="auto" w:fill="EAF1DD" w:themeFill="accent3" w:themeFillTint="33"/>
          </w:tcPr>
          <w:p w14:paraId="25A64235" w14:textId="77777777"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7646C4B7" w14:textId="0592D715" w:rsidR="00FA40E8" w:rsidRDefault="00E74AE8">
            <w:pPr>
              <w:pStyle w:val="P68B1DB1-Normal38"/>
              <w:spacing w:after="0"/>
              <w:rPr>
                <w:noProof/>
                <w:szCs w:val="22"/>
              </w:rPr>
            </w:pPr>
            <w:r>
              <w:rPr>
                <w:noProof/>
              </w:rPr>
              <w:t>Construction d’un centre de R &amp; D dans le domaine des TIC et fourniture d’équipements de R &amp; D </w:t>
            </w:r>
          </w:p>
        </w:tc>
      </w:tr>
      <w:tr w:rsidR="00FA40E8" w14:paraId="674073E8" w14:textId="77777777">
        <w:trPr>
          <w:cantSplit/>
          <w:trHeight w:val="300"/>
        </w:trPr>
        <w:tc>
          <w:tcPr>
            <w:tcW w:w="1204" w:type="dxa"/>
            <w:shd w:val="clear" w:color="auto" w:fill="EAF1DD" w:themeFill="accent3" w:themeFillTint="33"/>
            <w:noWrap/>
            <w:vAlign w:val="center"/>
          </w:tcPr>
          <w:p w14:paraId="6A64259D" w14:textId="1FE56716" w:rsidR="00FA40E8" w:rsidRDefault="00E74AE8">
            <w:pPr>
              <w:pStyle w:val="P68B1DB1-Normal39"/>
              <w:spacing w:after="0"/>
              <w:jc w:val="center"/>
              <w:rPr>
                <w:noProof/>
                <w:szCs w:val="22"/>
              </w:rPr>
            </w:pPr>
            <w:r>
              <w:rPr>
                <w:noProof/>
              </w:rPr>
              <w:t>88</w:t>
            </w:r>
          </w:p>
        </w:tc>
        <w:tc>
          <w:tcPr>
            <w:tcW w:w="3402" w:type="dxa"/>
            <w:shd w:val="clear" w:color="auto" w:fill="EAF1DD" w:themeFill="accent3" w:themeFillTint="33"/>
          </w:tcPr>
          <w:p w14:paraId="1F03E91B" w14:textId="3EB07A34" w:rsidR="00FA40E8" w:rsidRDefault="00E74AE8">
            <w:pPr>
              <w:pStyle w:val="P68B1DB1-Normal38"/>
              <w:spacing w:after="0"/>
              <w:rPr>
                <w:noProof/>
                <w:szCs w:val="22"/>
              </w:rPr>
            </w:pPr>
            <w:r>
              <w:rPr>
                <w:noProof/>
              </w:rPr>
              <w:t>C.1.5</w:t>
            </w:r>
            <w:r>
              <w:rPr>
                <w:noProof/>
              </w:rPr>
              <w:t xml:space="preserve"> Étape vers la 5G — C.1.5.2. Poursuite de la construction de réseaux de connexion à haut débit</w:t>
            </w:r>
          </w:p>
        </w:tc>
        <w:tc>
          <w:tcPr>
            <w:tcW w:w="1594" w:type="dxa"/>
            <w:shd w:val="clear" w:color="auto" w:fill="EAF1DD" w:themeFill="accent3" w:themeFillTint="33"/>
          </w:tcPr>
          <w:p w14:paraId="741267F4" w14:textId="60B6C495"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012AEFDC" w14:textId="0A3D9A23" w:rsidR="00FA40E8" w:rsidRDefault="00E74AE8">
            <w:pPr>
              <w:pStyle w:val="P68B1DB1-Normal38"/>
              <w:spacing w:after="0"/>
              <w:rPr>
                <w:noProof/>
                <w:szCs w:val="22"/>
              </w:rPr>
            </w:pPr>
            <w:r>
              <w:rPr>
                <w:noProof/>
              </w:rPr>
              <w:t>Connexion à grande vitesse avec les acteurs socio-économiques</w:t>
            </w:r>
          </w:p>
        </w:tc>
      </w:tr>
      <w:tr w:rsidR="00FA40E8" w14:paraId="71FC9677" w14:textId="77777777">
        <w:trPr>
          <w:cantSplit/>
          <w:trHeight w:val="300"/>
        </w:trPr>
        <w:tc>
          <w:tcPr>
            <w:tcW w:w="1204" w:type="dxa"/>
            <w:shd w:val="clear" w:color="auto" w:fill="EAF1DD" w:themeFill="accent3" w:themeFillTint="33"/>
            <w:noWrap/>
            <w:vAlign w:val="center"/>
          </w:tcPr>
          <w:p w14:paraId="7F58A6AD" w14:textId="0EA9F0C3" w:rsidR="00FA40E8" w:rsidRDefault="00E74AE8">
            <w:pPr>
              <w:pStyle w:val="P68B1DB1-Normal39"/>
              <w:spacing w:after="0"/>
              <w:jc w:val="center"/>
              <w:rPr>
                <w:noProof/>
                <w:szCs w:val="22"/>
              </w:rPr>
            </w:pPr>
            <w:r>
              <w:rPr>
                <w:noProof/>
              </w:rPr>
              <w:t>90</w:t>
            </w:r>
          </w:p>
        </w:tc>
        <w:tc>
          <w:tcPr>
            <w:tcW w:w="3402" w:type="dxa"/>
            <w:shd w:val="clear" w:color="auto" w:fill="EAF1DD" w:themeFill="accent3" w:themeFillTint="33"/>
          </w:tcPr>
          <w:p w14:paraId="06FF264C" w14:textId="28862575" w:rsidR="00FA40E8" w:rsidRDefault="00E74AE8">
            <w:pPr>
              <w:pStyle w:val="P68B1DB1-Normal38"/>
              <w:spacing w:after="0"/>
              <w:rPr>
                <w:noProof/>
                <w:szCs w:val="22"/>
              </w:rPr>
            </w:pPr>
            <w:r>
              <w:rPr>
                <w:noProof/>
              </w:rPr>
              <w:t xml:space="preserve">C.1.5 Étape vers la 5G — C.1.5.3. Innovation en matière de mobilité </w:t>
            </w:r>
          </w:p>
        </w:tc>
        <w:tc>
          <w:tcPr>
            <w:tcW w:w="1594" w:type="dxa"/>
            <w:shd w:val="clear" w:color="auto" w:fill="EAF1DD" w:themeFill="accent3" w:themeFillTint="33"/>
          </w:tcPr>
          <w:p w14:paraId="056CF75F" w14:textId="5EA06C28"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405AAF1C" w14:textId="6D060C21" w:rsidR="00FA40E8" w:rsidRDefault="00E74AE8">
            <w:pPr>
              <w:pStyle w:val="P68B1DB1-Normal38"/>
              <w:spacing w:after="0"/>
              <w:rPr>
                <w:noProof/>
                <w:szCs w:val="22"/>
              </w:rPr>
            </w:pPr>
            <w:r>
              <w:rPr>
                <w:noProof/>
              </w:rPr>
              <w:t xml:space="preserve">Fourniture de solutions numériques expérimentales d’innovation en matière de mobilité </w:t>
            </w:r>
          </w:p>
        </w:tc>
      </w:tr>
      <w:tr w:rsidR="00FA40E8" w14:paraId="71CD29D8" w14:textId="77777777">
        <w:trPr>
          <w:cantSplit/>
          <w:trHeight w:val="300"/>
        </w:trPr>
        <w:tc>
          <w:tcPr>
            <w:tcW w:w="1204" w:type="dxa"/>
            <w:shd w:val="clear" w:color="auto" w:fill="EAF1DD" w:themeFill="accent3" w:themeFillTint="33"/>
            <w:noWrap/>
            <w:vAlign w:val="center"/>
          </w:tcPr>
          <w:p w14:paraId="60F197B3" w14:textId="69C5AC28" w:rsidR="00FA40E8" w:rsidRDefault="00E74AE8">
            <w:pPr>
              <w:pStyle w:val="P68B1DB1-Normal39"/>
              <w:jc w:val="center"/>
              <w:rPr>
                <w:noProof/>
              </w:rPr>
            </w:pPr>
            <w:r>
              <w:rPr>
                <w:noProof/>
              </w:rPr>
              <w:t>96</w:t>
            </w:r>
          </w:p>
        </w:tc>
        <w:tc>
          <w:tcPr>
            <w:tcW w:w="3402" w:type="dxa"/>
            <w:shd w:val="clear" w:color="auto" w:fill="EAF1DD" w:themeFill="accent3" w:themeFillTint="33"/>
          </w:tcPr>
          <w:p w14:paraId="4B80DF3E" w14:textId="4D833F4F" w:rsidR="00FA40E8" w:rsidRDefault="00E74AE8">
            <w:pPr>
              <w:pStyle w:val="P68B1DB1-Normal38"/>
              <w:rPr>
                <w:noProof/>
                <w:color w:val="000000" w:themeColor="text1"/>
              </w:rPr>
            </w:pPr>
            <w:r>
              <w:rPr>
                <w:noProof/>
              </w:rPr>
              <w:t xml:space="preserve">Enseignement général moderne — Contexte des compétences de base </w:t>
            </w:r>
          </w:p>
          <w:p w14:paraId="60219610" w14:textId="7328E1AF" w:rsidR="00FA40E8" w:rsidRDefault="00E74AE8">
            <w:pPr>
              <w:pStyle w:val="P68B1DB1-Normal38"/>
              <w:rPr>
                <w:noProof/>
                <w:color w:val="000000" w:themeColor="text1"/>
              </w:rPr>
            </w:pPr>
            <w:r>
              <w:rPr>
                <w:noProof/>
              </w:rPr>
              <w:t>D.1.1.3: Programme des écoles du millénaire</w:t>
            </w:r>
          </w:p>
        </w:tc>
        <w:tc>
          <w:tcPr>
            <w:tcW w:w="1594" w:type="dxa"/>
            <w:shd w:val="clear" w:color="auto" w:fill="EAF1DD" w:themeFill="accent3" w:themeFillTint="33"/>
          </w:tcPr>
          <w:p w14:paraId="7003CEB6" w14:textId="50D4505F" w:rsidR="00FA40E8" w:rsidRDefault="00E74AE8">
            <w:pPr>
              <w:pStyle w:val="P68B1DB1-Normal38"/>
              <w:jc w:val="center"/>
              <w:rPr>
                <w:noProof/>
              </w:rPr>
            </w:pPr>
            <w:r>
              <w:rPr>
                <w:noProof/>
              </w:rPr>
              <w:t>Objectif</w:t>
            </w:r>
          </w:p>
        </w:tc>
        <w:tc>
          <w:tcPr>
            <w:tcW w:w="3579" w:type="dxa"/>
            <w:shd w:val="clear" w:color="auto" w:fill="EAF1DD" w:themeFill="accent3" w:themeFillTint="33"/>
          </w:tcPr>
          <w:p w14:paraId="4372F2C8" w14:textId="4E81670C" w:rsidR="00FA40E8" w:rsidRDefault="00E74AE8">
            <w:pPr>
              <w:pStyle w:val="P68B1DB1-Normal38"/>
              <w:rPr>
                <w:noProof/>
              </w:rPr>
            </w:pPr>
            <w:r>
              <w:rPr>
                <w:noProof/>
              </w:rPr>
              <w:t>Rapports validés</w:t>
            </w:r>
          </w:p>
        </w:tc>
      </w:tr>
      <w:tr w:rsidR="00FA40E8" w14:paraId="247C3A45" w14:textId="77777777">
        <w:trPr>
          <w:cantSplit/>
          <w:trHeight w:val="300"/>
        </w:trPr>
        <w:tc>
          <w:tcPr>
            <w:tcW w:w="1204" w:type="dxa"/>
            <w:shd w:val="clear" w:color="auto" w:fill="EAF1DD" w:themeFill="accent3" w:themeFillTint="33"/>
            <w:noWrap/>
            <w:vAlign w:val="center"/>
          </w:tcPr>
          <w:p w14:paraId="2DE22202" w14:textId="1C0C49EC" w:rsidR="00FA40E8" w:rsidRDefault="00E74AE8">
            <w:pPr>
              <w:pStyle w:val="P68B1DB1-Normal39"/>
              <w:spacing w:after="0"/>
              <w:jc w:val="center"/>
              <w:rPr>
                <w:noProof/>
                <w:szCs w:val="22"/>
              </w:rPr>
            </w:pPr>
            <w:r>
              <w:rPr>
                <w:noProof/>
              </w:rPr>
              <w:t>98</w:t>
            </w:r>
          </w:p>
        </w:tc>
        <w:tc>
          <w:tcPr>
            <w:tcW w:w="3402" w:type="dxa"/>
            <w:shd w:val="clear" w:color="auto" w:fill="EAF1DD" w:themeFill="accent3" w:themeFillTint="33"/>
          </w:tcPr>
          <w:p w14:paraId="1E7CA6FF" w14:textId="77777777" w:rsidR="00FA40E8" w:rsidRDefault="00E74AE8">
            <w:pPr>
              <w:pStyle w:val="P68B1DB1-Normal38"/>
              <w:spacing w:after="0"/>
              <w:textAlignment w:val="baseline"/>
              <w:rPr>
                <w:noProof/>
                <w:szCs w:val="22"/>
              </w:rPr>
            </w:pPr>
            <w:r>
              <w:rPr>
                <w:noProof/>
              </w:rPr>
              <w:t xml:space="preserve">D.1.1. Enseignement général moderne — Contexte des compétences de base </w:t>
            </w:r>
          </w:p>
          <w:p w14:paraId="573F7C12" w14:textId="2F1F4A52" w:rsidR="00FA40E8" w:rsidRDefault="00E74AE8">
            <w:pPr>
              <w:pStyle w:val="P68B1DB1-Normal38"/>
              <w:spacing w:after="0"/>
              <w:rPr>
                <w:noProof/>
                <w:szCs w:val="22"/>
              </w:rPr>
            </w:pPr>
            <w:r>
              <w:rPr>
                <w:noProof/>
              </w:rPr>
              <w:t xml:space="preserve">D.1.1.4: Formation du personnel pédagogique </w:t>
            </w:r>
          </w:p>
        </w:tc>
        <w:tc>
          <w:tcPr>
            <w:tcW w:w="1594" w:type="dxa"/>
            <w:shd w:val="clear" w:color="auto" w:fill="EAF1DD" w:themeFill="accent3" w:themeFillTint="33"/>
          </w:tcPr>
          <w:p w14:paraId="3987941C" w14:textId="4B62272D"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2149BA49" w14:textId="7D3E8812" w:rsidR="00FA40E8" w:rsidRDefault="00E74AE8">
            <w:pPr>
              <w:pStyle w:val="P68B1DB1-Normal42"/>
              <w:spacing w:after="0"/>
              <w:rPr>
                <w:rFonts w:eastAsia="Times New Roman" w:cs="Times New Roman"/>
                <w:noProof/>
                <w:color w:val="000000"/>
                <w:szCs w:val="22"/>
              </w:rPr>
            </w:pPr>
            <w:r>
              <w:rPr>
                <w:noProof/>
              </w:rPr>
              <w:t>Nombre de personnes formées ou ayant obtenu un master</w:t>
            </w:r>
          </w:p>
        </w:tc>
      </w:tr>
      <w:tr w:rsidR="00FA40E8" w14:paraId="317F312D" w14:textId="77777777">
        <w:trPr>
          <w:cantSplit/>
          <w:trHeight w:val="300"/>
        </w:trPr>
        <w:tc>
          <w:tcPr>
            <w:tcW w:w="1204" w:type="dxa"/>
            <w:shd w:val="clear" w:color="auto" w:fill="EAF1DD" w:themeFill="accent3" w:themeFillTint="33"/>
            <w:noWrap/>
            <w:vAlign w:val="center"/>
          </w:tcPr>
          <w:p w14:paraId="1A194D7F" w14:textId="62F71D70" w:rsidR="00FA40E8" w:rsidRDefault="00E74AE8">
            <w:pPr>
              <w:pStyle w:val="P68B1DB1-Normal39"/>
              <w:spacing w:after="0"/>
              <w:jc w:val="center"/>
              <w:rPr>
                <w:noProof/>
                <w:szCs w:val="22"/>
              </w:rPr>
            </w:pPr>
            <w:r>
              <w:rPr>
                <w:noProof/>
              </w:rPr>
              <w:t>100</w:t>
            </w:r>
          </w:p>
        </w:tc>
        <w:tc>
          <w:tcPr>
            <w:tcW w:w="3402" w:type="dxa"/>
            <w:shd w:val="clear" w:color="auto" w:fill="EAF1DD" w:themeFill="accent3" w:themeFillTint="33"/>
          </w:tcPr>
          <w:p w14:paraId="3D31381D" w14:textId="77777777" w:rsidR="00FA40E8" w:rsidRDefault="00E74AE8">
            <w:pPr>
              <w:pStyle w:val="P68B1DB1-Normal38"/>
              <w:spacing w:after="0"/>
              <w:textAlignment w:val="baseline"/>
              <w:rPr>
                <w:noProof/>
                <w:szCs w:val="22"/>
              </w:rPr>
            </w:pPr>
            <w:r>
              <w:rPr>
                <w:noProof/>
              </w:rPr>
              <w:t xml:space="preserve">D.1.1. Enseignement général moderne — Contexte des compétences de base </w:t>
            </w:r>
          </w:p>
          <w:p w14:paraId="57BEBCEE" w14:textId="018E914C" w:rsidR="00FA40E8" w:rsidRDefault="00E74AE8">
            <w:pPr>
              <w:pStyle w:val="P68B1DB1-Normal38"/>
              <w:spacing w:after="0"/>
              <w:rPr>
                <w:noProof/>
                <w:szCs w:val="22"/>
              </w:rPr>
            </w:pPr>
            <w:r>
              <w:rPr>
                <w:noProof/>
              </w:rPr>
              <w:t>D.1.1.5: Soutien à l’acquisition d’équipements pour les centres STEAM et les laboratoires mobiles</w:t>
            </w:r>
          </w:p>
        </w:tc>
        <w:tc>
          <w:tcPr>
            <w:tcW w:w="1594" w:type="dxa"/>
            <w:shd w:val="clear" w:color="auto" w:fill="EAF1DD" w:themeFill="accent3" w:themeFillTint="33"/>
          </w:tcPr>
          <w:p w14:paraId="4B62CE5A" w14:textId="0F85D1BA"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28932F02" w14:textId="507E2F4D" w:rsidR="00FA40E8" w:rsidRDefault="00E74AE8">
            <w:pPr>
              <w:pStyle w:val="P68B1DB1-Normal38"/>
              <w:spacing w:after="0"/>
              <w:rPr>
                <w:noProof/>
                <w:szCs w:val="22"/>
              </w:rPr>
            </w:pPr>
            <w:r>
              <w:rPr>
                <w:noProof/>
              </w:rPr>
              <w:t>Équipements achetés pour les centres STEAM et les laboratoires mobiles</w:t>
            </w:r>
          </w:p>
        </w:tc>
      </w:tr>
      <w:tr w:rsidR="00FA40E8" w14:paraId="0E2DE417" w14:textId="77777777">
        <w:trPr>
          <w:cantSplit/>
          <w:trHeight w:val="300"/>
        </w:trPr>
        <w:tc>
          <w:tcPr>
            <w:tcW w:w="1204" w:type="dxa"/>
            <w:shd w:val="clear" w:color="auto" w:fill="EAF1DD" w:themeFill="accent3" w:themeFillTint="33"/>
            <w:noWrap/>
            <w:vAlign w:val="center"/>
          </w:tcPr>
          <w:p w14:paraId="505F075B" w14:textId="13E97EE8" w:rsidR="00FA40E8" w:rsidRDefault="00E74AE8">
            <w:pPr>
              <w:pStyle w:val="P68B1DB1-Normal39"/>
              <w:spacing w:after="0"/>
              <w:jc w:val="center"/>
              <w:rPr>
                <w:noProof/>
                <w:szCs w:val="22"/>
              </w:rPr>
            </w:pPr>
            <w:r>
              <w:rPr>
                <w:noProof/>
              </w:rPr>
              <w:t>109</w:t>
            </w:r>
          </w:p>
        </w:tc>
        <w:tc>
          <w:tcPr>
            <w:tcW w:w="3402" w:type="dxa"/>
            <w:shd w:val="clear" w:color="auto" w:fill="EAF1DD" w:themeFill="accent3" w:themeFillTint="33"/>
          </w:tcPr>
          <w:p w14:paraId="68AA025A" w14:textId="7FB64D43" w:rsidR="00FA40E8" w:rsidRDefault="00E74AE8">
            <w:pPr>
              <w:pStyle w:val="P68B1DB1-Normal38"/>
              <w:spacing w:after="0"/>
              <w:rPr>
                <w:noProof/>
                <w:szCs w:val="22"/>
              </w:rPr>
            </w:pPr>
            <w:r>
              <w:rPr>
                <w:noProof/>
              </w:rPr>
              <w:t xml:space="preserve">D.1.2. Accès des adultes au système informatique d’éducation et de </w:t>
            </w:r>
            <w:r>
              <w:rPr>
                <w:noProof/>
              </w:rPr>
              <w:t>formation tout au long de la vie</w:t>
            </w:r>
          </w:p>
        </w:tc>
        <w:tc>
          <w:tcPr>
            <w:tcW w:w="1594" w:type="dxa"/>
            <w:shd w:val="clear" w:color="auto" w:fill="EAF1DD" w:themeFill="accent3" w:themeFillTint="33"/>
          </w:tcPr>
          <w:p w14:paraId="5D291DCC" w14:textId="1BCB8106"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0D68F28E" w14:textId="4B6EDB20" w:rsidR="00FA40E8" w:rsidRDefault="00E74AE8">
            <w:pPr>
              <w:pStyle w:val="P68B1DB1-Normal38"/>
              <w:spacing w:after="0"/>
              <w:rPr>
                <w:noProof/>
                <w:szCs w:val="22"/>
              </w:rPr>
            </w:pPr>
            <w:r>
              <w:rPr>
                <w:noProof/>
              </w:rPr>
              <w:t>Personnes formées à l’aide du système informatique d’apprentissage tout au long de la vie</w:t>
            </w:r>
          </w:p>
        </w:tc>
      </w:tr>
      <w:tr w:rsidR="00FA40E8" w14:paraId="0F3EC612" w14:textId="77777777">
        <w:trPr>
          <w:cantSplit/>
          <w:trHeight w:val="300"/>
        </w:trPr>
        <w:tc>
          <w:tcPr>
            <w:tcW w:w="1204" w:type="dxa"/>
            <w:shd w:val="clear" w:color="auto" w:fill="EAF1DD" w:themeFill="accent3" w:themeFillTint="33"/>
            <w:noWrap/>
            <w:vAlign w:val="center"/>
          </w:tcPr>
          <w:p w14:paraId="35DEA13B" w14:textId="5E99BA3B" w:rsidR="00FA40E8" w:rsidRDefault="00E74AE8">
            <w:pPr>
              <w:pStyle w:val="P68B1DB1-Normal39"/>
              <w:spacing w:after="0"/>
              <w:jc w:val="center"/>
              <w:rPr>
                <w:noProof/>
                <w:szCs w:val="22"/>
              </w:rPr>
            </w:pPr>
            <w:r>
              <w:rPr>
                <w:noProof/>
              </w:rPr>
              <w:t>113</w:t>
            </w:r>
          </w:p>
        </w:tc>
        <w:tc>
          <w:tcPr>
            <w:tcW w:w="3402" w:type="dxa"/>
            <w:shd w:val="clear" w:color="auto" w:fill="EAF1DD" w:themeFill="accent3" w:themeFillTint="33"/>
          </w:tcPr>
          <w:p w14:paraId="4A8A575A" w14:textId="77777777" w:rsidR="00FA40E8" w:rsidRDefault="00E74AE8">
            <w:pPr>
              <w:pStyle w:val="P68B1DB1-Normal38"/>
              <w:spacing w:after="0"/>
              <w:textAlignment w:val="baseline"/>
              <w:rPr>
                <w:noProof/>
                <w:szCs w:val="22"/>
              </w:rPr>
            </w:pPr>
            <w:r>
              <w:rPr>
                <w:noProof/>
              </w:rPr>
              <w:t xml:space="preserve">D.1.4. Compétences en matière de transformation numérique acquises dans l’enseignement et la formation professionnels </w:t>
            </w:r>
          </w:p>
          <w:p w14:paraId="38DC297A" w14:textId="38460371" w:rsidR="00FA40E8" w:rsidRDefault="00E74AE8">
            <w:pPr>
              <w:pStyle w:val="P68B1DB1-Normal38"/>
              <w:spacing w:after="0"/>
              <w:rPr>
                <w:noProof/>
                <w:szCs w:val="22"/>
              </w:rPr>
            </w:pPr>
            <w:r>
              <w:rPr>
                <w:noProof/>
              </w:rPr>
              <w:t xml:space="preserve">D.1.4.1 Plateforme nationale pour l’avancement de l’enseignement et de la formation professionnels </w:t>
            </w:r>
          </w:p>
        </w:tc>
        <w:tc>
          <w:tcPr>
            <w:tcW w:w="1594" w:type="dxa"/>
            <w:shd w:val="clear" w:color="auto" w:fill="EAF1DD" w:themeFill="accent3" w:themeFillTint="33"/>
          </w:tcPr>
          <w:p w14:paraId="71300D60" w14:textId="69217C59"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5B7E16D5" w14:textId="7E05324E" w:rsidR="00FA40E8" w:rsidRDefault="00E74AE8">
            <w:pPr>
              <w:pStyle w:val="P68B1DB1-Normal38"/>
              <w:spacing w:after="0"/>
              <w:rPr>
                <w:noProof/>
                <w:szCs w:val="22"/>
              </w:rPr>
            </w:pPr>
            <w:r>
              <w:rPr>
                <w:noProof/>
              </w:rPr>
              <w:t>Enregistrement de programmes de formation professionnelle nouveaux/mis à jour</w:t>
            </w:r>
          </w:p>
        </w:tc>
      </w:tr>
      <w:tr w:rsidR="00FA40E8" w14:paraId="4B532E92" w14:textId="77777777">
        <w:trPr>
          <w:cantSplit/>
          <w:trHeight w:val="300"/>
        </w:trPr>
        <w:tc>
          <w:tcPr>
            <w:tcW w:w="1204" w:type="dxa"/>
            <w:shd w:val="clear" w:color="auto" w:fill="EAF1DD" w:themeFill="accent3" w:themeFillTint="33"/>
            <w:noWrap/>
            <w:vAlign w:val="center"/>
          </w:tcPr>
          <w:p w14:paraId="7CC07992" w14:textId="2867DBBD" w:rsidR="00FA40E8" w:rsidRDefault="00E74AE8">
            <w:pPr>
              <w:pStyle w:val="P68B1DB1-Normal39"/>
              <w:spacing w:after="0"/>
              <w:jc w:val="center"/>
              <w:rPr>
                <w:noProof/>
                <w:szCs w:val="22"/>
              </w:rPr>
            </w:pPr>
            <w:r>
              <w:rPr>
                <w:noProof/>
              </w:rPr>
              <w:t>114</w:t>
            </w:r>
          </w:p>
        </w:tc>
        <w:tc>
          <w:tcPr>
            <w:tcW w:w="3402" w:type="dxa"/>
            <w:shd w:val="clear" w:color="auto" w:fill="EAF1DD" w:themeFill="accent3" w:themeFillTint="33"/>
          </w:tcPr>
          <w:p w14:paraId="3365AFD0" w14:textId="77777777" w:rsidR="00FA40E8" w:rsidRDefault="00E74AE8">
            <w:pPr>
              <w:pStyle w:val="P68B1DB1-Normal38"/>
              <w:spacing w:after="0"/>
              <w:textAlignment w:val="baseline"/>
              <w:rPr>
                <w:noProof/>
                <w:szCs w:val="22"/>
              </w:rPr>
            </w:pPr>
            <w:r>
              <w:rPr>
                <w:noProof/>
              </w:rPr>
              <w:t xml:space="preserve">D.1.4. Compétences en matière de transformation numérique acquises dans l’enseignement et la formation professionnels </w:t>
            </w:r>
          </w:p>
          <w:p w14:paraId="7F04CBD3" w14:textId="5F168358" w:rsidR="00FA40E8" w:rsidRDefault="00E74AE8">
            <w:pPr>
              <w:pStyle w:val="P68B1DB1-Normal38"/>
              <w:spacing w:after="0"/>
              <w:rPr>
                <w:noProof/>
                <w:szCs w:val="22"/>
              </w:rPr>
            </w:pPr>
            <w:r>
              <w:rPr>
                <w:noProof/>
              </w:rPr>
              <w:t xml:space="preserve">D.1.4.1 Plateforme nationale pour l’avancement de l’enseignement et de la formation professionnels </w:t>
            </w:r>
          </w:p>
        </w:tc>
        <w:tc>
          <w:tcPr>
            <w:tcW w:w="1594" w:type="dxa"/>
            <w:shd w:val="clear" w:color="auto" w:fill="EAF1DD" w:themeFill="accent3" w:themeFillTint="33"/>
          </w:tcPr>
          <w:p w14:paraId="760C4C2B" w14:textId="44AC52E0"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50D30AD3" w14:textId="59A50578" w:rsidR="00FA40E8" w:rsidRDefault="00E74AE8">
            <w:pPr>
              <w:pStyle w:val="P68B1DB1-Normal38"/>
              <w:spacing w:after="0"/>
              <w:rPr>
                <w:noProof/>
                <w:szCs w:val="22"/>
              </w:rPr>
            </w:pPr>
            <w:r>
              <w:rPr>
                <w:noProof/>
              </w:rPr>
              <w:t xml:space="preserve">Nombre de certificats de </w:t>
            </w:r>
            <w:r>
              <w:rPr>
                <w:noProof/>
              </w:rPr>
              <w:t>participation à la formation délivrés</w:t>
            </w:r>
          </w:p>
        </w:tc>
      </w:tr>
      <w:tr w:rsidR="00FA40E8" w14:paraId="293BC9DC" w14:textId="77777777">
        <w:trPr>
          <w:cantSplit/>
          <w:trHeight w:val="300"/>
        </w:trPr>
        <w:tc>
          <w:tcPr>
            <w:tcW w:w="1204" w:type="dxa"/>
            <w:shd w:val="clear" w:color="auto" w:fill="EAF1DD" w:themeFill="accent3" w:themeFillTint="33"/>
            <w:noWrap/>
            <w:vAlign w:val="center"/>
          </w:tcPr>
          <w:p w14:paraId="766C0C46" w14:textId="2ACFA4A3" w:rsidR="00FA40E8" w:rsidRDefault="00E74AE8">
            <w:pPr>
              <w:pStyle w:val="P68B1DB1-Normal39"/>
              <w:spacing w:after="0"/>
              <w:jc w:val="center"/>
              <w:rPr>
                <w:noProof/>
                <w:szCs w:val="22"/>
              </w:rPr>
            </w:pPr>
            <w:r>
              <w:rPr>
                <w:noProof/>
              </w:rPr>
              <w:t>117</w:t>
            </w:r>
          </w:p>
        </w:tc>
        <w:tc>
          <w:tcPr>
            <w:tcW w:w="3402" w:type="dxa"/>
            <w:shd w:val="clear" w:color="auto" w:fill="EAF1DD" w:themeFill="accent3" w:themeFillTint="33"/>
          </w:tcPr>
          <w:p w14:paraId="7AEBC519" w14:textId="77777777" w:rsidR="00FA40E8" w:rsidRDefault="00E74AE8">
            <w:pPr>
              <w:pStyle w:val="P68B1DB1-Normal38"/>
              <w:spacing w:after="0"/>
              <w:textAlignment w:val="baseline"/>
              <w:rPr>
                <w:noProof/>
                <w:szCs w:val="22"/>
              </w:rPr>
            </w:pPr>
            <w:r>
              <w:rPr>
                <w:noProof/>
              </w:rPr>
              <w:t xml:space="preserve">D.1.4. Compétences en matière de transformation numérique acquises dans l’enseignement et la formation professionnels </w:t>
            </w:r>
          </w:p>
          <w:p w14:paraId="2A1FC973" w14:textId="41F53FA7" w:rsidR="00FA40E8" w:rsidRDefault="00E74AE8">
            <w:pPr>
              <w:pStyle w:val="P68B1DB1-Normal38"/>
              <w:spacing w:after="0"/>
              <w:rPr>
                <w:noProof/>
                <w:szCs w:val="22"/>
              </w:rPr>
            </w:pPr>
            <w:r>
              <w:rPr>
                <w:noProof/>
              </w:rPr>
              <w:t>D.1.4.3: Apprentissage et formations</w:t>
            </w:r>
          </w:p>
        </w:tc>
        <w:tc>
          <w:tcPr>
            <w:tcW w:w="1594" w:type="dxa"/>
            <w:shd w:val="clear" w:color="auto" w:fill="EAF1DD" w:themeFill="accent3" w:themeFillTint="33"/>
          </w:tcPr>
          <w:p w14:paraId="20800989" w14:textId="21F42E79"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6AFA8E8E" w14:textId="6E208755" w:rsidR="00FA40E8" w:rsidRDefault="00E74AE8">
            <w:pPr>
              <w:pStyle w:val="P68B1DB1-Normal42"/>
              <w:spacing w:after="0"/>
              <w:rPr>
                <w:rFonts w:eastAsia="Times New Roman" w:cs="Times New Roman"/>
                <w:noProof/>
                <w:color w:val="000000"/>
                <w:szCs w:val="22"/>
              </w:rPr>
            </w:pPr>
            <w:r>
              <w:rPr>
                <w:noProof/>
              </w:rPr>
              <w:t>Nombre de certificats de formation délivrés</w:t>
            </w:r>
          </w:p>
        </w:tc>
      </w:tr>
      <w:tr w:rsidR="00FA40E8" w14:paraId="1CA29293" w14:textId="77777777">
        <w:trPr>
          <w:cantSplit/>
          <w:trHeight w:val="300"/>
        </w:trPr>
        <w:tc>
          <w:tcPr>
            <w:tcW w:w="1204" w:type="dxa"/>
            <w:shd w:val="clear" w:color="auto" w:fill="EAF1DD" w:themeFill="accent3" w:themeFillTint="33"/>
            <w:noWrap/>
            <w:vAlign w:val="center"/>
          </w:tcPr>
          <w:p w14:paraId="0D20025E" w14:textId="70F4B1E6" w:rsidR="00FA40E8" w:rsidRDefault="00E74AE8">
            <w:pPr>
              <w:pStyle w:val="P68B1DB1-Normal39"/>
              <w:spacing w:after="0"/>
              <w:jc w:val="center"/>
              <w:rPr>
                <w:noProof/>
                <w:szCs w:val="22"/>
              </w:rPr>
            </w:pPr>
            <w:r>
              <w:rPr>
                <w:noProof/>
              </w:rPr>
              <w:t>119</w:t>
            </w:r>
          </w:p>
        </w:tc>
        <w:tc>
          <w:tcPr>
            <w:tcW w:w="3402" w:type="dxa"/>
            <w:shd w:val="clear" w:color="auto" w:fill="EAF1DD" w:themeFill="accent3" w:themeFillTint="33"/>
          </w:tcPr>
          <w:p w14:paraId="7659C5A7" w14:textId="77777777" w:rsidR="00FA40E8" w:rsidRDefault="00E74AE8">
            <w:pPr>
              <w:pStyle w:val="P68B1DB1-Normal38"/>
              <w:spacing w:after="0"/>
              <w:textAlignment w:val="baseline"/>
              <w:rPr>
                <w:noProof/>
                <w:szCs w:val="22"/>
              </w:rPr>
            </w:pPr>
            <w:r>
              <w:rPr>
                <w:noProof/>
              </w:rPr>
              <w:t xml:space="preserve">D.1.4. Compétences en matière de transformation numérique acquises dans l’enseignement et la formation professionnels  </w:t>
            </w:r>
          </w:p>
          <w:p w14:paraId="20077F81" w14:textId="4D31D2A4" w:rsidR="00FA40E8" w:rsidRDefault="00E74AE8">
            <w:pPr>
              <w:pStyle w:val="P68B1DB1-Normal38"/>
              <w:spacing w:after="0"/>
              <w:rPr>
                <w:noProof/>
                <w:szCs w:val="22"/>
              </w:rPr>
            </w:pPr>
            <w:r>
              <w:rPr>
                <w:noProof/>
              </w:rPr>
              <w:t>D.1.4.5. Davantage de possibilités d’étudier dans des modules d’EFP pour les élèves de l’enseignement général</w:t>
            </w:r>
          </w:p>
        </w:tc>
        <w:tc>
          <w:tcPr>
            <w:tcW w:w="1594" w:type="dxa"/>
            <w:shd w:val="clear" w:color="auto" w:fill="EAF1DD" w:themeFill="accent3" w:themeFillTint="33"/>
          </w:tcPr>
          <w:p w14:paraId="5AB349E9" w14:textId="2FA79C4B"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2B274584" w14:textId="2168AFA9" w:rsidR="00FA40E8" w:rsidRDefault="00E74AE8">
            <w:pPr>
              <w:pStyle w:val="P68B1DB1-Normal38"/>
              <w:spacing w:after="0"/>
              <w:rPr>
                <w:noProof/>
                <w:szCs w:val="22"/>
              </w:rPr>
            </w:pPr>
            <w:r>
              <w:rPr>
                <w:noProof/>
              </w:rPr>
              <w:t xml:space="preserve">Élèves inscrits </w:t>
            </w:r>
            <w:r>
              <w:rPr>
                <w:noProof/>
              </w:rPr>
              <w:t>pour étudier dans des modules d’EFP ou des programmes de formation professionnelle à partir de la 9e année</w:t>
            </w:r>
          </w:p>
        </w:tc>
      </w:tr>
      <w:tr w:rsidR="00FA40E8" w14:paraId="6295DC78" w14:textId="77777777">
        <w:trPr>
          <w:cantSplit/>
          <w:trHeight w:val="300"/>
        </w:trPr>
        <w:tc>
          <w:tcPr>
            <w:tcW w:w="1204" w:type="dxa"/>
            <w:shd w:val="clear" w:color="auto" w:fill="EAF1DD" w:themeFill="accent3" w:themeFillTint="33"/>
            <w:noWrap/>
            <w:vAlign w:val="center"/>
          </w:tcPr>
          <w:p w14:paraId="07EF0CB6" w14:textId="77777777" w:rsidR="00FA40E8" w:rsidRDefault="00E74AE8">
            <w:pPr>
              <w:pStyle w:val="P68B1DB1-Normal39"/>
              <w:spacing w:after="0"/>
              <w:jc w:val="center"/>
              <w:rPr>
                <w:noProof/>
                <w:color w:val="000000"/>
                <w:szCs w:val="22"/>
              </w:rPr>
            </w:pPr>
            <w:r>
              <w:rPr>
                <w:noProof/>
              </w:rPr>
              <w:t>123</w:t>
            </w:r>
          </w:p>
        </w:tc>
        <w:tc>
          <w:tcPr>
            <w:tcW w:w="3402" w:type="dxa"/>
            <w:shd w:val="clear" w:color="auto" w:fill="EAF1DD" w:themeFill="accent3" w:themeFillTint="33"/>
          </w:tcPr>
          <w:p w14:paraId="78C74BA0" w14:textId="39F6C492" w:rsidR="00FA40E8" w:rsidRDefault="00E74AE8">
            <w:pPr>
              <w:pStyle w:val="P68B1DB1-Normal38"/>
              <w:spacing w:after="0"/>
              <w:rPr>
                <w:noProof/>
                <w:szCs w:val="22"/>
              </w:rPr>
            </w:pPr>
            <w:r>
              <w:rPr>
                <w:noProof/>
              </w:rPr>
              <w:t xml:space="preserve">E.1.1. Un enseignement supérieur de qualité et des établissements d’enseignement supérieur solides — E.1.1.2 Réseau d’enseignement supérieur </w:t>
            </w:r>
            <w:r>
              <w:rPr>
                <w:noProof/>
              </w:rPr>
              <w:t>efficace en affinant les missions des universités et des établissements d’enseignement supérieur</w:t>
            </w:r>
          </w:p>
        </w:tc>
        <w:tc>
          <w:tcPr>
            <w:tcW w:w="1594" w:type="dxa"/>
            <w:shd w:val="clear" w:color="auto" w:fill="EAF1DD" w:themeFill="accent3" w:themeFillTint="33"/>
          </w:tcPr>
          <w:p w14:paraId="10AD2B18" w14:textId="77777777"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5E5AF5D5" w14:textId="4ADFE570" w:rsidR="00FA40E8" w:rsidRDefault="00E74AE8">
            <w:pPr>
              <w:pStyle w:val="P68B1DB1-Normal38"/>
              <w:spacing w:after="0"/>
              <w:rPr>
                <w:noProof/>
                <w:szCs w:val="22"/>
              </w:rPr>
            </w:pPr>
            <w:r>
              <w:rPr>
                <w:noProof/>
              </w:rPr>
              <w:t>Fusions collégiales</w:t>
            </w:r>
          </w:p>
        </w:tc>
      </w:tr>
      <w:tr w:rsidR="00FA40E8" w14:paraId="10493611" w14:textId="77777777">
        <w:trPr>
          <w:cantSplit/>
          <w:trHeight w:val="300"/>
        </w:trPr>
        <w:tc>
          <w:tcPr>
            <w:tcW w:w="1204" w:type="dxa"/>
            <w:shd w:val="clear" w:color="auto" w:fill="EAF1DD" w:themeFill="accent3" w:themeFillTint="33"/>
            <w:noWrap/>
            <w:vAlign w:val="center"/>
          </w:tcPr>
          <w:p w14:paraId="2A37DD9C" w14:textId="77777777" w:rsidR="00FA40E8" w:rsidRDefault="00E74AE8">
            <w:pPr>
              <w:pStyle w:val="P68B1DB1-Normal39"/>
              <w:spacing w:after="0"/>
              <w:jc w:val="center"/>
              <w:rPr>
                <w:noProof/>
                <w:color w:val="000000"/>
                <w:szCs w:val="22"/>
              </w:rPr>
            </w:pPr>
            <w:r>
              <w:rPr>
                <w:noProof/>
              </w:rPr>
              <w:t>130</w:t>
            </w:r>
          </w:p>
        </w:tc>
        <w:tc>
          <w:tcPr>
            <w:tcW w:w="3402" w:type="dxa"/>
            <w:shd w:val="clear" w:color="auto" w:fill="EAF1DD" w:themeFill="accent3" w:themeFillTint="33"/>
          </w:tcPr>
          <w:p w14:paraId="3C3D605F" w14:textId="72427426" w:rsidR="00FA40E8" w:rsidRDefault="00E74AE8">
            <w:pPr>
              <w:pStyle w:val="P68B1DB1-Normal38"/>
              <w:spacing w:after="0"/>
              <w:rPr>
                <w:noProof/>
                <w:szCs w:val="22"/>
              </w:rPr>
            </w:pPr>
            <w:r>
              <w:rPr>
                <w:noProof/>
              </w:rPr>
              <w:t>E.1.2. Mise en œuvre efficace de la politique d’innovation, augmentation de la demande d’innovation, soutien à l’écosystème d</w:t>
            </w:r>
            <w:r>
              <w:rPr>
                <w:noProof/>
              </w:rPr>
              <w:t xml:space="preserve">es jeunes pousses et à l’innovation verte — E.1.2.2. Accroître la demande d’innovation et soutenir l’innovation verte en Lituanie </w:t>
            </w:r>
          </w:p>
        </w:tc>
        <w:tc>
          <w:tcPr>
            <w:tcW w:w="1594" w:type="dxa"/>
            <w:shd w:val="clear" w:color="auto" w:fill="EAF1DD" w:themeFill="accent3" w:themeFillTint="33"/>
          </w:tcPr>
          <w:p w14:paraId="19A6E6EB" w14:textId="77777777"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32F58702" w14:textId="7BB8DAE4" w:rsidR="00FA40E8" w:rsidRDefault="00E74AE8">
            <w:pPr>
              <w:pStyle w:val="P68B1DB1-Normal38"/>
              <w:spacing w:after="0"/>
              <w:rPr>
                <w:noProof/>
                <w:szCs w:val="22"/>
              </w:rPr>
            </w:pPr>
            <w:r>
              <w:rPr>
                <w:noProof/>
              </w:rPr>
              <w:t>Biens ou services innovants achetés et produits ou projets technologiques respectueux de l’environnement et projets sou</w:t>
            </w:r>
            <w:r>
              <w:rPr>
                <w:noProof/>
              </w:rPr>
              <w:t>tenus dans le cadre du laboratoire industriel 4.0</w:t>
            </w:r>
          </w:p>
        </w:tc>
      </w:tr>
      <w:tr w:rsidR="00FA40E8" w14:paraId="2B0B02A2" w14:textId="77777777">
        <w:trPr>
          <w:cantSplit/>
          <w:trHeight w:val="300"/>
        </w:trPr>
        <w:tc>
          <w:tcPr>
            <w:tcW w:w="1204" w:type="dxa"/>
            <w:shd w:val="clear" w:color="auto" w:fill="EAF1DD" w:themeFill="accent3" w:themeFillTint="33"/>
            <w:noWrap/>
            <w:vAlign w:val="center"/>
          </w:tcPr>
          <w:p w14:paraId="63ABD196" w14:textId="77777777" w:rsidR="00FA40E8" w:rsidRDefault="00E74AE8">
            <w:pPr>
              <w:pStyle w:val="P68B1DB1-Normal39"/>
              <w:spacing w:after="0"/>
              <w:jc w:val="center"/>
              <w:rPr>
                <w:noProof/>
                <w:color w:val="000000"/>
                <w:szCs w:val="22"/>
              </w:rPr>
            </w:pPr>
            <w:r>
              <w:rPr>
                <w:noProof/>
              </w:rPr>
              <w:t>131</w:t>
            </w:r>
          </w:p>
        </w:tc>
        <w:tc>
          <w:tcPr>
            <w:tcW w:w="3402" w:type="dxa"/>
            <w:shd w:val="clear" w:color="auto" w:fill="EAF1DD" w:themeFill="accent3" w:themeFillTint="33"/>
          </w:tcPr>
          <w:p w14:paraId="51945629" w14:textId="093D1AAB" w:rsidR="00FA40E8" w:rsidRDefault="00E74AE8">
            <w:pPr>
              <w:pStyle w:val="P68B1DB1-Normal38"/>
              <w:spacing w:after="0"/>
              <w:rPr>
                <w:noProof/>
                <w:szCs w:val="22"/>
              </w:rPr>
            </w:pPr>
            <w:r>
              <w:rPr>
                <w:noProof/>
              </w:rPr>
              <w:t xml:space="preserve">E.1.2. Mise en œuvre efficace de la politique d’innovation, augmentation de la demande d’innovation, soutien à l’écosystème des jeunes pousses et à l’innovation verte — E.1.2.3. Soutenir l’écosystème </w:t>
            </w:r>
            <w:r>
              <w:rPr>
                <w:noProof/>
              </w:rPr>
              <w:t>des jeunes pousses</w:t>
            </w:r>
          </w:p>
        </w:tc>
        <w:tc>
          <w:tcPr>
            <w:tcW w:w="1594" w:type="dxa"/>
            <w:shd w:val="clear" w:color="auto" w:fill="EAF1DD" w:themeFill="accent3" w:themeFillTint="33"/>
          </w:tcPr>
          <w:p w14:paraId="42BA4799" w14:textId="43F09D46"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7F599737" w14:textId="00CE5688" w:rsidR="00FA40E8" w:rsidRDefault="00E74AE8">
            <w:pPr>
              <w:pStyle w:val="P68B1DB1-Normal38"/>
              <w:spacing w:after="0"/>
              <w:rPr>
                <w:noProof/>
                <w:szCs w:val="22"/>
              </w:rPr>
            </w:pPr>
            <w:r>
              <w:rPr>
                <w:noProof/>
              </w:rPr>
              <w:t>Nombre de personnes physiques ou morales ayant bénéficié d’investissements ou de services</w:t>
            </w:r>
          </w:p>
        </w:tc>
      </w:tr>
      <w:tr w:rsidR="00FA40E8" w14:paraId="5717CD6A" w14:textId="77777777">
        <w:trPr>
          <w:cantSplit/>
          <w:trHeight w:val="300"/>
        </w:trPr>
        <w:tc>
          <w:tcPr>
            <w:tcW w:w="1204" w:type="dxa"/>
            <w:shd w:val="clear" w:color="auto" w:fill="EAF1DD" w:themeFill="accent3" w:themeFillTint="33"/>
            <w:noWrap/>
            <w:vAlign w:val="center"/>
          </w:tcPr>
          <w:p w14:paraId="6070B8D2" w14:textId="77777777" w:rsidR="00FA40E8" w:rsidRDefault="00E74AE8">
            <w:pPr>
              <w:pStyle w:val="P68B1DB1-Normal39"/>
              <w:spacing w:after="0"/>
              <w:jc w:val="center"/>
              <w:rPr>
                <w:noProof/>
                <w:color w:val="000000"/>
                <w:szCs w:val="22"/>
              </w:rPr>
            </w:pPr>
            <w:r>
              <w:rPr>
                <w:noProof/>
              </w:rPr>
              <w:t>133</w:t>
            </w:r>
          </w:p>
        </w:tc>
        <w:tc>
          <w:tcPr>
            <w:tcW w:w="3402" w:type="dxa"/>
            <w:shd w:val="clear" w:color="auto" w:fill="EAF1DD" w:themeFill="accent3" w:themeFillTint="33"/>
          </w:tcPr>
          <w:p w14:paraId="5F6F446D" w14:textId="06DA598E" w:rsidR="00FA40E8" w:rsidRDefault="00E74AE8">
            <w:pPr>
              <w:pStyle w:val="P68B1DB1-Normal38"/>
              <w:spacing w:after="0"/>
              <w:rPr>
                <w:noProof/>
                <w:szCs w:val="22"/>
              </w:rPr>
            </w:pPr>
            <w:r>
              <w:rPr>
                <w:noProof/>
              </w:rPr>
              <w:t>E.1.3. Missions conjointes pour la science et l’innovation dans le domaine de la spécialisation intelligente — E.1.3.2. Soutenir la r</w:t>
            </w:r>
            <w:r>
              <w:rPr>
                <w:noProof/>
              </w:rPr>
              <w:t>echerche et le développement</w:t>
            </w:r>
          </w:p>
        </w:tc>
        <w:tc>
          <w:tcPr>
            <w:tcW w:w="1594" w:type="dxa"/>
            <w:shd w:val="clear" w:color="auto" w:fill="EAF1DD" w:themeFill="accent3" w:themeFillTint="33"/>
          </w:tcPr>
          <w:p w14:paraId="4AA0F844" w14:textId="77777777"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1C612D69" w14:textId="01AA4E45" w:rsidR="00FA40E8" w:rsidRDefault="00E74AE8">
            <w:pPr>
              <w:pStyle w:val="P68B1DB1-Normal38"/>
              <w:spacing w:after="0"/>
              <w:rPr>
                <w:noProof/>
                <w:szCs w:val="22"/>
              </w:rPr>
            </w:pPr>
            <w:r>
              <w:rPr>
                <w:noProof/>
              </w:rPr>
              <w:t>Travaux de construction de deux centres de R &amp; D réalisés</w:t>
            </w:r>
          </w:p>
        </w:tc>
      </w:tr>
      <w:tr w:rsidR="00FA40E8" w14:paraId="74C763F0" w14:textId="77777777">
        <w:trPr>
          <w:cantSplit/>
          <w:trHeight w:val="300"/>
        </w:trPr>
        <w:tc>
          <w:tcPr>
            <w:tcW w:w="1204" w:type="dxa"/>
            <w:shd w:val="clear" w:color="auto" w:fill="EAF1DD" w:themeFill="accent3" w:themeFillTint="33"/>
            <w:noWrap/>
            <w:vAlign w:val="center"/>
          </w:tcPr>
          <w:p w14:paraId="4497EEC3" w14:textId="60D6AD7F" w:rsidR="00FA40E8" w:rsidRDefault="00E74AE8">
            <w:pPr>
              <w:pStyle w:val="P68B1DB1-Normal39"/>
              <w:spacing w:after="0"/>
              <w:jc w:val="center"/>
              <w:rPr>
                <w:noProof/>
                <w:szCs w:val="22"/>
              </w:rPr>
            </w:pPr>
            <w:r>
              <w:rPr>
                <w:noProof/>
              </w:rPr>
              <w:t>134</w:t>
            </w:r>
          </w:p>
        </w:tc>
        <w:tc>
          <w:tcPr>
            <w:tcW w:w="3402" w:type="dxa"/>
            <w:shd w:val="clear" w:color="auto" w:fill="EAF1DD" w:themeFill="accent3" w:themeFillTint="33"/>
          </w:tcPr>
          <w:p w14:paraId="13AF81A3" w14:textId="26CACBB0" w:rsidR="00FA40E8" w:rsidRDefault="00E74AE8">
            <w:pPr>
              <w:pStyle w:val="P68B1DB1-Normal38"/>
              <w:spacing w:after="0"/>
              <w:rPr>
                <w:noProof/>
                <w:szCs w:val="22"/>
              </w:rPr>
            </w:pPr>
            <w:r>
              <w:rPr>
                <w:noProof/>
              </w:rPr>
              <w:t>E.1.3. Missions conjointes pour la science et l’innovation dans le</w:t>
            </w:r>
            <w:r>
              <w:rPr>
                <w:noProof/>
              </w:rPr>
              <w:t xml:space="preserve"> domaine de la spécialisation intelligente — E.1.3.2. Soutenir la recherche et le développement</w:t>
            </w:r>
          </w:p>
        </w:tc>
        <w:tc>
          <w:tcPr>
            <w:tcW w:w="1594" w:type="dxa"/>
            <w:shd w:val="clear" w:color="auto" w:fill="EAF1DD" w:themeFill="accent3" w:themeFillTint="33"/>
          </w:tcPr>
          <w:p w14:paraId="4F0D190A" w14:textId="4C23B5E6"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448671C5" w14:textId="68E82AC7" w:rsidR="00FA40E8" w:rsidRDefault="00E74AE8">
            <w:pPr>
              <w:pStyle w:val="P68B1DB1-Normal38"/>
              <w:spacing w:after="0"/>
              <w:rPr>
                <w:noProof/>
                <w:szCs w:val="22"/>
              </w:rPr>
            </w:pPr>
            <w:r>
              <w:rPr>
                <w:noProof/>
              </w:rPr>
              <w:t>Projets de R &amp; D bénéficiant d’un soutien financier.</w:t>
            </w:r>
          </w:p>
        </w:tc>
      </w:tr>
      <w:tr w:rsidR="00FA40E8" w14:paraId="772A451D" w14:textId="77777777">
        <w:trPr>
          <w:cantSplit/>
          <w:trHeight w:val="300"/>
        </w:trPr>
        <w:tc>
          <w:tcPr>
            <w:tcW w:w="1204" w:type="dxa"/>
            <w:shd w:val="clear" w:color="auto" w:fill="EAF1DD" w:themeFill="accent3" w:themeFillTint="33"/>
            <w:noWrap/>
            <w:vAlign w:val="center"/>
          </w:tcPr>
          <w:p w14:paraId="0B501CFE" w14:textId="2DBE0FB4" w:rsidR="00FA40E8" w:rsidRDefault="00E74AE8">
            <w:pPr>
              <w:pStyle w:val="P68B1DB1-Normal39"/>
              <w:spacing w:after="0"/>
              <w:jc w:val="center"/>
              <w:rPr>
                <w:noProof/>
                <w:szCs w:val="22"/>
              </w:rPr>
            </w:pPr>
            <w:r>
              <w:rPr>
                <w:noProof/>
              </w:rPr>
              <w:t>136</w:t>
            </w:r>
          </w:p>
        </w:tc>
        <w:tc>
          <w:tcPr>
            <w:tcW w:w="3402" w:type="dxa"/>
            <w:shd w:val="clear" w:color="auto" w:fill="EAF1DD" w:themeFill="accent3" w:themeFillTint="33"/>
          </w:tcPr>
          <w:p w14:paraId="1B74E1F7" w14:textId="0834B8DD" w:rsidR="00FA40E8" w:rsidRDefault="00E74AE8">
            <w:pPr>
              <w:pStyle w:val="P68B1DB1-Normal38"/>
              <w:spacing w:after="0"/>
              <w:rPr>
                <w:noProof/>
                <w:szCs w:val="22"/>
              </w:rPr>
            </w:pPr>
            <w:r>
              <w:rPr>
                <w:noProof/>
              </w:rPr>
              <w:t>E.1.3. Missions conjointes pour la science et l’innovation dans le domaine de la spécialisati</w:t>
            </w:r>
            <w:r>
              <w:rPr>
                <w:noProof/>
              </w:rPr>
              <w:t xml:space="preserve">on intelligente — E.1.3.3. Encourager la science et les entreprises à participer au programme de recherche et d’innovation de l’UE «Horizon Europe» et à d’autres programmes de financement internationaux </w:t>
            </w:r>
          </w:p>
        </w:tc>
        <w:tc>
          <w:tcPr>
            <w:tcW w:w="1594" w:type="dxa"/>
            <w:shd w:val="clear" w:color="auto" w:fill="EAF1DD" w:themeFill="accent3" w:themeFillTint="33"/>
          </w:tcPr>
          <w:p w14:paraId="6E0D8237" w14:textId="495AEE96"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17496EBF" w14:textId="407FCD2E" w:rsidR="00FA40E8" w:rsidRDefault="00E74AE8">
            <w:pPr>
              <w:pStyle w:val="P68B1DB1-Normal38"/>
              <w:spacing w:after="0"/>
              <w:rPr>
                <w:noProof/>
                <w:szCs w:val="22"/>
              </w:rPr>
            </w:pPr>
            <w:r>
              <w:rPr>
                <w:noProof/>
              </w:rPr>
              <w:t>Projets ou services de conseil pour les can</w:t>
            </w:r>
            <w:r>
              <w:rPr>
                <w:noProof/>
              </w:rPr>
              <w:t>didats potentiels au programme Horizon Europe bénéficiant d’un soutien financier</w:t>
            </w:r>
          </w:p>
        </w:tc>
      </w:tr>
      <w:tr w:rsidR="00FA40E8" w14:paraId="2E85C881" w14:textId="77777777">
        <w:trPr>
          <w:cantSplit/>
          <w:trHeight w:val="300"/>
        </w:trPr>
        <w:tc>
          <w:tcPr>
            <w:tcW w:w="1204" w:type="dxa"/>
            <w:shd w:val="clear" w:color="auto" w:fill="EAF1DD" w:themeFill="accent3" w:themeFillTint="33"/>
            <w:noWrap/>
            <w:vAlign w:val="center"/>
          </w:tcPr>
          <w:p w14:paraId="5FBA7DD9" w14:textId="01EF2BA4" w:rsidR="00FA40E8" w:rsidRDefault="00E74AE8">
            <w:pPr>
              <w:pStyle w:val="P68B1DB1-Normal39"/>
              <w:spacing w:after="0"/>
              <w:jc w:val="center"/>
              <w:rPr>
                <w:noProof/>
                <w:szCs w:val="22"/>
              </w:rPr>
            </w:pPr>
            <w:r>
              <w:rPr>
                <w:noProof/>
              </w:rPr>
              <w:t>138</w:t>
            </w:r>
          </w:p>
        </w:tc>
        <w:tc>
          <w:tcPr>
            <w:tcW w:w="3402" w:type="dxa"/>
            <w:shd w:val="clear" w:color="auto" w:fill="EAF1DD" w:themeFill="accent3" w:themeFillTint="33"/>
          </w:tcPr>
          <w:p w14:paraId="107ADBD4" w14:textId="4F69E275" w:rsidR="00FA40E8" w:rsidRDefault="00E74AE8">
            <w:pPr>
              <w:pStyle w:val="P68B1DB1-Normal38"/>
              <w:spacing w:after="0"/>
              <w:rPr>
                <w:noProof/>
                <w:szCs w:val="22"/>
              </w:rPr>
            </w:pPr>
            <w:r>
              <w:rPr>
                <w:noProof/>
              </w:rPr>
              <w:t xml:space="preserve">F.1.1. Secteur public efficient — F.1.1.1 Modernisation de la gestion des ressources humaines dans le secteur public </w:t>
            </w:r>
          </w:p>
        </w:tc>
        <w:tc>
          <w:tcPr>
            <w:tcW w:w="1594" w:type="dxa"/>
            <w:shd w:val="clear" w:color="auto" w:fill="EAF1DD" w:themeFill="accent3" w:themeFillTint="33"/>
          </w:tcPr>
          <w:p w14:paraId="5450205E" w14:textId="11060B6E"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20F69383" w14:textId="1C10C01F" w:rsidR="00FA40E8" w:rsidRDefault="00E74AE8">
            <w:pPr>
              <w:pStyle w:val="P68B1DB1-Normal38"/>
              <w:spacing w:after="0"/>
              <w:rPr>
                <w:noProof/>
                <w:szCs w:val="22"/>
              </w:rPr>
            </w:pPr>
            <w:r>
              <w:rPr>
                <w:noProof/>
              </w:rPr>
              <w:t xml:space="preserve">Modernisation de la gestion des ressources humaines dans le secteur public </w:t>
            </w:r>
          </w:p>
        </w:tc>
      </w:tr>
      <w:tr w:rsidR="00FA40E8" w14:paraId="0C3A568C" w14:textId="77777777">
        <w:trPr>
          <w:cantSplit/>
          <w:trHeight w:val="300"/>
        </w:trPr>
        <w:tc>
          <w:tcPr>
            <w:tcW w:w="1204" w:type="dxa"/>
            <w:shd w:val="clear" w:color="auto" w:fill="EAF1DD" w:themeFill="accent3" w:themeFillTint="33"/>
            <w:noWrap/>
            <w:vAlign w:val="center"/>
          </w:tcPr>
          <w:p w14:paraId="276115EC" w14:textId="5813B3E1" w:rsidR="00FA40E8" w:rsidRDefault="00E74AE8">
            <w:pPr>
              <w:pStyle w:val="P68B1DB1-Normal39"/>
              <w:spacing w:after="0"/>
              <w:jc w:val="center"/>
              <w:rPr>
                <w:noProof/>
              </w:rPr>
            </w:pPr>
            <w:r>
              <w:rPr>
                <w:noProof/>
              </w:rPr>
              <w:t>154a</w:t>
            </w:r>
          </w:p>
        </w:tc>
        <w:tc>
          <w:tcPr>
            <w:tcW w:w="3402" w:type="dxa"/>
            <w:shd w:val="clear" w:color="auto" w:fill="EAF1DD" w:themeFill="accent3" w:themeFillTint="33"/>
          </w:tcPr>
          <w:p w14:paraId="5292CFBB" w14:textId="29A6F094" w:rsidR="00FA40E8" w:rsidRDefault="00E74AE8">
            <w:pPr>
              <w:spacing w:after="0"/>
              <w:rPr>
                <w:rFonts w:ascii="Times New Roman" w:eastAsia="Times New Roman" w:hAnsi="Times New Roman" w:cs="Times New Roman"/>
                <w:noProof/>
                <w:color w:val="000000"/>
                <w:szCs w:val="22"/>
              </w:rPr>
            </w:pPr>
            <w:r>
              <w:rPr>
                <w:rStyle w:val="normaltextrun"/>
                <w:rFonts w:ascii="Times New Roman" w:hAnsi="Times New Roman"/>
                <w:noProof/>
              </w:rPr>
              <w:t>F.1.3. Viabilité à long terme et transparence du budget national — F.1.3.5. Consolidation des institutions nationales de développement</w:t>
            </w:r>
          </w:p>
        </w:tc>
        <w:tc>
          <w:tcPr>
            <w:tcW w:w="1594" w:type="dxa"/>
            <w:shd w:val="clear" w:color="auto" w:fill="EAF1DD" w:themeFill="accent3" w:themeFillTint="33"/>
          </w:tcPr>
          <w:p w14:paraId="65382055" w14:textId="2FF12A64" w:rsidR="00FA40E8" w:rsidRDefault="00E74AE8">
            <w:pPr>
              <w:pStyle w:val="P68B1DB1-Normal38"/>
              <w:spacing w:after="0"/>
              <w:jc w:val="center"/>
              <w:rPr>
                <w:noProof/>
              </w:rPr>
            </w:pPr>
            <w:r>
              <w:rPr>
                <w:noProof/>
              </w:rPr>
              <w:t>Étape</w:t>
            </w:r>
          </w:p>
        </w:tc>
        <w:tc>
          <w:tcPr>
            <w:tcW w:w="3579" w:type="dxa"/>
            <w:shd w:val="clear" w:color="auto" w:fill="EAF1DD" w:themeFill="accent3" w:themeFillTint="33"/>
          </w:tcPr>
          <w:p w14:paraId="353D5032" w14:textId="6144D6E6" w:rsidR="00FA40E8" w:rsidRDefault="00E74AE8">
            <w:pPr>
              <w:pStyle w:val="P68B1DB1-Normal38"/>
              <w:spacing w:after="0"/>
              <w:rPr>
                <w:noProof/>
              </w:rPr>
            </w:pPr>
            <w:r>
              <w:rPr>
                <w:noProof/>
              </w:rPr>
              <w:t>Politique d’investissement</w:t>
            </w:r>
          </w:p>
        </w:tc>
      </w:tr>
      <w:tr w:rsidR="00FA40E8" w14:paraId="5413831C" w14:textId="77777777">
        <w:trPr>
          <w:cantSplit/>
          <w:trHeight w:val="300"/>
        </w:trPr>
        <w:tc>
          <w:tcPr>
            <w:tcW w:w="1204" w:type="dxa"/>
            <w:shd w:val="clear" w:color="auto" w:fill="EAF1DD" w:themeFill="accent3" w:themeFillTint="33"/>
            <w:noWrap/>
            <w:vAlign w:val="center"/>
          </w:tcPr>
          <w:p w14:paraId="081396ED" w14:textId="44B50384" w:rsidR="00FA40E8" w:rsidRDefault="00E74AE8">
            <w:pPr>
              <w:pStyle w:val="P68B1DB1-Normal39"/>
              <w:jc w:val="center"/>
              <w:rPr>
                <w:noProof/>
              </w:rPr>
            </w:pPr>
            <w:r>
              <w:rPr>
                <w:noProof/>
              </w:rPr>
              <w:t>154b</w:t>
            </w:r>
          </w:p>
        </w:tc>
        <w:tc>
          <w:tcPr>
            <w:tcW w:w="3402" w:type="dxa"/>
            <w:shd w:val="clear" w:color="auto" w:fill="EAF1DD" w:themeFill="accent3" w:themeFillTint="33"/>
          </w:tcPr>
          <w:p w14:paraId="2EFD1132" w14:textId="4C2CA31B" w:rsidR="00FA40E8" w:rsidRDefault="00E74AE8">
            <w:pPr>
              <w:spacing w:after="0"/>
              <w:rPr>
                <w:rFonts w:ascii="Times New Roman" w:eastAsia="Times New Roman" w:hAnsi="Times New Roman" w:cs="Times New Roman"/>
                <w:noProof/>
                <w:color w:val="000000" w:themeColor="text1"/>
                <w:szCs w:val="22"/>
              </w:rPr>
            </w:pPr>
            <w:r>
              <w:rPr>
                <w:rStyle w:val="normaltextrun"/>
                <w:rFonts w:ascii="Times New Roman" w:hAnsi="Times New Roman"/>
                <w:noProof/>
              </w:rPr>
              <w:t>F.1.3. Viabilité à long terme et transparence du budget national — F.1.3.5. Consolidation des institutions nationales de développement</w:t>
            </w:r>
          </w:p>
        </w:tc>
        <w:tc>
          <w:tcPr>
            <w:tcW w:w="1594" w:type="dxa"/>
            <w:shd w:val="clear" w:color="auto" w:fill="EAF1DD" w:themeFill="accent3" w:themeFillTint="33"/>
          </w:tcPr>
          <w:p w14:paraId="0670F297" w14:textId="0E3A2AAC" w:rsidR="00FA40E8" w:rsidRDefault="00E74AE8">
            <w:pPr>
              <w:pStyle w:val="P68B1DB1-Normal38"/>
              <w:jc w:val="center"/>
              <w:rPr>
                <w:noProof/>
                <w:color w:val="000000" w:themeColor="text1"/>
              </w:rPr>
            </w:pPr>
            <w:r>
              <w:rPr>
                <w:noProof/>
              </w:rPr>
              <w:t>Étape</w:t>
            </w:r>
          </w:p>
        </w:tc>
        <w:tc>
          <w:tcPr>
            <w:tcW w:w="3579" w:type="dxa"/>
            <w:shd w:val="clear" w:color="auto" w:fill="EAF1DD" w:themeFill="accent3" w:themeFillTint="33"/>
          </w:tcPr>
          <w:p w14:paraId="0B176604" w14:textId="08CBD9A5" w:rsidR="00FA40E8" w:rsidRDefault="00E74AE8">
            <w:pPr>
              <w:pStyle w:val="P68B1DB1-Normal38"/>
              <w:rPr>
                <w:noProof/>
                <w:color w:val="000000" w:themeColor="text1"/>
              </w:rPr>
            </w:pPr>
            <w:r>
              <w:rPr>
                <w:noProof/>
              </w:rPr>
              <w:t>Injection de fonds propres</w:t>
            </w:r>
          </w:p>
        </w:tc>
      </w:tr>
      <w:tr w:rsidR="00FA40E8" w14:paraId="47553CC5" w14:textId="77777777">
        <w:trPr>
          <w:cantSplit/>
          <w:trHeight w:val="300"/>
        </w:trPr>
        <w:tc>
          <w:tcPr>
            <w:tcW w:w="1204" w:type="dxa"/>
            <w:shd w:val="clear" w:color="auto" w:fill="EAF1DD" w:themeFill="accent3" w:themeFillTint="33"/>
            <w:noWrap/>
            <w:vAlign w:val="center"/>
          </w:tcPr>
          <w:p w14:paraId="0DBE5AAB" w14:textId="0C3D3631" w:rsidR="00FA40E8" w:rsidRDefault="00E74AE8">
            <w:pPr>
              <w:pStyle w:val="P68B1DB1-Normal39"/>
              <w:spacing w:after="0"/>
              <w:jc w:val="center"/>
              <w:rPr>
                <w:noProof/>
                <w:szCs w:val="22"/>
              </w:rPr>
            </w:pPr>
            <w:r>
              <w:rPr>
                <w:noProof/>
              </w:rPr>
              <w:t>161</w:t>
            </w:r>
          </w:p>
        </w:tc>
        <w:tc>
          <w:tcPr>
            <w:tcW w:w="3402" w:type="dxa"/>
            <w:shd w:val="clear" w:color="auto" w:fill="EAF1DD" w:themeFill="accent3" w:themeFillTint="33"/>
          </w:tcPr>
          <w:p w14:paraId="5AA90A77" w14:textId="2354B5CB" w:rsidR="00FA40E8" w:rsidRDefault="00E74AE8">
            <w:pPr>
              <w:pStyle w:val="P68B1DB1-Normal38"/>
              <w:spacing w:after="0"/>
              <w:rPr>
                <w:noProof/>
                <w:szCs w:val="22"/>
              </w:rPr>
            </w:pPr>
            <w:r>
              <w:rPr>
                <w:noProof/>
              </w:rPr>
              <w:t xml:space="preserve">F.1.4. Amélioration du respect des obligations fiscales — F.1.4.4. La culture </w:t>
            </w:r>
            <w:r>
              <w:rPr>
                <w:noProof/>
              </w:rPr>
              <w:t>fiscale des futurs contribuables</w:t>
            </w:r>
          </w:p>
        </w:tc>
        <w:tc>
          <w:tcPr>
            <w:tcW w:w="1594" w:type="dxa"/>
            <w:shd w:val="clear" w:color="auto" w:fill="EAF1DD" w:themeFill="accent3" w:themeFillTint="33"/>
          </w:tcPr>
          <w:p w14:paraId="220367DA" w14:textId="51F41758"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77B3C9E5" w14:textId="34E83083" w:rsidR="00FA40E8" w:rsidRDefault="00E74AE8">
            <w:pPr>
              <w:pStyle w:val="P68B1DB1-Normal38"/>
              <w:spacing w:after="0"/>
              <w:rPr>
                <w:noProof/>
                <w:szCs w:val="22"/>
              </w:rPr>
            </w:pPr>
            <w:r>
              <w:rPr>
                <w:noProof/>
              </w:rPr>
              <w:t xml:space="preserve">Matériel et campagne pédagogiques sur la culture fiscale </w:t>
            </w:r>
          </w:p>
        </w:tc>
      </w:tr>
      <w:tr w:rsidR="00FA40E8" w14:paraId="0982D601" w14:textId="77777777">
        <w:trPr>
          <w:cantSplit/>
          <w:trHeight w:val="300"/>
        </w:trPr>
        <w:tc>
          <w:tcPr>
            <w:tcW w:w="1204" w:type="dxa"/>
            <w:shd w:val="clear" w:color="auto" w:fill="EAF1DD" w:themeFill="accent3" w:themeFillTint="33"/>
            <w:noWrap/>
            <w:vAlign w:val="center"/>
          </w:tcPr>
          <w:p w14:paraId="29028B23" w14:textId="57F21DC4" w:rsidR="00FA40E8" w:rsidRDefault="00E74AE8">
            <w:pPr>
              <w:pStyle w:val="P68B1DB1-Normal39"/>
              <w:spacing w:after="0"/>
              <w:jc w:val="center"/>
              <w:rPr>
                <w:noProof/>
                <w:szCs w:val="22"/>
              </w:rPr>
            </w:pPr>
            <w:r>
              <w:rPr>
                <w:noProof/>
              </w:rPr>
              <w:t>165</w:t>
            </w:r>
          </w:p>
        </w:tc>
        <w:tc>
          <w:tcPr>
            <w:tcW w:w="3402" w:type="dxa"/>
            <w:shd w:val="clear" w:color="auto" w:fill="EAF1DD" w:themeFill="accent3" w:themeFillTint="33"/>
          </w:tcPr>
          <w:p w14:paraId="61A08D70" w14:textId="4886C004" w:rsidR="00FA40E8" w:rsidRDefault="00E74AE8">
            <w:pPr>
              <w:pStyle w:val="P68B1DB1-Normal38"/>
              <w:spacing w:after="0"/>
              <w:rPr>
                <w:noProof/>
                <w:szCs w:val="22"/>
              </w:rPr>
            </w:pPr>
            <w:r>
              <w:rPr>
                <w:noProof/>
              </w:rPr>
              <w:t>F.1.6. Une administration fiscale intelligente pour réduire l’écart de TVA — F.1.6.1. Mise à disposition de nouveaux outils d’analyse de données pour l’in</w:t>
            </w:r>
            <w:r>
              <w:rPr>
                <w:noProof/>
              </w:rPr>
              <w:t xml:space="preserve">spection nationale des impôts </w:t>
            </w:r>
          </w:p>
        </w:tc>
        <w:tc>
          <w:tcPr>
            <w:tcW w:w="1594" w:type="dxa"/>
            <w:shd w:val="clear" w:color="auto" w:fill="EAF1DD" w:themeFill="accent3" w:themeFillTint="33"/>
          </w:tcPr>
          <w:p w14:paraId="675EE5B7" w14:textId="1C305CB8"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3E9F8A20" w14:textId="7E94BADC" w:rsidR="00FA40E8" w:rsidRDefault="00E74AE8">
            <w:pPr>
              <w:pStyle w:val="P68B1DB1-Normal38"/>
              <w:spacing w:after="0"/>
              <w:rPr>
                <w:noProof/>
                <w:szCs w:val="22"/>
              </w:rPr>
            </w:pPr>
            <w:r>
              <w:rPr>
                <w:noProof/>
              </w:rPr>
              <w:t>Modèles analytiques et fonctionnalités des systèmes informatiques pour réduire l’écart de TVA</w:t>
            </w:r>
          </w:p>
        </w:tc>
      </w:tr>
      <w:tr w:rsidR="00FA40E8" w14:paraId="637E2A07" w14:textId="77777777">
        <w:trPr>
          <w:cantSplit/>
          <w:trHeight w:val="300"/>
        </w:trPr>
        <w:tc>
          <w:tcPr>
            <w:tcW w:w="1204" w:type="dxa"/>
            <w:shd w:val="clear" w:color="auto" w:fill="EAF1DD" w:themeFill="accent3" w:themeFillTint="33"/>
            <w:noWrap/>
            <w:vAlign w:val="center"/>
          </w:tcPr>
          <w:p w14:paraId="03177731" w14:textId="2AD193A4" w:rsidR="00FA40E8" w:rsidRDefault="00E74AE8">
            <w:pPr>
              <w:pStyle w:val="P68B1DB1-Normal39"/>
              <w:spacing w:after="0"/>
              <w:jc w:val="center"/>
              <w:rPr>
                <w:noProof/>
                <w:szCs w:val="22"/>
              </w:rPr>
            </w:pPr>
            <w:r>
              <w:rPr>
                <w:noProof/>
              </w:rPr>
              <w:t>167</w:t>
            </w:r>
          </w:p>
        </w:tc>
        <w:tc>
          <w:tcPr>
            <w:tcW w:w="3402" w:type="dxa"/>
            <w:shd w:val="clear" w:color="auto" w:fill="EAF1DD" w:themeFill="accent3" w:themeFillTint="33"/>
          </w:tcPr>
          <w:p w14:paraId="364439FD" w14:textId="4519CF06" w:rsidR="00FA40E8" w:rsidRDefault="00E74AE8">
            <w:pPr>
              <w:pStyle w:val="P68B1DB1-Normal38"/>
              <w:spacing w:after="0"/>
              <w:rPr>
                <w:noProof/>
                <w:szCs w:val="22"/>
              </w:rPr>
            </w:pPr>
            <w:r>
              <w:rPr>
                <w:noProof/>
              </w:rPr>
              <w:t xml:space="preserve">F.1.6. Une administration fiscale intelligente pour réduire l’écart de TVA — F.1.6.2. Contrôle de la qualité des données de l’inspection nationale des impôts et d’autres institutions </w:t>
            </w:r>
          </w:p>
        </w:tc>
        <w:tc>
          <w:tcPr>
            <w:tcW w:w="1594" w:type="dxa"/>
            <w:shd w:val="clear" w:color="auto" w:fill="EAF1DD" w:themeFill="accent3" w:themeFillTint="33"/>
          </w:tcPr>
          <w:p w14:paraId="727178AD" w14:textId="0661B8D8"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062F668F" w14:textId="37F68BC2" w:rsidR="00FA40E8" w:rsidRDefault="00E74AE8">
            <w:pPr>
              <w:pStyle w:val="P68B1DB1-Normal38"/>
              <w:spacing w:after="0"/>
              <w:rPr>
                <w:noProof/>
                <w:szCs w:val="22"/>
              </w:rPr>
            </w:pPr>
            <w:r>
              <w:rPr>
                <w:noProof/>
              </w:rPr>
              <w:t>Approbation et adoption des actes du chef de l’inspection national</w:t>
            </w:r>
            <w:r>
              <w:rPr>
                <w:noProof/>
              </w:rPr>
              <w:t>e des impôts sur l’intégration des bases de données de métadonnées</w:t>
            </w:r>
          </w:p>
        </w:tc>
      </w:tr>
      <w:tr w:rsidR="00FA40E8" w14:paraId="76B0FD40" w14:textId="77777777">
        <w:trPr>
          <w:cantSplit/>
          <w:trHeight w:val="300"/>
        </w:trPr>
        <w:tc>
          <w:tcPr>
            <w:tcW w:w="1204" w:type="dxa"/>
            <w:shd w:val="clear" w:color="auto" w:fill="EAF1DD" w:themeFill="accent3" w:themeFillTint="33"/>
            <w:noWrap/>
            <w:vAlign w:val="center"/>
          </w:tcPr>
          <w:p w14:paraId="702E7417" w14:textId="35F1CFAB" w:rsidR="00FA40E8" w:rsidRDefault="00E74AE8">
            <w:pPr>
              <w:pStyle w:val="P68B1DB1-Normal39"/>
              <w:spacing w:after="0"/>
              <w:jc w:val="center"/>
              <w:rPr>
                <w:noProof/>
                <w:szCs w:val="22"/>
              </w:rPr>
            </w:pPr>
            <w:r>
              <w:rPr>
                <w:noProof/>
              </w:rPr>
              <w:t>176</w:t>
            </w:r>
          </w:p>
        </w:tc>
        <w:tc>
          <w:tcPr>
            <w:tcW w:w="3402" w:type="dxa"/>
            <w:shd w:val="clear" w:color="auto" w:fill="EAF1DD" w:themeFill="accent3" w:themeFillTint="33"/>
          </w:tcPr>
          <w:p w14:paraId="41289044" w14:textId="18B8B402" w:rsidR="00FA40E8" w:rsidRDefault="00E74AE8">
            <w:pPr>
              <w:pStyle w:val="P68B1DB1-Normal38"/>
              <w:spacing w:after="0"/>
              <w:textAlignment w:val="baseline"/>
              <w:rPr>
                <w:noProof/>
                <w:color w:val="000000" w:themeColor="text1"/>
              </w:rPr>
            </w:pPr>
            <w:r>
              <w:rPr>
                <w:noProof/>
              </w:rPr>
              <w:t xml:space="preserve">F.1.7. Fourniture d’un écosystème de documents électroniques — F.1.7.2. Sous-mesure 2. Livraison d’un prototype de portail eFTI </w:t>
            </w:r>
          </w:p>
        </w:tc>
        <w:tc>
          <w:tcPr>
            <w:tcW w:w="1594" w:type="dxa"/>
            <w:shd w:val="clear" w:color="auto" w:fill="EAF1DD" w:themeFill="accent3" w:themeFillTint="33"/>
          </w:tcPr>
          <w:p w14:paraId="4C33488F" w14:textId="00DE5EE3"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66737734" w14:textId="6DEAD9BE" w:rsidR="00FA40E8" w:rsidRDefault="00E74AE8">
            <w:pPr>
              <w:pStyle w:val="P68B1DB1-Normal38"/>
              <w:spacing w:after="0"/>
              <w:rPr>
                <w:noProof/>
                <w:color w:val="000000" w:themeColor="text1"/>
              </w:rPr>
            </w:pPr>
            <w:r>
              <w:rPr>
                <w:noProof/>
              </w:rPr>
              <w:t>Fourniture d’un prototype de solutions technologi</w:t>
            </w:r>
            <w:r>
              <w:rPr>
                <w:noProof/>
              </w:rPr>
              <w:t>ques permettant l’accès aux informations sur le transport de marchandises gérées par les entreprises sous la forme de données eFTI</w:t>
            </w:r>
          </w:p>
        </w:tc>
      </w:tr>
      <w:tr w:rsidR="00FA40E8" w14:paraId="7F327AFA" w14:textId="77777777">
        <w:trPr>
          <w:cantSplit/>
          <w:trHeight w:val="300"/>
        </w:trPr>
        <w:tc>
          <w:tcPr>
            <w:tcW w:w="1204" w:type="dxa"/>
            <w:shd w:val="clear" w:color="auto" w:fill="EAF1DD" w:themeFill="accent3" w:themeFillTint="33"/>
            <w:noWrap/>
            <w:vAlign w:val="center"/>
          </w:tcPr>
          <w:p w14:paraId="4332A931" w14:textId="65B03F77" w:rsidR="00FA40E8" w:rsidRDefault="00E74AE8">
            <w:pPr>
              <w:pStyle w:val="P68B1DB1-Normal39"/>
              <w:spacing w:after="0"/>
              <w:jc w:val="center"/>
              <w:rPr>
                <w:noProof/>
                <w:szCs w:val="22"/>
              </w:rPr>
            </w:pPr>
            <w:r>
              <w:rPr>
                <w:noProof/>
              </w:rPr>
              <w:t>178</w:t>
            </w:r>
          </w:p>
        </w:tc>
        <w:tc>
          <w:tcPr>
            <w:tcW w:w="3402" w:type="dxa"/>
            <w:shd w:val="clear" w:color="auto" w:fill="EAF1DD" w:themeFill="accent3" w:themeFillTint="33"/>
          </w:tcPr>
          <w:p w14:paraId="099195F8" w14:textId="357F9DC2" w:rsidR="00FA40E8" w:rsidRDefault="00E74AE8">
            <w:pPr>
              <w:pStyle w:val="P68B1DB1-Normal38"/>
              <w:spacing w:after="0"/>
              <w:textAlignment w:val="baseline"/>
              <w:rPr>
                <w:noProof/>
                <w:color w:val="000000" w:themeColor="text1"/>
              </w:rPr>
            </w:pPr>
            <w:r>
              <w:rPr>
                <w:noProof/>
              </w:rPr>
              <w:t xml:space="preserve">F.1.8. Un guichet unique pour le paiement des amendes </w:t>
            </w:r>
          </w:p>
        </w:tc>
        <w:tc>
          <w:tcPr>
            <w:tcW w:w="1594" w:type="dxa"/>
            <w:shd w:val="clear" w:color="auto" w:fill="EAF1DD" w:themeFill="accent3" w:themeFillTint="33"/>
          </w:tcPr>
          <w:p w14:paraId="3133046A" w14:textId="7BD3FA08"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0D3D2EA0" w14:textId="0E2C0DF4" w:rsidR="00FA40E8" w:rsidRDefault="00E74AE8">
            <w:pPr>
              <w:pStyle w:val="P68B1DB1-Normal38"/>
              <w:spacing w:after="0"/>
              <w:rPr>
                <w:noProof/>
                <w:color w:val="000000" w:themeColor="text1"/>
              </w:rPr>
            </w:pPr>
            <w:r>
              <w:rPr>
                <w:noProof/>
              </w:rPr>
              <w:t xml:space="preserve">Interface pour les amendes et les sanctions économiques </w:t>
            </w:r>
          </w:p>
        </w:tc>
      </w:tr>
      <w:tr w:rsidR="00FA40E8" w14:paraId="3E0FAAEB" w14:textId="77777777">
        <w:trPr>
          <w:cantSplit/>
          <w:trHeight w:val="300"/>
        </w:trPr>
        <w:tc>
          <w:tcPr>
            <w:tcW w:w="1204" w:type="dxa"/>
            <w:shd w:val="clear" w:color="auto" w:fill="EAF1DD" w:themeFill="accent3" w:themeFillTint="33"/>
            <w:noWrap/>
            <w:vAlign w:val="center"/>
          </w:tcPr>
          <w:p w14:paraId="2A613096" w14:textId="77777777" w:rsidR="00FA40E8" w:rsidRDefault="00E74AE8">
            <w:pPr>
              <w:pStyle w:val="P68B1DB1-Normal39"/>
              <w:spacing w:after="0"/>
              <w:jc w:val="center"/>
              <w:rPr>
                <w:noProof/>
                <w:color w:val="000000"/>
                <w:szCs w:val="22"/>
              </w:rPr>
            </w:pPr>
            <w:r>
              <w:rPr>
                <w:noProof/>
              </w:rPr>
              <w:t>187</w:t>
            </w:r>
          </w:p>
        </w:tc>
        <w:tc>
          <w:tcPr>
            <w:tcW w:w="3402" w:type="dxa"/>
            <w:shd w:val="clear" w:color="auto" w:fill="EAF1DD" w:themeFill="accent3" w:themeFillTint="33"/>
          </w:tcPr>
          <w:p w14:paraId="6D91B92A" w14:textId="04DD6972" w:rsidR="00FA40E8" w:rsidRDefault="00E74AE8">
            <w:pPr>
              <w:pStyle w:val="P68B1DB1-Normal38"/>
              <w:spacing w:after="0"/>
              <w:rPr>
                <w:noProof/>
                <w:szCs w:val="22"/>
              </w:rPr>
            </w:pPr>
            <w:r>
              <w:rPr>
                <w:noProof/>
              </w:rPr>
              <w:t>G.1.2. Aide à l’emploi axée sur le client — G.1.2.1. Optimisation et numérisation des processus opérationnels des services de l’emploi, en garantissant une orientation systématique vers les clients</w:t>
            </w:r>
          </w:p>
        </w:tc>
        <w:tc>
          <w:tcPr>
            <w:tcW w:w="1594" w:type="dxa"/>
            <w:shd w:val="clear" w:color="auto" w:fill="EAF1DD" w:themeFill="accent3" w:themeFillTint="33"/>
          </w:tcPr>
          <w:p w14:paraId="0A7975D3" w14:textId="3D22FE73"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70A9D2FA" w14:textId="028858EC" w:rsidR="00FA40E8" w:rsidRDefault="00E74AE8">
            <w:pPr>
              <w:pStyle w:val="P68B1DB1-Normal25"/>
              <w:spacing w:after="0"/>
              <w:rPr>
                <w:rFonts w:eastAsia="Times New Roman" w:cs="Times New Roman"/>
                <w:noProof/>
                <w:color w:val="000000"/>
                <w:szCs w:val="22"/>
              </w:rPr>
            </w:pPr>
            <w:r>
              <w:rPr>
                <w:noProof/>
              </w:rPr>
              <w:t>Transformation numérique du service de l’emploi</w:t>
            </w:r>
          </w:p>
        </w:tc>
      </w:tr>
      <w:tr w:rsidR="00FA40E8" w14:paraId="784C4D21" w14:textId="77777777">
        <w:trPr>
          <w:cantSplit/>
          <w:trHeight w:val="300"/>
        </w:trPr>
        <w:tc>
          <w:tcPr>
            <w:tcW w:w="1204" w:type="dxa"/>
            <w:shd w:val="clear" w:color="auto" w:fill="EAF1DD" w:themeFill="accent3" w:themeFillTint="33"/>
            <w:noWrap/>
            <w:vAlign w:val="center"/>
          </w:tcPr>
          <w:p w14:paraId="4BC55096" w14:textId="56AFF057" w:rsidR="00FA40E8" w:rsidRDefault="00E74AE8">
            <w:pPr>
              <w:pStyle w:val="P68B1DB1-Normal39"/>
              <w:spacing w:after="0"/>
              <w:jc w:val="center"/>
              <w:rPr>
                <w:noProof/>
                <w:szCs w:val="22"/>
              </w:rPr>
            </w:pPr>
            <w:r>
              <w:rPr>
                <w:noProof/>
              </w:rPr>
              <w:t>189</w:t>
            </w:r>
          </w:p>
        </w:tc>
        <w:tc>
          <w:tcPr>
            <w:tcW w:w="3402" w:type="dxa"/>
            <w:shd w:val="clear" w:color="auto" w:fill="EAF1DD" w:themeFill="accent3" w:themeFillTint="33"/>
          </w:tcPr>
          <w:p w14:paraId="6BB16BAC" w14:textId="36A41E16" w:rsidR="00FA40E8" w:rsidRDefault="00E74AE8">
            <w:pPr>
              <w:pStyle w:val="P68B1DB1-Normal38"/>
              <w:spacing w:after="0"/>
              <w:rPr>
                <w:noProof/>
                <w:szCs w:val="22"/>
              </w:rPr>
            </w:pPr>
            <w:r>
              <w:rPr>
                <w:noProof/>
              </w:rPr>
              <w:t xml:space="preserve">G.1.2. Aide à l’emploi axée sur le client — G.1.2.2. Accroître la portée et la diversité des mesures de soutien à l’emploi </w:t>
            </w:r>
          </w:p>
        </w:tc>
        <w:tc>
          <w:tcPr>
            <w:tcW w:w="1594" w:type="dxa"/>
            <w:shd w:val="clear" w:color="auto" w:fill="EAF1DD" w:themeFill="accent3" w:themeFillTint="33"/>
          </w:tcPr>
          <w:p w14:paraId="107C95E1" w14:textId="5122FBB9"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168E9DE6" w14:textId="461FB7DB" w:rsidR="00FA40E8" w:rsidRDefault="00E74AE8">
            <w:pPr>
              <w:pStyle w:val="P68B1DB1-Normal42"/>
              <w:spacing w:after="0"/>
              <w:rPr>
                <w:noProof/>
                <w:szCs w:val="22"/>
              </w:rPr>
            </w:pPr>
            <w:r>
              <w:rPr>
                <w:noProof/>
              </w:rPr>
              <w:t>Le projet pilote visant à soutenir l’esprit d’entreprise</w:t>
            </w:r>
          </w:p>
        </w:tc>
      </w:tr>
      <w:tr w:rsidR="00FA40E8" w14:paraId="31D2892E" w14:textId="77777777">
        <w:trPr>
          <w:cantSplit/>
          <w:trHeight w:val="300"/>
        </w:trPr>
        <w:tc>
          <w:tcPr>
            <w:tcW w:w="1204" w:type="dxa"/>
            <w:shd w:val="clear" w:color="auto" w:fill="EAF1DD" w:themeFill="accent3" w:themeFillTint="33"/>
            <w:noWrap/>
            <w:vAlign w:val="center"/>
          </w:tcPr>
          <w:p w14:paraId="2AE60CC6" w14:textId="5E4663C4" w:rsidR="00FA40E8" w:rsidRDefault="00E74AE8">
            <w:pPr>
              <w:pStyle w:val="P68B1DB1-Normal39"/>
              <w:jc w:val="center"/>
              <w:rPr>
                <w:noProof/>
              </w:rPr>
            </w:pPr>
            <w:r>
              <w:rPr>
                <w:noProof/>
              </w:rPr>
              <w:t>190</w:t>
            </w:r>
          </w:p>
        </w:tc>
        <w:tc>
          <w:tcPr>
            <w:tcW w:w="3402" w:type="dxa"/>
            <w:shd w:val="clear" w:color="auto" w:fill="EAF1DD" w:themeFill="accent3" w:themeFillTint="33"/>
          </w:tcPr>
          <w:p w14:paraId="664AD04F" w14:textId="162C5A05" w:rsidR="00FA40E8" w:rsidRDefault="00E74AE8">
            <w:pPr>
              <w:pStyle w:val="P68B1DB1-Normal38"/>
              <w:spacing w:after="0"/>
              <w:rPr>
                <w:noProof/>
                <w:color w:val="000000" w:themeColor="text1"/>
              </w:rPr>
            </w:pPr>
            <w:r>
              <w:rPr>
                <w:noProof/>
              </w:rPr>
              <w:t xml:space="preserve">G.1.2. Aide à l’emploi axée sur le client — G.1.2.2. </w:t>
            </w:r>
            <w:r>
              <w:rPr>
                <w:noProof/>
              </w:rPr>
              <w:t>Accroître la portée et la diversité des mesures de soutien à l’emploi</w:t>
            </w:r>
          </w:p>
        </w:tc>
        <w:tc>
          <w:tcPr>
            <w:tcW w:w="1594" w:type="dxa"/>
            <w:shd w:val="clear" w:color="auto" w:fill="EAF1DD" w:themeFill="accent3" w:themeFillTint="33"/>
          </w:tcPr>
          <w:p w14:paraId="0AEC0A6E" w14:textId="7015DE85" w:rsidR="00FA40E8" w:rsidRDefault="00E74AE8">
            <w:pPr>
              <w:pStyle w:val="P68B1DB1-Normal38"/>
              <w:jc w:val="center"/>
              <w:rPr>
                <w:noProof/>
              </w:rPr>
            </w:pPr>
            <w:r>
              <w:rPr>
                <w:noProof/>
              </w:rPr>
              <w:t>Étape</w:t>
            </w:r>
          </w:p>
        </w:tc>
        <w:tc>
          <w:tcPr>
            <w:tcW w:w="3579" w:type="dxa"/>
            <w:shd w:val="clear" w:color="auto" w:fill="EAF1DD" w:themeFill="accent3" w:themeFillTint="33"/>
          </w:tcPr>
          <w:p w14:paraId="44321D81" w14:textId="5062E006" w:rsidR="00FA40E8" w:rsidRDefault="00E74AE8">
            <w:pPr>
              <w:pStyle w:val="P68B1DB1-Normal39"/>
              <w:spacing w:after="0"/>
              <w:rPr>
                <w:rFonts w:eastAsia="Calibri" w:cs="Arial"/>
                <w:noProof/>
                <w:szCs w:val="22"/>
              </w:rPr>
            </w:pPr>
            <w:r>
              <w:rPr>
                <w:noProof/>
              </w:rPr>
              <w:t>Personnes bénéficiant de la mesure en faveur de l’emploi subventionné</w:t>
            </w:r>
          </w:p>
        </w:tc>
      </w:tr>
      <w:tr w:rsidR="00FA40E8" w14:paraId="65CED727" w14:textId="77777777">
        <w:trPr>
          <w:cantSplit/>
          <w:trHeight w:val="300"/>
        </w:trPr>
        <w:tc>
          <w:tcPr>
            <w:tcW w:w="1204" w:type="dxa"/>
            <w:shd w:val="clear" w:color="auto" w:fill="EAF1DD" w:themeFill="accent3" w:themeFillTint="33"/>
            <w:noWrap/>
            <w:vAlign w:val="center"/>
          </w:tcPr>
          <w:p w14:paraId="3296EE08" w14:textId="49DD299F" w:rsidR="00FA40E8" w:rsidRDefault="00E74AE8">
            <w:pPr>
              <w:pStyle w:val="P68B1DB1-Normal39"/>
              <w:spacing w:after="0"/>
              <w:jc w:val="center"/>
              <w:rPr>
                <w:noProof/>
                <w:szCs w:val="22"/>
              </w:rPr>
            </w:pPr>
            <w:r>
              <w:rPr>
                <w:noProof/>
              </w:rPr>
              <w:t>191</w:t>
            </w:r>
          </w:p>
        </w:tc>
        <w:tc>
          <w:tcPr>
            <w:tcW w:w="3402" w:type="dxa"/>
            <w:shd w:val="clear" w:color="auto" w:fill="EAF1DD" w:themeFill="accent3" w:themeFillTint="33"/>
          </w:tcPr>
          <w:p w14:paraId="63367329" w14:textId="4492832A" w:rsidR="00FA40E8" w:rsidRDefault="00E74AE8">
            <w:pPr>
              <w:pStyle w:val="P68B1DB1-Normal38"/>
              <w:spacing w:after="0"/>
              <w:rPr>
                <w:noProof/>
                <w:szCs w:val="22"/>
              </w:rPr>
            </w:pPr>
            <w:r>
              <w:rPr>
                <w:noProof/>
              </w:rPr>
              <w:t xml:space="preserve">G.1.2. Aide à l’emploi axée sur le client — G.1.2.2. Accroître la portée et la diversité des mesures de soutien à l’emploi </w:t>
            </w:r>
          </w:p>
        </w:tc>
        <w:tc>
          <w:tcPr>
            <w:tcW w:w="1594" w:type="dxa"/>
            <w:shd w:val="clear" w:color="auto" w:fill="EAF1DD" w:themeFill="accent3" w:themeFillTint="33"/>
          </w:tcPr>
          <w:p w14:paraId="3AECC5F5" w14:textId="6DFCDA35" w:rsidR="00FA40E8" w:rsidRDefault="00E74AE8">
            <w:pPr>
              <w:pStyle w:val="P68B1DB1-Normal38"/>
              <w:spacing w:after="0"/>
              <w:jc w:val="center"/>
              <w:rPr>
                <w:noProof/>
                <w:szCs w:val="22"/>
              </w:rPr>
            </w:pPr>
            <w:r>
              <w:rPr>
                <w:noProof/>
              </w:rPr>
              <w:t>Objectif</w:t>
            </w:r>
          </w:p>
        </w:tc>
        <w:tc>
          <w:tcPr>
            <w:tcW w:w="3579" w:type="dxa"/>
            <w:shd w:val="clear" w:color="auto" w:fill="EAF1DD" w:themeFill="accent3" w:themeFillTint="33"/>
          </w:tcPr>
          <w:p w14:paraId="28732E95" w14:textId="09622451" w:rsidR="00FA40E8" w:rsidRDefault="00E74AE8">
            <w:pPr>
              <w:pStyle w:val="P68B1DB1-Normal42"/>
              <w:spacing w:after="0"/>
              <w:rPr>
                <w:noProof/>
                <w:szCs w:val="22"/>
              </w:rPr>
            </w:pPr>
            <w:r>
              <w:rPr>
                <w:noProof/>
              </w:rPr>
              <w:t>Formations pour acquérir des qualifications et/ou des compétences numériques et autres</w:t>
            </w:r>
          </w:p>
        </w:tc>
      </w:tr>
      <w:tr w:rsidR="00FA40E8" w14:paraId="50EC89C3" w14:textId="77777777">
        <w:trPr>
          <w:cantSplit/>
          <w:trHeight w:val="300"/>
        </w:trPr>
        <w:tc>
          <w:tcPr>
            <w:tcW w:w="1204" w:type="dxa"/>
            <w:shd w:val="clear" w:color="auto" w:fill="EAF1DD" w:themeFill="accent3" w:themeFillTint="33"/>
            <w:noWrap/>
            <w:vAlign w:val="center"/>
          </w:tcPr>
          <w:p w14:paraId="7663C793" w14:textId="1517DED7" w:rsidR="00FA40E8" w:rsidRDefault="00E74AE8">
            <w:pPr>
              <w:pStyle w:val="P68B1DB1-Normal38"/>
              <w:spacing w:after="0"/>
              <w:jc w:val="center"/>
              <w:rPr>
                <w:noProof/>
                <w:szCs w:val="22"/>
              </w:rPr>
            </w:pPr>
            <w:r>
              <w:rPr>
                <w:noProof/>
              </w:rPr>
              <w:t>195</w:t>
            </w:r>
          </w:p>
        </w:tc>
        <w:tc>
          <w:tcPr>
            <w:tcW w:w="3402" w:type="dxa"/>
            <w:shd w:val="clear" w:color="auto" w:fill="EAF1DD" w:themeFill="accent3" w:themeFillTint="33"/>
          </w:tcPr>
          <w:p w14:paraId="6CEC4C75" w14:textId="4FCCA669" w:rsidR="00FA40E8" w:rsidRDefault="00E74AE8">
            <w:pPr>
              <w:pStyle w:val="P68B1DB1-Normal38"/>
              <w:spacing w:after="0"/>
              <w:rPr>
                <w:noProof/>
                <w:szCs w:val="22"/>
              </w:rPr>
            </w:pPr>
            <w:r>
              <w:rPr>
                <w:noProof/>
              </w:rPr>
              <w:t>H.1.1 Accélérer la rénovation d</w:t>
            </w:r>
            <w:r>
              <w:rPr>
                <w:noProof/>
              </w:rPr>
              <w:t>es bâtiments — H.1.1.1. Mise à jour des paquets et normes de rénovation</w:t>
            </w:r>
          </w:p>
        </w:tc>
        <w:tc>
          <w:tcPr>
            <w:tcW w:w="1594" w:type="dxa"/>
            <w:shd w:val="clear" w:color="auto" w:fill="EAF1DD" w:themeFill="accent3" w:themeFillTint="33"/>
          </w:tcPr>
          <w:p w14:paraId="403E20A9" w14:textId="7918EED8" w:rsidR="00FA40E8" w:rsidRDefault="00E74AE8">
            <w:pPr>
              <w:pStyle w:val="P68B1DB1-Normal38"/>
              <w:spacing w:after="0"/>
              <w:jc w:val="center"/>
              <w:rPr>
                <w:noProof/>
                <w:szCs w:val="22"/>
              </w:rPr>
            </w:pPr>
            <w:r>
              <w:rPr>
                <w:noProof/>
              </w:rPr>
              <w:t>Étape</w:t>
            </w:r>
          </w:p>
        </w:tc>
        <w:tc>
          <w:tcPr>
            <w:tcW w:w="3579" w:type="dxa"/>
            <w:shd w:val="clear" w:color="auto" w:fill="EAF1DD" w:themeFill="accent3" w:themeFillTint="33"/>
          </w:tcPr>
          <w:p w14:paraId="2A77CC7C" w14:textId="4C8FD977" w:rsidR="00FA40E8" w:rsidRDefault="00E74AE8">
            <w:pPr>
              <w:pStyle w:val="P68B1DB1-Normal38"/>
              <w:spacing w:after="0"/>
              <w:rPr>
                <w:noProof/>
                <w:szCs w:val="22"/>
              </w:rPr>
            </w:pPr>
            <w:r>
              <w:rPr>
                <w:noProof/>
              </w:rPr>
              <w:t>Travaux préparatoires pour la rénovation des panneaux verts des bâtiments de démonstration</w:t>
            </w:r>
          </w:p>
        </w:tc>
      </w:tr>
      <w:tr w:rsidR="00FA40E8" w14:paraId="4CDBC550" w14:textId="77777777">
        <w:trPr>
          <w:cantSplit/>
          <w:trHeight w:val="300"/>
        </w:trPr>
        <w:tc>
          <w:tcPr>
            <w:tcW w:w="1204" w:type="dxa"/>
            <w:shd w:val="clear" w:color="auto" w:fill="EAF1DD" w:themeFill="accent3" w:themeFillTint="33"/>
            <w:noWrap/>
            <w:vAlign w:val="center"/>
          </w:tcPr>
          <w:p w14:paraId="1B10C0F6" w14:textId="459693F4" w:rsidR="00FA40E8" w:rsidRDefault="00E74AE8">
            <w:pPr>
              <w:pStyle w:val="P68B1DB1-Normal39"/>
              <w:spacing w:after="0"/>
              <w:jc w:val="center"/>
              <w:rPr>
                <w:noProof/>
                <w:szCs w:val="22"/>
              </w:rPr>
            </w:pPr>
            <w:r>
              <w:rPr>
                <w:noProof/>
              </w:rPr>
              <w:t>196</w:t>
            </w:r>
          </w:p>
        </w:tc>
        <w:tc>
          <w:tcPr>
            <w:tcW w:w="3402" w:type="dxa"/>
            <w:shd w:val="clear" w:color="auto" w:fill="EAF1DD" w:themeFill="accent3" w:themeFillTint="33"/>
          </w:tcPr>
          <w:p w14:paraId="3CB6DCCB" w14:textId="77777777" w:rsidR="00FA40E8" w:rsidRDefault="00E74AE8">
            <w:pPr>
              <w:pStyle w:val="P68B1DB1-Normal39"/>
              <w:spacing w:after="0"/>
              <w:rPr>
                <w:noProof/>
                <w:szCs w:val="22"/>
              </w:rPr>
            </w:pPr>
            <w:r>
              <w:rPr>
                <w:noProof/>
              </w:rPr>
              <w:t xml:space="preserve">H.1.1 Accélérer la rénovation des bâtiments </w:t>
            </w:r>
          </w:p>
          <w:p w14:paraId="6CC758C8" w14:textId="4E4139D4" w:rsidR="00FA40E8" w:rsidRDefault="00E74AE8">
            <w:pPr>
              <w:pStyle w:val="P68B1DB1-Normal39"/>
              <w:spacing w:after="0"/>
              <w:rPr>
                <w:noProof/>
                <w:color w:val="000000"/>
                <w:szCs w:val="22"/>
              </w:rPr>
            </w:pPr>
            <w:r>
              <w:rPr>
                <w:noProof/>
              </w:rPr>
              <w:t xml:space="preserve">H.1.1.2. Soutien à la rénovation des </w:t>
            </w:r>
            <w:r>
              <w:rPr>
                <w:noProof/>
              </w:rPr>
              <w:t>bâtiments (renforcement)</w:t>
            </w:r>
          </w:p>
        </w:tc>
        <w:tc>
          <w:tcPr>
            <w:tcW w:w="1594" w:type="dxa"/>
            <w:shd w:val="clear" w:color="auto" w:fill="EAF1DD" w:themeFill="accent3" w:themeFillTint="33"/>
          </w:tcPr>
          <w:p w14:paraId="36A5F26F" w14:textId="37544AF0" w:rsidR="00FA40E8" w:rsidRDefault="00E74AE8">
            <w:pPr>
              <w:pStyle w:val="P68B1DB1-Normal39"/>
              <w:spacing w:after="0"/>
              <w:jc w:val="center"/>
              <w:rPr>
                <w:noProof/>
                <w:color w:val="000000"/>
                <w:szCs w:val="22"/>
              </w:rPr>
            </w:pPr>
            <w:r>
              <w:rPr>
                <w:noProof/>
              </w:rPr>
              <w:t>Objectif</w:t>
            </w:r>
          </w:p>
        </w:tc>
        <w:tc>
          <w:tcPr>
            <w:tcW w:w="3579" w:type="dxa"/>
            <w:shd w:val="clear" w:color="auto" w:fill="EAF1DD" w:themeFill="accent3" w:themeFillTint="33"/>
          </w:tcPr>
          <w:p w14:paraId="175256E1" w14:textId="37CBB99F" w:rsidR="00FA40E8" w:rsidRDefault="00E74AE8">
            <w:pPr>
              <w:pStyle w:val="P68B1DB1-Normal39"/>
              <w:spacing w:after="0"/>
              <w:rPr>
                <w:noProof/>
                <w:sz w:val="20"/>
              </w:rPr>
            </w:pPr>
            <w:r>
              <w:rPr>
                <w:noProof/>
              </w:rPr>
              <w:t>Surface des immeubles comprenant plusieurs appartements rénovés</w:t>
            </w:r>
          </w:p>
        </w:tc>
      </w:tr>
      <w:tr w:rsidR="00FA40E8" w14:paraId="51BD8FB1" w14:textId="77777777">
        <w:trPr>
          <w:cantSplit/>
          <w:trHeight w:val="300"/>
        </w:trPr>
        <w:tc>
          <w:tcPr>
            <w:tcW w:w="1204" w:type="dxa"/>
            <w:shd w:val="clear" w:color="auto" w:fill="EAF1DD" w:themeFill="accent3" w:themeFillTint="33"/>
            <w:noWrap/>
            <w:vAlign w:val="center"/>
          </w:tcPr>
          <w:p w14:paraId="32C43495" w14:textId="1D9CD9D6" w:rsidR="00FA40E8" w:rsidRDefault="00E74AE8">
            <w:pPr>
              <w:pStyle w:val="P68B1DB1-Normal39"/>
              <w:spacing w:after="0"/>
              <w:jc w:val="center"/>
              <w:rPr>
                <w:noProof/>
                <w:szCs w:val="22"/>
              </w:rPr>
            </w:pPr>
            <w:r>
              <w:rPr>
                <w:noProof/>
              </w:rPr>
              <w:t>197</w:t>
            </w:r>
          </w:p>
        </w:tc>
        <w:tc>
          <w:tcPr>
            <w:tcW w:w="3402" w:type="dxa"/>
            <w:shd w:val="clear" w:color="auto" w:fill="EAF1DD" w:themeFill="accent3" w:themeFillTint="33"/>
          </w:tcPr>
          <w:p w14:paraId="2C21F832" w14:textId="5B6A54CE" w:rsidR="00FA40E8" w:rsidRDefault="00E74AE8">
            <w:pPr>
              <w:pStyle w:val="P68B1DB1-Normal39"/>
              <w:spacing w:after="0"/>
              <w:rPr>
                <w:noProof/>
                <w:color w:val="000000"/>
              </w:rPr>
            </w:pPr>
            <w:r>
              <w:rPr>
                <w:noProof/>
              </w:rPr>
              <w:t>H.1.2. Aide à l’achat de véhicules propres destinés à la navigation intérieure</w:t>
            </w:r>
          </w:p>
        </w:tc>
        <w:tc>
          <w:tcPr>
            <w:tcW w:w="1594" w:type="dxa"/>
            <w:shd w:val="clear" w:color="auto" w:fill="EAF1DD" w:themeFill="accent3" w:themeFillTint="33"/>
          </w:tcPr>
          <w:p w14:paraId="2E3B5541" w14:textId="1605C495" w:rsidR="00FA40E8" w:rsidRDefault="00E74AE8">
            <w:pPr>
              <w:pStyle w:val="P68B1DB1-Normal39"/>
              <w:spacing w:after="0"/>
              <w:jc w:val="center"/>
              <w:rPr>
                <w:noProof/>
                <w:color w:val="000000"/>
                <w:szCs w:val="22"/>
              </w:rPr>
            </w:pPr>
            <w:r>
              <w:rPr>
                <w:noProof/>
              </w:rPr>
              <w:t>Étape</w:t>
            </w:r>
          </w:p>
        </w:tc>
        <w:tc>
          <w:tcPr>
            <w:tcW w:w="3579" w:type="dxa"/>
            <w:shd w:val="clear" w:color="auto" w:fill="EAF1DD" w:themeFill="accent3" w:themeFillTint="33"/>
          </w:tcPr>
          <w:p w14:paraId="35427635" w14:textId="6A2906E5" w:rsidR="00FA40E8" w:rsidRDefault="00E74AE8">
            <w:pPr>
              <w:pStyle w:val="P68B1DB1-Normal39"/>
              <w:spacing w:after="0"/>
              <w:rPr>
                <w:noProof/>
                <w:sz w:val="20"/>
              </w:rPr>
            </w:pPr>
            <w:r>
              <w:rPr>
                <w:noProof/>
              </w:rPr>
              <w:t>Achat et livraison d’un bateau électrique et d’une grue électrique</w:t>
            </w:r>
          </w:p>
        </w:tc>
      </w:tr>
      <w:tr w:rsidR="00FA40E8" w14:paraId="0A7BCA18" w14:textId="77777777">
        <w:trPr>
          <w:cantSplit/>
          <w:trHeight w:val="300"/>
        </w:trPr>
        <w:tc>
          <w:tcPr>
            <w:tcW w:w="1204" w:type="dxa"/>
            <w:shd w:val="clear" w:color="auto" w:fill="EAF1DD" w:themeFill="accent3" w:themeFillTint="33"/>
            <w:noWrap/>
            <w:vAlign w:val="center"/>
          </w:tcPr>
          <w:p w14:paraId="7A1CDB00" w14:textId="4A89ED41" w:rsidR="00FA40E8" w:rsidRDefault="00E74AE8">
            <w:pPr>
              <w:pStyle w:val="P68B1DB1-Normal38"/>
              <w:spacing w:after="0"/>
              <w:jc w:val="center"/>
              <w:rPr>
                <w:noProof/>
                <w:color w:val="000000" w:themeColor="text1"/>
              </w:rPr>
            </w:pPr>
            <w:r>
              <w:rPr>
                <w:noProof/>
              </w:rPr>
              <w:t>203</w:t>
            </w:r>
          </w:p>
        </w:tc>
        <w:tc>
          <w:tcPr>
            <w:tcW w:w="3402" w:type="dxa"/>
            <w:shd w:val="clear" w:color="auto" w:fill="EAF1DD" w:themeFill="accent3" w:themeFillTint="33"/>
          </w:tcPr>
          <w:p w14:paraId="7E697E90" w14:textId="77777777" w:rsidR="00FA40E8" w:rsidRDefault="00E74AE8">
            <w:pPr>
              <w:pStyle w:val="P68B1DB1-Normal38"/>
              <w:spacing w:after="0"/>
              <w:rPr>
                <w:noProof/>
                <w:szCs w:val="22"/>
              </w:rPr>
            </w:pPr>
            <w:r>
              <w:rPr>
                <w:noProof/>
              </w:rPr>
              <w:t>H.1.3. Augmentation de la capacité de production à partir de SER</w:t>
            </w:r>
          </w:p>
          <w:p w14:paraId="400A82D7" w14:textId="6C8A5596" w:rsidR="00FA40E8" w:rsidRDefault="00E74AE8">
            <w:pPr>
              <w:pStyle w:val="P68B1DB1-Normal38"/>
              <w:spacing w:after="0"/>
              <w:rPr>
                <w:noProof/>
              </w:rPr>
            </w:pPr>
            <w:r>
              <w:rPr>
                <w:noProof/>
              </w:rPr>
              <w:t>H.1.3.2. Soutien à la construction de centrales SER (énergie solaire)</w:t>
            </w:r>
          </w:p>
        </w:tc>
        <w:tc>
          <w:tcPr>
            <w:tcW w:w="1594" w:type="dxa"/>
            <w:shd w:val="clear" w:color="auto" w:fill="EAF1DD" w:themeFill="accent3" w:themeFillTint="33"/>
          </w:tcPr>
          <w:p w14:paraId="6E4A450C" w14:textId="7B3A75B6" w:rsidR="00FA40E8" w:rsidRDefault="00E74AE8">
            <w:pPr>
              <w:pStyle w:val="P68B1DB1-Normal38"/>
              <w:spacing w:after="0"/>
              <w:jc w:val="center"/>
              <w:rPr>
                <w:noProof/>
              </w:rPr>
            </w:pPr>
            <w:r>
              <w:rPr>
                <w:noProof/>
              </w:rPr>
              <w:t>Objectif</w:t>
            </w:r>
          </w:p>
        </w:tc>
        <w:tc>
          <w:tcPr>
            <w:tcW w:w="3579" w:type="dxa"/>
            <w:shd w:val="clear" w:color="auto" w:fill="EAF1DD" w:themeFill="accent3" w:themeFillTint="33"/>
          </w:tcPr>
          <w:p w14:paraId="3247E07C" w14:textId="12025D1F" w:rsidR="00FA40E8" w:rsidRDefault="00E74AE8">
            <w:pPr>
              <w:pStyle w:val="P68B1DB1-Normal38"/>
              <w:spacing w:after="0"/>
              <w:rPr>
                <w:noProof/>
              </w:rPr>
            </w:pPr>
            <w:r>
              <w:rPr>
                <w:noProof/>
              </w:rPr>
              <w:t>Création de nouvelles capacités de production d’énergie solaire</w:t>
            </w:r>
          </w:p>
        </w:tc>
      </w:tr>
      <w:tr w:rsidR="00FA40E8" w14:paraId="25A27726" w14:textId="77777777">
        <w:trPr>
          <w:cantSplit/>
          <w:trHeight w:val="300"/>
        </w:trPr>
        <w:tc>
          <w:tcPr>
            <w:tcW w:w="1204" w:type="dxa"/>
            <w:shd w:val="clear" w:color="auto" w:fill="EAF1DD" w:themeFill="accent3" w:themeFillTint="33"/>
            <w:noWrap/>
          </w:tcPr>
          <w:p w14:paraId="4A04B46A" w14:textId="77777777" w:rsidR="00FA40E8" w:rsidRDefault="00FA40E8">
            <w:pPr>
              <w:spacing w:after="0"/>
              <w:jc w:val="center"/>
              <w:rPr>
                <w:rFonts w:ascii="Times New Roman" w:eastAsia="Times New Roman" w:hAnsi="Times New Roman" w:cs="Times New Roman"/>
                <w:noProof/>
                <w:szCs w:val="22"/>
              </w:rPr>
            </w:pPr>
          </w:p>
        </w:tc>
        <w:tc>
          <w:tcPr>
            <w:tcW w:w="3402" w:type="dxa"/>
            <w:shd w:val="clear" w:color="auto" w:fill="EAF1DD" w:themeFill="accent3" w:themeFillTint="33"/>
          </w:tcPr>
          <w:p w14:paraId="318A1B1A" w14:textId="77777777" w:rsidR="00FA40E8" w:rsidRDefault="00FA40E8">
            <w:pPr>
              <w:spacing w:after="0"/>
              <w:rPr>
                <w:rFonts w:ascii="Times New Roman" w:eastAsia="Times New Roman" w:hAnsi="Times New Roman" w:cs="Times New Roman"/>
                <w:noProof/>
                <w:color w:val="000000"/>
                <w:szCs w:val="22"/>
              </w:rPr>
            </w:pPr>
          </w:p>
        </w:tc>
        <w:tc>
          <w:tcPr>
            <w:tcW w:w="1594" w:type="dxa"/>
            <w:shd w:val="clear" w:color="auto" w:fill="EAF1DD" w:themeFill="accent3" w:themeFillTint="33"/>
            <w:vAlign w:val="center"/>
          </w:tcPr>
          <w:p w14:paraId="1A3E910F" w14:textId="77777777" w:rsidR="00FA40E8" w:rsidRDefault="00E74AE8">
            <w:pPr>
              <w:pStyle w:val="P68B1DB1-Normal39"/>
              <w:spacing w:after="0"/>
              <w:jc w:val="center"/>
              <w:rPr>
                <w:noProof/>
                <w:color w:val="000000"/>
                <w:szCs w:val="22"/>
              </w:rPr>
            </w:pPr>
            <w:r>
              <w:rPr>
                <w:noProof/>
              </w:rPr>
              <w:t>Montant de l’acompte</w:t>
            </w:r>
          </w:p>
        </w:tc>
        <w:tc>
          <w:tcPr>
            <w:tcW w:w="3579" w:type="dxa"/>
            <w:shd w:val="clear" w:color="auto" w:fill="EAF1DD" w:themeFill="accent3" w:themeFillTint="33"/>
            <w:vAlign w:val="center"/>
          </w:tcPr>
          <w:p w14:paraId="6D4FB367" w14:textId="3B1AE260" w:rsidR="00FA40E8" w:rsidRDefault="00E74AE8">
            <w:pPr>
              <w:spacing w:after="0"/>
              <w:rPr>
                <w:rFonts w:ascii="Times New Roman" w:eastAsia="Times New Roman" w:hAnsi="Times New Roman" w:cs="Times New Roman"/>
                <w:noProof/>
                <w:color w:val="000000" w:themeColor="text1"/>
                <w:highlight w:val="yellow"/>
              </w:rPr>
            </w:pPr>
            <w:r>
              <w:rPr>
                <w:rFonts w:ascii="Times New Roman" w:eastAsia="Times New Roman" w:hAnsi="Times New Roman" w:cs="Times New Roman"/>
                <w:noProof/>
                <w:color w:val="000000" w:themeColor="text1"/>
              </w:rPr>
              <w:t>650</w:t>
            </w:r>
            <w:r>
              <w:rPr>
                <w:rFonts w:ascii="Times New Roman" w:hAnsi="Times New Roman"/>
                <w:noProof/>
                <w:sz w:val="20"/>
              </w:rPr>
              <w:t xml:space="preserve"> </w:t>
            </w:r>
            <w:r>
              <w:rPr>
                <w:rFonts w:ascii="Times New Roman" w:eastAsia="Times New Roman" w:hAnsi="Times New Roman" w:cs="Times New Roman"/>
                <w:noProof/>
                <w:color w:val="000000" w:themeColor="text1"/>
              </w:rPr>
              <w:t>667</w:t>
            </w:r>
            <w:r>
              <w:rPr>
                <w:rFonts w:ascii="Times New Roman" w:hAnsi="Times New Roman"/>
                <w:noProof/>
                <w:sz w:val="20"/>
              </w:rPr>
              <w:t xml:space="preserve"> </w:t>
            </w:r>
            <w:r>
              <w:rPr>
                <w:rFonts w:ascii="Times New Roman" w:eastAsia="Times New Roman" w:hAnsi="Times New Roman" w:cs="Times New Roman"/>
                <w:noProof/>
                <w:color w:val="000000" w:themeColor="text1"/>
              </w:rPr>
              <w:t>416 EUR</w:t>
            </w:r>
          </w:p>
        </w:tc>
      </w:tr>
    </w:tbl>
    <w:p w14:paraId="0B548A4A" w14:textId="77777777" w:rsidR="00FA40E8" w:rsidRDefault="00E74AE8">
      <w:pPr>
        <w:pStyle w:val="P68B1DB1-Normal34"/>
        <w:numPr>
          <w:ilvl w:val="0"/>
          <w:numId w:val="89"/>
        </w:numPr>
        <w:spacing w:before="360" w:after="360" w:line="240" w:lineRule="auto"/>
        <w:jc w:val="both"/>
        <w:rPr>
          <w:noProof/>
        </w:rPr>
      </w:pPr>
      <w:r>
        <w:rPr>
          <w:noProof/>
        </w:rPr>
        <w:t>Prêt</w:t>
      </w:r>
    </w:p>
    <w:p w14:paraId="4549EA43" w14:textId="77777777" w:rsidR="00FA40E8" w:rsidRDefault="00E74AE8">
      <w:pPr>
        <w:pStyle w:val="P68B1DB1-Normal19"/>
        <w:spacing w:line="240" w:lineRule="auto"/>
        <w:textAlignment w:val="baseline"/>
        <w:rPr>
          <w:noProof/>
          <w:szCs w:val="24"/>
        </w:rPr>
      </w:pPr>
      <w:r>
        <w:rPr>
          <w:noProof/>
        </w:rPr>
        <w:t>Les tranches visées à l’article 3, paragraphe 2, sont organisées de la manière suivante:</w:t>
      </w:r>
    </w:p>
    <w:p w14:paraId="3FACF1B5" w14:textId="06A4A0FA" w:rsidR="00FA40E8" w:rsidRDefault="00E74AE8">
      <w:pPr>
        <w:pStyle w:val="P68B1DB1-ListParagraph36"/>
        <w:keepNext/>
        <w:keepLines/>
        <w:numPr>
          <w:ilvl w:val="1"/>
          <w:numId w:val="112"/>
        </w:numPr>
        <w:spacing w:before="480" w:line="240" w:lineRule="auto"/>
        <w:jc w:val="both"/>
        <w:rPr>
          <w:noProof/>
        </w:rPr>
      </w:pPr>
      <w:r>
        <w:rPr>
          <w:noProof/>
        </w:rPr>
        <w:t>Première tranche (soutien sous forme de prêt):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FA40E8" w14:paraId="2CB5FC0F" w14:textId="77777777">
        <w:trPr>
          <w:cantSplit/>
          <w:trHeight w:val="491"/>
          <w:tblHeader/>
        </w:trPr>
        <w:tc>
          <w:tcPr>
            <w:tcW w:w="1298" w:type="dxa"/>
            <w:shd w:val="clear" w:color="000000" w:fill="BDD7EE"/>
            <w:vAlign w:val="center"/>
          </w:tcPr>
          <w:p w14:paraId="68C19474" w14:textId="77777777" w:rsidR="00FA40E8" w:rsidRDefault="00E74AE8">
            <w:pPr>
              <w:pStyle w:val="P68B1DB1-Normal37"/>
              <w:spacing w:after="0"/>
              <w:jc w:val="center"/>
              <w:rPr>
                <w:bCs/>
                <w:noProof/>
                <w:szCs w:val="22"/>
              </w:rPr>
            </w:pPr>
            <w:r>
              <w:rPr>
                <w:noProof/>
              </w:rPr>
              <w:t>Numéro séquentiel</w:t>
            </w:r>
          </w:p>
        </w:tc>
        <w:tc>
          <w:tcPr>
            <w:tcW w:w="3097" w:type="dxa"/>
            <w:shd w:val="clear" w:color="000000" w:fill="BDD7EE"/>
            <w:vAlign w:val="center"/>
          </w:tcPr>
          <w:p w14:paraId="65690EF7" w14:textId="77777777" w:rsidR="00FA40E8" w:rsidRDefault="00E74AE8">
            <w:pPr>
              <w:pStyle w:val="P68B1DB1-Normal37"/>
              <w:spacing w:after="0"/>
              <w:jc w:val="center"/>
              <w:rPr>
                <w:bCs/>
                <w:noProof/>
                <w:szCs w:val="22"/>
              </w:rPr>
            </w:pPr>
            <w:r>
              <w:rPr>
                <w:noProof/>
              </w:rPr>
              <w:t xml:space="preserve">Mesure connexe </w:t>
            </w:r>
            <w:r>
              <w:rPr>
                <w:noProof/>
              </w:rPr>
              <w:br/>
              <w:t>(Réforme ou investissement)</w:t>
            </w:r>
          </w:p>
        </w:tc>
        <w:tc>
          <w:tcPr>
            <w:tcW w:w="1629" w:type="dxa"/>
            <w:shd w:val="clear" w:color="000000" w:fill="BDD7EE"/>
            <w:vAlign w:val="center"/>
          </w:tcPr>
          <w:p w14:paraId="0A6FF7FE" w14:textId="77777777" w:rsidR="00FA40E8" w:rsidRDefault="00E74AE8">
            <w:pPr>
              <w:pStyle w:val="P68B1DB1-Normal37"/>
              <w:spacing w:after="0"/>
              <w:jc w:val="center"/>
              <w:rPr>
                <w:bCs/>
                <w:noProof/>
                <w:szCs w:val="22"/>
              </w:rPr>
            </w:pPr>
            <w:r>
              <w:rPr>
                <w:noProof/>
              </w:rPr>
              <w:t>Étape/cible</w:t>
            </w:r>
          </w:p>
        </w:tc>
        <w:tc>
          <w:tcPr>
            <w:tcW w:w="3755" w:type="dxa"/>
            <w:shd w:val="clear" w:color="000000" w:fill="BDD7EE"/>
            <w:vAlign w:val="center"/>
          </w:tcPr>
          <w:p w14:paraId="04899216" w14:textId="77777777" w:rsidR="00FA40E8" w:rsidRDefault="00E74AE8">
            <w:pPr>
              <w:pStyle w:val="P68B1DB1-Normal37"/>
              <w:spacing w:after="0"/>
              <w:jc w:val="center"/>
              <w:rPr>
                <w:bCs/>
                <w:noProof/>
                <w:szCs w:val="22"/>
              </w:rPr>
            </w:pPr>
            <w:r>
              <w:rPr>
                <w:noProof/>
              </w:rPr>
              <w:t>Nom</w:t>
            </w:r>
          </w:p>
        </w:tc>
      </w:tr>
      <w:tr w:rsidR="00FA40E8" w14:paraId="38E610D9" w14:textId="77777777">
        <w:trPr>
          <w:cantSplit/>
        </w:trPr>
        <w:tc>
          <w:tcPr>
            <w:tcW w:w="1298" w:type="dxa"/>
            <w:shd w:val="clear" w:color="auto" w:fill="EAF1DD"/>
            <w:noWrap/>
            <w:vAlign w:val="center"/>
          </w:tcPr>
          <w:p w14:paraId="5C93896A" w14:textId="254F6D67" w:rsidR="00FA40E8" w:rsidRDefault="00E74AE8">
            <w:pPr>
              <w:pStyle w:val="P68B1DB1-Normal38"/>
              <w:spacing w:after="0"/>
              <w:jc w:val="center"/>
              <w:rPr>
                <w:noProof/>
                <w:szCs w:val="22"/>
              </w:rPr>
            </w:pPr>
            <w:r>
              <w:rPr>
                <w:noProof/>
              </w:rPr>
              <w:t>58a</w:t>
            </w:r>
          </w:p>
        </w:tc>
        <w:tc>
          <w:tcPr>
            <w:tcW w:w="3097" w:type="dxa"/>
            <w:shd w:val="clear" w:color="auto" w:fill="EAF1DD"/>
          </w:tcPr>
          <w:p w14:paraId="230B89AA" w14:textId="77777777" w:rsidR="00FA40E8" w:rsidRDefault="00E74AE8">
            <w:pPr>
              <w:pStyle w:val="P68B1DB1-Normal38"/>
              <w:spacing w:after="0"/>
              <w:rPr>
                <w:noProof/>
                <w:szCs w:val="22"/>
              </w:rPr>
            </w:pPr>
            <w:r>
              <w:rPr>
                <w:noProof/>
              </w:rPr>
              <w:t xml:space="preserve">B.3.1 Développement de produits financiers verts </w:t>
            </w:r>
          </w:p>
        </w:tc>
        <w:tc>
          <w:tcPr>
            <w:tcW w:w="1629" w:type="dxa"/>
            <w:shd w:val="clear" w:color="auto" w:fill="EAF1DD"/>
          </w:tcPr>
          <w:p w14:paraId="0CAD16A7" w14:textId="7C392B41" w:rsidR="00FA40E8" w:rsidRDefault="00E74AE8">
            <w:pPr>
              <w:pStyle w:val="P68B1DB1-Normal38"/>
              <w:spacing w:after="0"/>
              <w:jc w:val="center"/>
              <w:rPr>
                <w:noProof/>
                <w:szCs w:val="22"/>
              </w:rPr>
            </w:pPr>
            <w:r>
              <w:rPr>
                <w:noProof/>
              </w:rPr>
              <w:t>Étape</w:t>
            </w:r>
          </w:p>
        </w:tc>
        <w:tc>
          <w:tcPr>
            <w:tcW w:w="3755" w:type="dxa"/>
            <w:shd w:val="clear" w:color="auto" w:fill="EAF1DD"/>
          </w:tcPr>
          <w:p w14:paraId="674ABA9D" w14:textId="77777777" w:rsidR="00FA40E8" w:rsidRDefault="00E74AE8">
            <w:pPr>
              <w:pStyle w:val="P68B1DB1-Normal38"/>
              <w:spacing w:after="0"/>
              <w:rPr>
                <w:noProof/>
                <w:szCs w:val="22"/>
              </w:rPr>
            </w:pPr>
            <w:r>
              <w:rPr>
                <w:noProof/>
              </w:rPr>
              <w:t xml:space="preserve">Approbation du plan d’action en faveur de la finance verte </w:t>
            </w:r>
          </w:p>
        </w:tc>
      </w:tr>
      <w:tr w:rsidR="00FA40E8" w14:paraId="6AE942D8" w14:textId="77777777">
        <w:trPr>
          <w:cantSplit/>
        </w:trPr>
        <w:tc>
          <w:tcPr>
            <w:tcW w:w="1298" w:type="dxa"/>
            <w:shd w:val="clear" w:color="auto" w:fill="EAF1DD"/>
            <w:noWrap/>
            <w:vAlign w:val="center"/>
          </w:tcPr>
          <w:p w14:paraId="6D211950" w14:textId="7324C21C" w:rsidR="00FA40E8" w:rsidRDefault="00E74AE8">
            <w:pPr>
              <w:pStyle w:val="P68B1DB1-Normal38"/>
              <w:spacing w:after="0"/>
              <w:jc w:val="center"/>
              <w:rPr>
                <w:noProof/>
                <w:szCs w:val="22"/>
              </w:rPr>
            </w:pPr>
            <w:r>
              <w:rPr>
                <w:noProof/>
              </w:rPr>
              <w:t>137a</w:t>
            </w:r>
          </w:p>
        </w:tc>
        <w:tc>
          <w:tcPr>
            <w:tcW w:w="3097" w:type="dxa"/>
            <w:shd w:val="clear" w:color="auto" w:fill="EAF1DD"/>
          </w:tcPr>
          <w:p w14:paraId="29D51304" w14:textId="77777777" w:rsidR="00FA40E8" w:rsidRDefault="00E74AE8">
            <w:pPr>
              <w:pStyle w:val="P68B1DB1-Normal38"/>
              <w:spacing w:after="0"/>
              <w:rPr>
                <w:noProof/>
                <w:szCs w:val="22"/>
              </w:rPr>
            </w:pPr>
            <w:r>
              <w:rPr>
                <w:noProof/>
              </w:rPr>
              <w:t>E.3.1. Prêts aux entreprises pour le développement de technologies vertes et à forte valeur ajoutée pour le développement industriel</w:t>
            </w:r>
          </w:p>
        </w:tc>
        <w:tc>
          <w:tcPr>
            <w:tcW w:w="1629" w:type="dxa"/>
            <w:shd w:val="clear" w:color="auto" w:fill="EAF1DD"/>
          </w:tcPr>
          <w:p w14:paraId="6E474B27" w14:textId="77777777" w:rsidR="00FA40E8" w:rsidRDefault="00E74AE8">
            <w:pPr>
              <w:pStyle w:val="P68B1DB1-Normal38"/>
              <w:spacing w:after="0"/>
              <w:jc w:val="center"/>
              <w:rPr>
                <w:noProof/>
                <w:szCs w:val="22"/>
              </w:rPr>
            </w:pPr>
            <w:r>
              <w:rPr>
                <w:noProof/>
              </w:rPr>
              <w:t>Étape</w:t>
            </w:r>
          </w:p>
        </w:tc>
        <w:tc>
          <w:tcPr>
            <w:tcW w:w="3755" w:type="dxa"/>
            <w:shd w:val="clear" w:color="auto" w:fill="EAF1DD"/>
          </w:tcPr>
          <w:p w14:paraId="401B1B0B" w14:textId="77777777" w:rsidR="00FA40E8" w:rsidRDefault="00E74AE8">
            <w:pPr>
              <w:pStyle w:val="P68B1DB1-Normal38"/>
              <w:spacing w:after="0"/>
              <w:rPr>
                <w:noProof/>
                <w:szCs w:val="22"/>
              </w:rPr>
            </w:pPr>
            <w:r>
              <w:rPr>
                <w:noProof/>
              </w:rPr>
              <w:t>Lignes directrices pour le développement industriel dans le domaine de la défense et de la sécurité 2023-2027</w:t>
            </w:r>
          </w:p>
        </w:tc>
      </w:tr>
      <w:tr w:rsidR="00FA40E8" w14:paraId="5F61E87F" w14:textId="77777777">
        <w:trPr>
          <w:cantSplit/>
        </w:trPr>
        <w:tc>
          <w:tcPr>
            <w:tcW w:w="1298" w:type="dxa"/>
            <w:shd w:val="clear" w:color="auto" w:fill="EAF1DD"/>
            <w:noWrap/>
            <w:vAlign w:val="center"/>
          </w:tcPr>
          <w:p w14:paraId="11B64E1C" w14:textId="6437A721" w:rsidR="00FA40E8" w:rsidRDefault="00E74AE8">
            <w:pPr>
              <w:pStyle w:val="P68B1DB1-Normal38"/>
              <w:spacing w:after="0"/>
              <w:jc w:val="center"/>
              <w:rPr>
                <w:noProof/>
                <w:szCs w:val="22"/>
              </w:rPr>
            </w:pPr>
            <w:r>
              <w:rPr>
                <w:noProof/>
              </w:rPr>
              <w:t>180a</w:t>
            </w:r>
          </w:p>
        </w:tc>
        <w:tc>
          <w:tcPr>
            <w:tcW w:w="3097" w:type="dxa"/>
            <w:shd w:val="clear" w:color="auto" w:fill="EAF1DD"/>
          </w:tcPr>
          <w:p w14:paraId="19DF428B" w14:textId="73CECABA" w:rsidR="00FA40E8" w:rsidRDefault="00E74AE8">
            <w:pPr>
              <w:pStyle w:val="P68B1DB1-Normal38"/>
              <w:spacing w:after="0"/>
              <w:rPr>
                <w:noProof/>
                <w:szCs w:val="22"/>
              </w:rPr>
            </w:pPr>
            <w:r>
              <w:rPr>
                <w:noProof/>
              </w:rPr>
              <w:t>F.3.1. Accroître le recours aux marchés publics centralisés</w:t>
            </w:r>
          </w:p>
        </w:tc>
        <w:tc>
          <w:tcPr>
            <w:tcW w:w="1629" w:type="dxa"/>
            <w:shd w:val="clear" w:color="auto" w:fill="EAF1DD"/>
          </w:tcPr>
          <w:p w14:paraId="25089515" w14:textId="77777777" w:rsidR="00FA40E8" w:rsidRDefault="00E74AE8">
            <w:pPr>
              <w:pStyle w:val="P68B1DB1-Normal38"/>
              <w:spacing w:after="0"/>
              <w:jc w:val="center"/>
              <w:rPr>
                <w:noProof/>
                <w:szCs w:val="22"/>
              </w:rPr>
            </w:pPr>
            <w:r>
              <w:rPr>
                <w:noProof/>
              </w:rPr>
              <w:t>Étape</w:t>
            </w:r>
          </w:p>
        </w:tc>
        <w:tc>
          <w:tcPr>
            <w:tcW w:w="3755" w:type="dxa"/>
            <w:shd w:val="clear" w:color="auto" w:fill="EAF1DD"/>
          </w:tcPr>
          <w:p w14:paraId="554BFE26" w14:textId="77777777" w:rsidR="00FA40E8" w:rsidRDefault="00E74AE8">
            <w:pPr>
              <w:pStyle w:val="P68B1DB1-Normal38"/>
              <w:spacing w:after="0"/>
              <w:rPr>
                <w:noProof/>
                <w:szCs w:val="22"/>
              </w:rPr>
            </w:pPr>
            <w:r>
              <w:rPr>
                <w:noProof/>
              </w:rPr>
              <w:t>Adoption d’un plan de centralisation des achats publics des institut</w:t>
            </w:r>
            <w:r>
              <w:rPr>
                <w:noProof/>
              </w:rPr>
              <w:t>ions et agences de santé</w:t>
            </w:r>
          </w:p>
        </w:tc>
      </w:tr>
      <w:tr w:rsidR="00FA40E8" w14:paraId="25DECD18" w14:textId="77777777">
        <w:trPr>
          <w:cantSplit/>
        </w:trPr>
        <w:tc>
          <w:tcPr>
            <w:tcW w:w="1298" w:type="dxa"/>
            <w:shd w:val="clear" w:color="auto" w:fill="EAF1DD"/>
            <w:noWrap/>
            <w:vAlign w:val="center"/>
          </w:tcPr>
          <w:p w14:paraId="4A21312B" w14:textId="461379AD" w:rsidR="00FA40E8" w:rsidRDefault="00E74AE8">
            <w:pPr>
              <w:pStyle w:val="P68B1DB1-Normal38"/>
              <w:spacing w:after="0"/>
              <w:jc w:val="center"/>
              <w:rPr>
                <w:noProof/>
                <w:szCs w:val="22"/>
              </w:rPr>
            </w:pPr>
            <w:r>
              <w:rPr>
                <w:noProof/>
              </w:rPr>
              <w:t>192</w:t>
            </w:r>
          </w:p>
        </w:tc>
        <w:tc>
          <w:tcPr>
            <w:tcW w:w="3097" w:type="dxa"/>
            <w:shd w:val="clear" w:color="auto" w:fill="EAF1DD"/>
          </w:tcPr>
          <w:p w14:paraId="76682113" w14:textId="77777777" w:rsidR="00FA40E8" w:rsidRDefault="00E74AE8">
            <w:pPr>
              <w:pStyle w:val="P68B1DB1-Normal38"/>
              <w:spacing w:after="0"/>
              <w:rPr>
                <w:noProof/>
                <w:szCs w:val="22"/>
              </w:rPr>
            </w:pPr>
            <w:r>
              <w:rPr>
                <w:noProof/>
              </w:rPr>
              <w:t xml:space="preserve">G.3.1. Améliorer la qualité des services sociaux et de l’emploi — G.3.1.1. Renforcer l’intégration des services de l’emploi, des services sociaux et autres </w:t>
            </w:r>
          </w:p>
        </w:tc>
        <w:tc>
          <w:tcPr>
            <w:tcW w:w="1629" w:type="dxa"/>
            <w:shd w:val="clear" w:color="auto" w:fill="EAF1DD"/>
          </w:tcPr>
          <w:p w14:paraId="13C9C9AB" w14:textId="77777777" w:rsidR="00FA40E8" w:rsidRDefault="00E74AE8">
            <w:pPr>
              <w:pStyle w:val="P68B1DB1-Normal38"/>
              <w:spacing w:after="0"/>
              <w:jc w:val="center"/>
              <w:rPr>
                <w:noProof/>
                <w:szCs w:val="22"/>
              </w:rPr>
            </w:pPr>
            <w:r>
              <w:rPr>
                <w:noProof/>
              </w:rPr>
              <w:t>Étape</w:t>
            </w:r>
          </w:p>
        </w:tc>
        <w:tc>
          <w:tcPr>
            <w:tcW w:w="3755" w:type="dxa"/>
            <w:shd w:val="clear" w:color="auto" w:fill="EAF1DD"/>
          </w:tcPr>
          <w:p w14:paraId="3F4A7106" w14:textId="77777777" w:rsidR="00FA40E8" w:rsidRDefault="00E74AE8">
            <w:pPr>
              <w:pStyle w:val="P68B1DB1-Normal38"/>
              <w:spacing w:after="0"/>
              <w:rPr>
                <w:noProof/>
                <w:szCs w:val="22"/>
              </w:rPr>
            </w:pPr>
            <w:r>
              <w:rPr>
                <w:noProof/>
              </w:rPr>
              <w:t xml:space="preserve">Modifications de la législation sur les services personnalisés </w:t>
            </w:r>
            <w:r>
              <w:rPr>
                <w:noProof/>
              </w:rPr>
              <w:t>fournis par le service de l’emploi et les municipalités aux chômeurs et aux personnes inscrites en tant que personnes se préparant au marché du travail qui rencontrent des difficultés à accepter un emploi</w:t>
            </w:r>
          </w:p>
        </w:tc>
      </w:tr>
      <w:tr w:rsidR="00FA40E8" w14:paraId="4E888552" w14:textId="77777777">
        <w:trPr>
          <w:cantSplit/>
        </w:trPr>
        <w:tc>
          <w:tcPr>
            <w:tcW w:w="1298" w:type="dxa"/>
            <w:shd w:val="clear" w:color="auto" w:fill="EAF1DD"/>
            <w:noWrap/>
            <w:vAlign w:val="center"/>
          </w:tcPr>
          <w:p w14:paraId="6F6EEA5B" w14:textId="742FAFC5" w:rsidR="00FA40E8" w:rsidRDefault="00E74AE8">
            <w:pPr>
              <w:pStyle w:val="P68B1DB1-Normal38"/>
              <w:spacing w:after="0"/>
              <w:jc w:val="center"/>
              <w:rPr>
                <w:noProof/>
                <w:szCs w:val="22"/>
              </w:rPr>
            </w:pPr>
            <w:r>
              <w:rPr>
                <w:noProof/>
              </w:rPr>
              <w:t>194</w:t>
            </w:r>
          </w:p>
        </w:tc>
        <w:tc>
          <w:tcPr>
            <w:tcW w:w="3097" w:type="dxa"/>
            <w:shd w:val="clear" w:color="auto" w:fill="EAF1DD"/>
          </w:tcPr>
          <w:p w14:paraId="0D21A0B2" w14:textId="77777777" w:rsidR="00FA40E8" w:rsidRDefault="00E74AE8">
            <w:pPr>
              <w:pStyle w:val="P68B1DB1-Normal38"/>
              <w:spacing w:after="0"/>
              <w:rPr>
                <w:noProof/>
                <w:szCs w:val="22"/>
              </w:rPr>
            </w:pPr>
            <w:r>
              <w:rPr>
                <w:noProof/>
              </w:rPr>
              <w:t>G.3.1. Améliorer la qualité des services socia</w:t>
            </w:r>
            <w:r>
              <w:rPr>
                <w:noProof/>
              </w:rPr>
              <w:t>ux et de l’emploi — G.3.1.2. Renforcer les compétences des travailleurs sociaux</w:t>
            </w:r>
          </w:p>
        </w:tc>
        <w:tc>
          <w:tcPr>
            <w:tcW w:w="1629" w:type="dxa"/>
            <w:shd w:val="clear" w:color="auto" w:fill="EAF1DD"/>
          </w:tcPr>
          <w:p w14:paraId="5E1E750D" w14:textId="77777777" w:rsidR="00FA40E8" w:rsidRDefault="00E74AE8">
            <w:pPr>
              <w:pStyle w:val="P68B1DB1-Normal38"/>
              <w:spacing w:after="0"/>
              <w:jc w:val="center"/>
              <w:rPr>
                <w:noProof/>
                <w:szCs w:val="22"/>
              </w:rPr>
            </w:pPr>
            <w:r>
              <w:rPr>
                <w:noProof/>
              </w:rPr>
              <w:t>Étape</w:t>
            </w:r>
          </w:p>
        </w:tc>
        <w:tc>
          <w:tcPr>
            <w:tcW w:w="3755" w:type="dxa"/>
            <w:shd w:val="clear" w:color="auto" w:fill="EAF1DD"/>
          </w:tcPr>
          <w:p w14:paraId="517D49E4" w14:textId="77777777" w:rsidR="00FA40E8" w:rsidRDefault="00E74AE8">
            <w:pPr>
              <w:pStyle w:val="P68B1DB1-Normal38"/>
              <w:spacing w:after="0"/>
              <w:rPr>
                <w:noProof/>
                <w:szCs w:val="22"/>
              </w:rPr>
            </w:pPr>
            <w:r>
              <w:rPr>
                <w:noProof/>
              </w:rPr>
              <w:t xml:space="preserve">Création d’un centre d’amélioration des compétences professionnelles des salariés dans le domaine des services sociaux </w:t>
            </w:r>
          </w:p>
        </w:tc>
      </w:tr>
      <w:tr w:rsidR="00FA40E8" w14:paraId="6CEBD3BD" w14:textId="77777777">
        <w:trPr>
          <w:cantSplit/>
        </w:trPr>
        <w:tc>
          <w:tcPr>
            <w:tcW w:w="1298" w:type="dxa"/>
            <w:shd w:val="clear" w:color="auto" w:fill="EAF1DD"/>
            <w:noWrap/>
            <w:vAlign w:val="center"/>
          </w:tcPr>
          <w:p w14:paraId="666F7E4B" w14:textId="6477152C" w:rsidR="00FA40E8" w:rsidRDefault="00FA40E8">
            <w:pPr>
              <w:spacing w:after="0"/>
              <w:jc w:val="center"/>
              <w:rPr>
                <w:rFonts w:ascii="Times New Roman" w:eastAsia="Times New Roman" w:hAnsi="Times New Roman" w:cs="Times New Roman"/>
                <w:noProof/>
                <w:color w:val="000000"/>
                <w:szCs w:val="22"/>
              </w:rPr>
            </w:pPr>
          </w:p>
        </w:tc>
        <w:tc>
          <w:tcPr>
            <w:tcW w:w="3097" w:type="dxa"/>
            <w:shd w:val="clear" w:color="auto" w:fill="EAF1DD"/>
            <w:vAlign w:val="center"/>
          </w:tcPr>
          <w:p w14:paraId="5E4CE57A" w14:textId="77777777" w:rsidR="00FA40E8" w:rsidRDefault="00E74AE8">
            <w:pPr>
              <w:pStyle w:val="P68B1DB1-Normal38"/>
              <w:spacing w:after="0"/>
              <w:rPr>
                <w:noProof/>
                <w:szCs w:val="22"/>
              </w:rPr>
            </w:pPr>
            <w:r>
              <w:rPr>
                <w:noProof/>
              </w:rPr>
              <w:t xml:space="preserve"> </w:t>
            </w:r>
          </w:p>
        </w:tc>
        <w:tc>
          <w:tcPr>
            <w:tcW w:w="1629" w:type="dxa"/>
            <w:shd w:val="clear" w:color="auto" w:fill="EAF1DD"/>
            <w:vAlign w:val="center"/>
          </w:tcPr>
          <w:p w14:paraId="470C582E" w14:textId="383D5E17" w:rsidR="00FA40E8" w:rsidRDefault="00E74AE8">
            <w:pPr>
              <w:pStyle w:val="P68B1DB1-Normal38"/>
              <w:spacing w:after="0"/>
              <w:jc w:val="center"/>
              <w:rPr>
                <w:noProof/>
                <w:szCs w:val="22"/>
              </w:rPr>
            </w:pPr>
            <w:r>
              <w:rPr>
                <w:noProof/>
              </w:rPr>
              <w:t>Montant de l’acompte</w:t>
            </w:r>
          </w:p>
        </w:tc>
        <w:tc>
          <w:tcPr>
            <w:tcW w:w="3755" w:type="dxa"/>
            <w:shd w:val="clear" w:color="auto" w:fill="EAF1DD"/>
            <w:vAlign w:val="center"/>
          </w:tcPr>
          <w:p w14:paraId="3F9FB4E7" w14:textId="5E159A36" w:rsidR="00FA40E8" w:rsidRDefault="00E74AE8">
            <w:pPr>
              <w:spacing w:after="0"/>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themeColor="text1"/>
              </w:rPr>
              <w:t>387</w:t>
            </w:r>
            <w:r>
              <w:rPr>
                <w:rFonts w:ascii="Times New Roman" w:hAnsi="Times New Roman"/>
                <w:noProof/>
                <w:sz w:val="20"/>
              </w:rPr>
              <w:t xml:space="preserve"> </w:t>
            </w:r>
            <w:r>
              <w:rPr>
                <w:rFonts w:ascii="Times New Roman" w:eastAsia="Times New Roman" w:hAnsi="Times New Roman" w:cs="Times New Roman"/>
                <w:noProof/>
                <w:color w:val="000000" w:themeColor="text1"/>
              </w:rPr>
              <w:t>918</w:t>
            </w:r>
            <w:r>
              <w:rPr>
                <w:rFonts w:ascii="Times New Roman" w:hAnsi="Times New Roman"/>
                <w:noProof/>
                <w:sz w:val="20"/>
              </w:rPr>
              <w:t xml:space="preserve"> </w:t>
            </w:r>
            <w:r>
              <w:rPr>
                <w:rFonts w:ascii="Times New Roman" w:eastAsia="Times New Roman" w:hAnsi="Times New Roman" w:cs="Times New Roman"/>
                <w:noProof/>
                <w:color w:val="000000" w:themeColor="text1"/>
              </w:rPr>
              <w:t>090 EUR</w:t>
            </w:r>
          </w:p>
        </w:tc>
      </w:tr>
    </w:tbl>
    <w:p w14:paraId="2E26E0FD" w14:textId="77777777" w:rsidR="00FA40E8" w:rsidRDefault="00E74AE8">
      <w:pPr>
        <w:pStyle w:val="P68B1DB1-Normal35"/>
        <w:keepNext/>
        <w:keepLines/>
        <w:numPr>
          <w:ilvl w:val="1"/>
          <w:numId w:val="112"/>
        </w:numPr>
        <w:spacing w:before="480" w:line="240" w:lineRule="auto"/>
        <w:jc w:val="both"/>
        <w:rPr>
          <w:noProof/>
        </w:rPr>
      </w:pPr>
      <w:r>
        <w:rPr>
          <w:noProof/>
        </w:rPr>
        <w:t>Deuxième</w:t>
      </w:r>
      <w:r>
        <w:rPr>
          <w:noProof/>
        </w:rPr>
        <w:t xml:space="preserve"> tranche (soutien sous forme de prêt):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FA40E8" w14:paraId="4A27A508" w14:textId="77777777">
        <w:trPr>
          <w:cantSplit/>
          <w:trHeight w:val="491"/>
          <w:tblHeader/>
        </w:trPr>
        <w:tc>
          <w:tcPr>
            <w:tcW w:w="1298" w:type="dxa"/>
            <w:shd w:val="clear" w:color="000000" w:fill="BDD7EE"/>
            <w:vAlign w:val="center"/>
          </w:tcPr>
          <w:p w14:paraId="24920FF8" w14:textId="77777777" w:rsidR="00FA40E8" w:rsidRDefault="00E74AE8">
            <w:pPr>
              <w:pStyle w:val="P68B1DB1-Normal37"/>
              <w:spacing w:after="0"/>
              <w:jc w:val="center"/>
              <w:rPr>
                <w:bCs/>
                <w:noProof/>
                <w:szCs w:val="22"/>
              </w:rPr>
            </w:pPr>
            <w:r>
              <w:rPr>
                <w:noProof/>
              </w:rPr>
              <w:t>Numéro séquentiel</w:t>
            </w:r>
          </w:p>
        </w:tc>
        <w:tc>
          <w:tcPr>
            <w:tcW w:w="3097" w:type="dxa"/>
            <w:shd w:val="clear" w:color="000000" w:fill="BDD7EE"/>
            <w:vAlign w:val="center"/>
          </w:tcPr>
          <w:p w14:paraId="127B7091" w14:textId="77777777" w:rsidR="00FA40E8" w:rsidRDefault="00E74AE8">
            <w:pPr>
              <w:pStyle w:val="P68B1DB1-Normal37"/>
              <w:spacing w:after="0"/>
              <w:jc w:val="center"/>
              <w:rPr>
                <w:bCs/>
                <w:noProof/>
                <w:szCs w:val="22"/>
              </w:rPr>
            </w:pPr>
            <w:r>
              <w:rPr>
                <w:noProof/>
              </w:rPr>
              <w:t xml:space="preserve">Mesure connexe </w:t>
            </w:r>
            <w:r>
              <w:rPr>
                <w:noProof/>
              </w:rPr>
              <w:br/>
              <w:t>(Réforme ou investissement)</w:t>
            </w:r>
          </w:p>
        </w:tc>
        <w:tc>
          <w:tcPr>
            <w:tcW w:w="1629" w:type="dxa"/>
            <w:shd w:val="clear" w:color="000000" w:fill="BDD7EE"/>
            <w:vAlign w:val="center"/>
          </w:tcPr>
          <w:p w14:paraId="249A2B7E" w14:textId="77777777" w:rsidR="00FA40E8" w:rsidRDefault="00E74AE8">
            <w:pPr>
              <w:pStyle w:val="P68B1DB1-Normal37"/>
              <w:spacing w:after="0"/>
              <w:jc w:val="center"/>
              <w:rPr>
                <w:bCs/>
                <w:noProof/>
                <w:szCs w:val="22"/>
              </w:rPr>
            </w:pPr>
            <w:r>
              <w:rPr>
                <w:noProof/>
              </w:rPr>
              <w:t>Étape/cible</w:t>
            </w:r>
          </w:p>
        </w:tc>
        <w:tc>
          <w:tcPr>
            <w:tcW w:w="3755" w:type="dxa"/>
            <w:shd w:val="clear" w:color="000000" w:fill="BDD7EE"/>
            <w:vAlign w:val="center"/>
          </w:tcPr>
          <w:p w14:paraId="498338D2" w14:textId="77777777" w:rsidR="00FA40E8" w:rsidRDefault="00E74AE8">
            <w:pPr>
              <w:pStyle w:val="P68B1DB1-Normal37"/>
              <w:spacing w:after="0"/>
              <w:jc w:val="center"/>
              <w:rPr>
                <w:bCs/>
                <w:noProof/>
                <w:szCs w:val="22"/>
              </w:rPr>
            </w:pPr>
            <w:r>
              <w:rPr>
                <w:noProof/>
              </w:rPr>
              <w:t>Nom</w:t>
            </w:r>
          </w:p>
        </w:tc>
      </w:tr>
      <w:tr w:rsidR="00FA40E8" w14:paraId="5B8F55CF" w14:textId="77777777">
        <w:trPr>
          <w:cantSplit/>
        </w:trPr>
        <w:tc>
          <w:tcPr>
            <w:tcW w:w="1298" w:type="dxa"/>
            <w:shd w:val="clear" w:color="auto" w:fill="EAF1DD"/>
            <w:noWrap/>
            <w:vAlign w:val="center"/>
          </w:tcPr>
          <w:p w14:paraId="6DF30E74" w14:textId="77777777" w:rsidR="00FA40E8" w:rsidRDefault="00E74AE8">
            <w:pPr>
              <w:pStyle w:val="P68B1DB1-Normal38"/>
              <w:spacing w:after="0"/>
              <w:jc w:val="center"/>
              <w:rPr>
                <w:noProof/>
                <w:szCs w:val="22"/>
              </w:rPr>
            </w:pPr>
            <w:r>
              <w:rPr>
                <w:noProof/>
              </w:rPr>
              <w:t>58b</w:t>
            </w:r>
          </w:p>
        </w:tc>
        <w:tc>
          <w:tcPr>
            <w:tcW w:w="3097" w:type="dxa"/>
            <w:shd w:val="clear" w:color="auto" w:fill="EAF1DD"/>
          </w:tcPr>
          <w:p w14:paraId="207E5D39" w14:textId="77777777" w:rsidR="00FA40E8" w:rsidRDefault="00E74AE8">
            <w:pPr>
              <w:pStyle w:val="P68B1DB1-Normal38"/>
              <w:spacing w:after="0"/>
              <w:rPr>
                <w:noProof/>
                <w:szCs w:val="22"/>
              </w:rPr>
            </w:pPr>
            <w:r>
              <w:rPr>
                <w:noProof/>
              </w:rPr>
              <w:t xml:space="preserve">B.3.1 Développement de produits financiers verts </w:t>
            </w:r>
          </w:p>
        </w:tc>
        <w:tc>
          <w:tcPr>
            <w:tcW w:w="1629" w:type="dxa"/>
            <w:shd w:val="clear" w:color="auto" w:fill="EAF1DD"/>
          </w:tcPr>
          <w:p w14:paraId="2ACB0888" w14:textId="7345C80A" w:rsidR="00FA40E8" w:rsidRDefault="00E74AE8">
            <w:pPr>
              <w:pStyle w:val="P68B1DB1-Normal38"/>
              <w:spacing w:after="0"/>
              <w:jc w:val="center"/>
              <w:rPr>
                <w:noProof/>
                <w:szCs w:val="22"/>
              </w:rPr>
            </w:pPr>
            <w:r>
              <w:rPr>
                <w:noProof/>
              </w:rPr>
              <w:t>Étape</w:t>
            </w:r>
          </w:p>
        </w:tc>
        <w:tc>
          <w:tcPr>
            <w:tcW w:w="3755" w:type="dxa"/>
            <w:shd w:val="clear" w:color="auto" w:fill="EAF1DD"/>
          </w:tcPr>
          <w:p w14:paraId="4A13256B" w14:textId="77777777" w:rsidR="00FA40E8" w:rsidRDefault="00E74AE8">
            <w:pPr>
              <w:pStyle w:val="P68B1DB1-Normal38"/>
              <w:spacing w:after="0"/>
              <w:rPr>
                <w:noProof/>
                <w:szCs w:val="22"/>
              </w:rPr>
            </w:pPr>
            <w:r>
              <w:rPr>
                <w:noProof/>
              </w:rPr>
              <w:t xml:space="preserve">Création et mise en service du centre de connaissances et de compétences en finance verte </w:t>
            </w:r>
          </w:p>
        </w:tc>
      </w:tr>
      <w:tr w:rsidR="00FA40E8" w14:paraId="69696DF3" w14:textId="77777777">
        <w:trPr>
          <w:cantSplit/>
        </w:trPr>
        <w:tc>
          <w:tcPr>
            <w:tcW w:w="1298" w:type="dxa"/>
            <w:shd w:val="clear" w:color="auto" w:fill="EAF1DD"/>
            <w:noWrap/>
            <w:vAlign w:val="center"/>
          </w:tcPr>
          <w:p w14:paraId="24DBBB2B" w14:textId="77777777" w:rsidR="00FA40E8" w:rsidRDefault="00E74AE8">
            <w:pPr>
              <w:pStyle w:val="P68B1DB1-Normal38"/>
              <w:spacing w:after="0"/>
              <w:jc w:val="center"/>
              <w:rPr>
                <w:noProof/>
                <w:szCs w:val="22"/>
              </w:rPr>
            </w:pPr>
            <w:r>
              <w:rPr>
                <w:noProof/>
              </w:rPr>
              <w:t>180c</w:t>
            </w:r>
          </w:p>
        </w:tc>
        <w:tc>
          <w:tcPr>
            <w:tcW w:w="3097" w:type="dxa"/>
            <w:shd w:val="clear" w:color="auto" w:fill="EAF1DD"/>
          </w:tcPr>
          <w:p w14:paraId="1CA839B7" w14:textId="77777777" w:rsidR="00FA40E8" w:rsidRDefault="00E74AE8">
            <w:pPr>
              <w:pStyle w:val="P68B1DB1-Normal38"/>
              <w:spacing w:after="0"/>
              <w:rPr>
                <w:noProof/>
                <w:szCs w:val="22"/>
              </w:rPr>
            </w:pPr>
            <w:r>
              <w:rPr>
                <w:noProof/>
              </w:rPr>
              <w:t>F.3.2. Capitalisation et résilience financière de l’institution nationale de développement</w:t>
            </w:r>
          </w:p>
        </w:tc>
        <w:tc>
          <w:tcPr>
            <w:tcW w:w="1629" w:type="dxa"/>
            <w:shd w:val="clear" w:color="auto" w:fill="EAF1DD"/>
          </w:tcPr>
          <w:p w14:paraId="7CBAD3D4" w14:textId="77777777" w:rsidR="00FA40E8" w:rsidRDefault="00E74AE8">
            <w:pPr>
              <w:pStyle w:val="P68B1DB1-Normal38"/>
              <w:spacing w:after="0"/>
              <w:jc w:val="center"/>
              <w:rPr>
                <w:noProof/>
                <w:szCs w:val="22"/>
              </w:rPr>
            </w:pPr>
            <w:r>
              <w:rPr>
                <w:noProof/>
              </w:rPr>
              <w:t>Objectif</w:t>
            </w:r>
          </w:p>
        </w:tc>
        <w:tc>
          <w:tcPr>
            <w:tcW w:w="3755" w:type="dxa"/>
            <w:shd w:val="clear" w:color="auto" w:fill="EAF1DD"/>
          </w:tcPr>
          <w:p w14:paraId="265D6E9E" w14:textId="77777777" w:rsidR="00FA40E8" w:rsidRDefault="00E74AE8">
            <w:pPr>
              <w:pStyle w:val="P68B1DB1-Normal38"/>
              <w:spacing w:after="0"/>
              <w:rPr>
                <w:noProof/>
                <w:szCs w:val="22"/>
              </w:rPr>
            </w:pPr>
            <w:r>
              <w:rPr>
                <w:noProof/>
              </w:rPr>
              <w:t>Transfert en capital du gouvernement lituanien à INVEGA</w:t>
            </w:r>
          </w:p>
        </w:tc>
      </w:tr>
      <w:tr w:rsidR="00FA40E8" w14:paraId="56F66190" w14:textId="77777777">
        <w:trPr>
          <w:cantSplit/>
        </w:trPr>
        <w:tc>
          <w:tcPr>
            <w:tcW w:w="1298" w:type="dxa"/>
            <w:shd w:val="clear" w:color="auto" w:fill="EAF1DD"/>
            <w:noWrap/>
            <w:vAlign w:val="center"/>
          </w:tcPr>
          <w:p w14:paraId="0CABF938" w14:textId="77777777" w:rsidR="00FA40E8" w:rsidRDefault="00E74AE8">
            <w:pPr>
              <w:pStyle w:val="P68B1DB1-Normal38"/>
              <w:spacing w:after="0"/>
              <w:jc w:val="center"/>
              <w:rPr>
                <w:noProof/>
                <w:szCs w:val="22"/>
              </w:rPr>
            </w:pPr>
            <w:r>
              <w:rPr>
                <w:noProof/>
              </w:rPr>
              <w:t>204</w:t>
            </w:r>
          </w:p>
        </w:tc>
        <w:tc>
          <w:tcPr>
            <w:tcW w:w="3097" w:type="dxa"/>
            <w:shd w:val="clear" w:color="auto" w:fill="EAF1DD"/>
          </w:tcPr>
          <w:p w14:paraId="3C848913" w14:textId="77777777" w:rsidR="00FA40E8" w:rsidRDefault="00E74AE8">
            <w:pPr>
              <w:pStyle w:val="P68B1DB1-Normal38"/>
              <w:spacing w:after="0"/>
              <w:rPr>
                <w:noProof/>
                <w:szCs w:val="22"/>
              </w:rPr>
            </w:pPr>
            <w:r>
              <w:rPr>
                <w:noProof/>
              </w:rPr>
              <w:t>H.3.1. Soutien à l’investissement dans les centrales SER (solaire et éolienne terrestre)</w:t>
            </w:r>
          </w:p>
        </w:tc>
        <w:tc>
          <w:tcPr>
            <w:tcW w:w="1629" w:type="dxa"/>
            <w:shd w:val="clear" w:color="auto" w:fill="EAF1DD"/>
          </w:tcPr>
          <w:p w14:paraId="438B6C6D" w14:textId="77777777" w:rsidR="00FA40E8" w:rsidRDefault="00E74AE8">
            <w:pPr>
              <w:pStyle w:val="P68B1DB1-Normal38"/>
              <w:spacing w:after="0"/>
              <w:jc w:val="center"/>
              <w:rPr>
                <w:noProof/>
                <w:szCs w:val="22"/>
              </w:rPr>
            </w:pPr>
            <w:r>
              <w:rPr>
                <w:noProof/>
              </w:rPr>
              <w:t>Étape</w:t>
            </w:r>
          </w:p>
        </w:tc>
        <w:tc>
          <w:tcPr>
            <w:tcW w:w="3755" w:type="dxa"/>
            <w:shd w:val="clear" w:color="auto" w:fill="EAF1DD"/>
          </w:tcPr>
          <w:p w14:paraId="56CB7939" w14:textId="77777777" w:rsidR="00FA40E8" w:rsidRDefault="00E74AE8">
            <w:pPr>
              <w:pStyle w:val="P68B1DB1-Normal39"/>
              <w:spacing w:after="0"/>
              <w:rPr>
                <w:noProof/>
                <w:color w:val="000000"/>
                <w:szCs w:val="22"/>
              </w:rPr>
            </w:pPr>
            <w:r>
              <w:rPr>
                <w:noProof/>
                <w:color w:val="000000" w:themeColor="text1"/>
              </w:rPr>
              <w:t xml:space="preserve">Entrée en vigueur de l’ </w:t>
            </w:r>
            <w:r>
              <w:rPr>
                <w:noProof/>
              </w:rPr>
              <w:t>accord de financement (ou d’une modification d’un accord existant relatif à un fonds de fonds)</w:t>
            </w:r>
          </w:p>
        </w:tc>
      </w:tr>
      <w:tr w:rsidR="00FA40E8" w14:paraId="7515A29A" w14:textId="77777777">
        <w:trPr>
          <w:cantSplit/>
        </w:trPr>
        <w:tc>
          <w:tcPr>
            <w:tcW w:w="1298" w:type="dxa"/>
            <w:shd w:val="clear" w:color="auto" w:fill="EAF1DD"/>
            <w:noWrap/>
            <w:vAlign w:val="center"/>
          </w:tcPr>
          <w:p w14:paraId="4509B3B2" w14:textId="77777777" w:rsidR="00FA40E8" w:rsidRDefault="00E74AE8">
            <w:pPr>
              <w:pStyle w:val="P68B1DB1-Normal38"/>
              <w:spacing w:after="0"/>
              <w:jc w:val="center"/>
              <w:rPr>
                <w:noProof/>
                <w:szCs w:val="22"/>
              </w:rPr>
            </w:pPr>
            <w:r>
              <w:rPr>
                <w:noProof/>
              </w:rPr>
              <w:t>205</w:t>
            </w:r>
          </w:p>
        </w:tc>
        <w:tc>
          <w:tcPr>
            <w:tcW w:w="3097" w:type="dxa"/>
            <w:shd w:val="clear" w:color="auto" w:fill="EAF1DD"/>
          </w:tcPr>
          <w:p w14:paraId="203F7A19" w14:textId="77777777" w:rsidR="00FA40E8" w:rsidRDefault="00E74AE8">
            <w:pPr>
              <w:pStyle w:val="P68B1DB1-Normal38"/>
              <w:spacing w:after="0"/>
              <w:rPr>
                <w:noProof/>
                <w:szCs w:val="22"/>
              </w:rPr>
            </w:pPr>
            <w:r>
              <w:rPr>
                <w:noProof/>
              </w:rPr>
              <w:t>H.3.1. Soutien à l’investissement</w:t>
            </w:r>
            <w:r>
              <w:rPr>
                <w:noProof/>
              </w:rPr>
              <w:t xml:space="preserve"> dans les centrales SER (solaire et éolienne terrestre)</w:t>
            </w:r>
          </w:p>
        </w:tc>
        <w:tc>
          <w:tcPr>
            <w:tcW w:w="1629" w:type="dxa"/>
            <w:shd w:val="clear" w:color="auto" w:fill="EAF1DD"/>
          </w:tcPr>
          <w:p w14:paraId="3E3BE108" w14:textId="77777777" w:rsidR="00FA40E8" w:rsidRDefault="00E74AE8">
            <w:pPr>
              <w:pStyle w:val="P68B1DB1-Normal38"/>
              <w:spacing w:after="0"/>
              <w:jc w:val="center"/>
              <w:rPr>
                <w:noProof/>
                <w:szCs w:val="22"/>
              </w:rPr>
            </w:pPr>
            <w:r>
              <w:rPr>
                <w:noProof/>
              </w:rPr>
              <w:t>Étape</w:t>
            </w:r>
          </w:p>
        </w:tc>
        <w:tc>
          <w:tcPr>
            <w:tcW w:w="3755" w:type="dxa"/>
            <w:shd w:val="clear" w:color="auto" w:fill="EAF1DD"/>
          </w:tcPr>
          <w:p w14:paraId="1A34C27B" w14:textId="77777777" w:rsidR="00FA40E8" w:rsidRDefault="00E74AE8">
            <w:pPr>
              <w:pStyle w:val="P68B1DB1-Normal38"/>
              <w:spacing w:after="0"/>
              <w:rPr>
                <w:noProof/>
                <w:szCs w:val="22"/>
              </w:rPr>
            </w:pPr>
            <w:r>
              <w:rPr>
                <w:noProof/>
              </w:rPr>
              <w:t>Publication de l’appel à candidatures par l’institution nationale de développement</w:t>
            </w:r>
          </w:p>
        </w:tc>
      </w:tr>
      <w:tr w:rsidR="00FA40E8" w14:paraId="00441CEB" w14:textId="77777777">
        <w:trPr>
          <w:cantSplit/>
        </w:trPr>
        <w:tc>
          <w:tcPr>
            <w:tcW w:w="1298" w:type="dxa"/>
            <w:shd w:val="clear" w:color="auto" w:fill="EAF1DD"/>
            <w:noWrap/>
            <w:vAlign w:val="center"/>
          </w:tcPr>
          <w:p w14:paraId="5A0BD771" w14:textId="77777777" w:rsidR="00FA40E8" w:rsidRDefault="00FA40E8">
            <w:pPr>
              <w:spacing w:after="0"/>
              <w:jc w:val="center"/>
              <w:rPr>
                <w:rFonts w:ascii="Times New Roman" w:eastAsia="Times New Roman" w:hAnsi="Times New Roman" w:cs="Times New Roman"/>
                <w:noProof/>
                <w:color w:val="000000"/>
                <w:szCs w:val="22"/>
              </w:rPr>
            </w:pPr>
          </w:p>
        </w:tc>
        <w:tc>
          <w:tcPr>
            <w:tcW w:w="3097" w:type="dxa"/>
            <w:shd w:val="clear" w:color="auto" w:fill="EAF1DD"/>
            <w:vAlign w:val="center"/>
          </w:tcPr>
          <w:p w14:paraId="135500AA" w14:textId="77777777" w:rsidR="00FA40E8" w:rsidRDefault="00FA40E8">
            <w:pPr>
              <w:spacing w:after="0"/>
              <w:rPr>
                <w:rFonts w:ascii="Times New Roman" w:eastAsia="Times New Roman" w:hAnsi="Times New Roman" w:cs="Times New Roman"/>
                <w:noProof/>
                <w:color w:val="000000"/>
                <w:szCs w:val="22"/>
              </w:rPr>
            </w:pPr>
          </w:p>
        </w:tc>
        <w:tc>
          <w:tcPr>
            <w:tcW w:w="1629" w:type="dxa"/>
            <w:shd w:val="clear" w:color="auto" w:fill="EAF1DD"/>
            <w:vAlign w:val="center"/>
          </w:tcPr>
          <w:p w14:paraId="3F0741D7" w14:textId="57182E0E" w:rsidR="00FA40E8" w:rsidRDefault="00E74AE8">
            <w:pPr>
              <w:pStyle w:val="P68B1DB1-Normal38"/>
              <w:spacing w:after="0"/>
              <w:jc w:val="center"/>
              <w:rPr>
                <w:noProof/>
                <w:szCs w:val="22"/>
              </w:rPr>
            </w:pPr>
            <w:r>
              <w:rPr>
                <w:noProof/>
              </w:rPr>
              <w:t>Montant de l’acompte</w:t>
            </w:r>
          </w:p>
        </w:tc>
        <w:tc>
          <w:tcPr>
            <w:tcW w:w="3755" w:type="dxa"/>
            <w:shd w:val="clear" w:color="auto" w:fill="EAF1DD"/>
            <w:vAlign w:val="center"/>
          </w:tcPr>
          <w:p w14:paraId="1475A4E8" w14:textId="47529837" w:rsidR="00FA40E8" w:rsidRDefault="00E74AE8">
            <w:pPr>
              <w:spacing w:after="0"/>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themeColor="text1"/>
              </w:rPr>
              <w:t>310</w:t>
            </w:r>
            <w:r>
              <w:rPr>
                <w:rFonts w:ascii="Times New Roman" w:hAnsi="Times New Roman"/>
                <w:noProof/>
                <w:sz w:val="20"/>
              </w:rPr>
              <w:t xml:space="preserve"> </w:t>
            </w:r>
            <w:r>
              <w:rPr>
                <w:rFonts w:ascii="Times New Roman" w:eastAsia="Times New Roman" w:hAnsi="Times New Roman" w:cs="Times New Roman"/>
                <w:noProof/>
                <w:color w:val="000000" w:themeColor="text1"/>
              </w:rPr>
              <w:t>334</w:t>
            </w:r>
            <w:r>
              <w:rPr>
                <w:rFonts w:ascii="Times New Roman" w:hAnsi="Times New Roman"/>
                <w:noProof/>
                <w:sz w:val="20"/>
              </w:rPr>
              <w:t xml:space="preserve"> </w:t>
            </w:r>
            <w:r>
              <w:rPr>
                <w:rFonts w:ascii="Times New Roman" w:eastAsia="Times New Roman" w:hAnsi="Times New Roman" w:cs="Times New Roman"/>
                <w:noProof/>
                <w:color w:val="000000" w:themeColor="text1"/>
              </w:rPr>
              <w:t xml:space="preserve">472 EUR </w:t>
            </w:r>
          </w:p>
        </w:tc>
      </w:tr>
    </w:tbl>
    <w:p w14:paraId="50162588" w14:textId="77777777" w:rsidR="00FA40E8" w:rsidRDefault="00E74AE8">
      <w:pPr>
        <w:pStyle w:val="P68B1DB1-Normal35"/>
        <w:keepNext/>
        <w:keepLines/>
        <w:numPr>
          <w:ilvl w:val="1"/>
          <w:numId w:val="112"/>
        </w:numPr>
        <w:spacing w:before="480" w:line="240" w:lineRule="auto"/>
        <w:jc w:val="both"/>
        <w:rPr>
          <w:noProof/>
        </w:rPr>
      </w:pPr>
      <w:r>
        <w:rPr>
          <w:noProof/>
        </w:rPr>
        <w:t>Troisième tranche (soutien sous forme de prêt):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FA40E8" w14:paraId="30E24262" w14:textId="77777777">
        <w:trPr>
          <w:cantSplit/>
          <w:trHeight w:val="491"/>
          <w:tblHeader/>
        </w:trPr>
        <w:tc>
          <w:tcPr>
            <w:tcW w:w="1298" w:type="dxa"/>
            <w:shd w:val="clear" w:color="auto" w:fill="BDD7EE"/>
            <w:vAlign w:val="center"/>
          </w:tcPr>
          <w:p w14:paraId="7CAABB27" w14:textId="77777777" w:rsidR="00FA40E8" w:rsidRDefault="00E74AE8">
            <w:pPr>
              <w:pStyle w:val="P68B1DB1-Normal37"/>
              <w:spacing w:after="0"/>
              <w:jc w:val="center"/>
              <w:rPr>
                <w:bCs/>
                <w:noProof/>
                <w:szCs w:val="22"/>
              </w:rPr>
            </w:pPr>
            <w:r>
              <w:rPr>
                <w:noProof/>
              </w:rPr>
              <w:t>Numéro séquentiel</w:t>
            </w:r>
          </w:p>
        </w:tc>
        <w:tc>
          <w:tcPr>
            <w:tcW w:w="3097" w:type="dxa"/>
            <w:shd w:val="clear" w:color="auto" w:fill="BDD7EE"/>
            <w:vAlign w:val="center"/>
          </w:tcPr>
          <w:p w14:paraId="3CDAD336" w14:textId="77777777" w:rsidR="00FA40E8" w:rsidRDefault="00E74AE8">
            <w:pPr>
              <w:pStyle w:val="P68B1DB1-Normal37"/>
              <w:spacing w:after="0"/>
              <w:jc w:val="center"/>
              <w:rPr>
                <w:bCs/>
                <w:noProof/>
                <w:szCs w:val="22"/>
              </w:rPr>
            </w:pPr>
            <w:r>
              <w:rPr>
                <w:noProof/>
              </w:rPr>
              <w:t xml:space="preserve">Mesure connexe </w:t>
            </w:r>
            <w:r>
              <w:rPr>
                <w:noProof/>
              </w:rPr>
              <w:br/>
              <w:t>(Réforme ou investissement)</w:t>
            </w:r>
          </w:p>
        </w:tc>
        <w:tc>
          <w:tcPr>
            <w:tcW w:w="1629" w:type="dxa"/>
            <w:shd w:val="clear" w:color="auto" w:fill="BDD7EE"/>
            <w:vAlign w:val="center"/>
          </w:tcPr>
          <w:p w14:paraId="31E584D4" w14:textId="77777777" w:rsidR="00FA40E8" w:rsidRDefault="00E74AE8">
            <w:pPr>
              <w:pStyle w:val="P68B1DB1-Normal37"/>
              <w:spacing w:after="0"/>
              <w:jc w:val="center"/>
              <w:rPr>
                <w:bCs/>
                <w:noProof/>
                <w:szCs w:val="22"/>
              </w:rPr>
            </w:pPr>
            <w:r>
              <w:rPr>
                <w:noProof/>
              </w:rPr>
              <w:t>Étape/cible</w:t>
            </w:r>
          </w:p>
        </w:tc>
        <w:tc>
          <w:tcPr>
            <w:tcW w:w="3755" w:type="dxa"/>
            <w:shd w:val="clear" w:color="auto" w:fill="BDD7EE"/>
            <w:vAlign w:val="center"/>
          </w:tcPr>
          <w:p w14:paraId="4D25740F" w14:textId="77777777" w:rsidR="00FA40E8" w:rsidRDefault="00E74AE8">
            <w:pPr>
              <w:pStyle w:val="P68B1DB1-Normal37"/>
              <w:spacing w:after="0"/>
              <w:jc w:val="center"/>
              <w:rPr>
                <w:bCs/>
                <w:noProof/>
                <w:szCs w:val="22"/>
              </w:rPr>
            </w:pPr>
            <w:r>
              <w:rPr>
                <w:noProof/>
              </w:rPr>
              <w:t>Nom</w:t>
            </w:r>
          </w:p>
        </w:tc>
      </w:tr>
      <w:tr w:rsidR="00FA40E8" w14:paraId="5F8D3A0A" w14:textId="77777777">
        <w:trPr>
          <w:cantSplit/>
        </w:trPr>
        <w:tc>
          <w:tcPr>
            <w:tcW w:w="1298" w:type="dxa"/>
            <w:shd w:val="clear" w:color="auto" w:fill="EAF1DD" w:themeFill="accent3" w:themeFillTint="33"/>
            <w:noWrap/>
            <w:vAlign w:val="center"/>
          </w:tcPr>
          <w:p w14:paraId="731988C2" w14:textId="62D0EB34" w:rsidR="00FA40E8" w:rsidRDefault="00E74AE8">
            <w:pPr>
              <w:pStyle w:val="P68B1DB1-Normal38"/>
              <w:spacing w:after="0"/>
              <w:jc w:val="center"/>
              <w:rPr>
                <w:noProof/>
                <w:szCs w:val="22"/>
              </w:rPr>
            </w:pPr>
            <w:r>
              <w:rPr>
                <w:noProof/>
              </w:rPr>
              <w:t>137b</w:t>
            </w:r>
          </w:p>
        </w:tc>
        <w:tc>
          <w:tcPr>
            <w:tcW w:w="3097" w:type="dxa"/>
            <w:shd w:val="clear" w:color="auto" w:fill="EAF1DD" w:themeFill="accent3" w:themeFillTint="33"/>
          </w:tcPr>
          <w:p w14:paraId="35A06E8B" w14:textId="77777777" w:rsidR="00FA40E8" w:rsidRDefault="00E74AE8">
            <w:pPr>
              <w:pStyle w:val="P68B1DB1-Normal38"/>
              <w:spacing w:after="0"/>
              <w:rPr>
                <w:noProof/>
                <w:szCs w:val="22"/>
              </w:rPr>
            </w:pPr>
            <w:r>
              <w:rPr>
                <w:noProof/>
              </w:rPr>
              <w:t>E.3.1. Prêts aux entreprises pour le développement de technologies vertes et à forte valeur ajoutée pour le développement industriel</w:t>
            </w:r>
          </w:p>
        </w:tc>
        <w:tc>
          <w:tcPr>
            <w:tcW w:w="1629" w:type="dxa"/>
            <w:shd w:val="clear" w:color="auto" w:fill="EAF1DD" w:themeFill="accent3" w:themeFillTint="33"/>
          </w:tcPr>
          <w:p w14:paraId="66BD8BE8" w14:textId="77777777" w:rsidR="00FA40E8" w:rsidRDefault="00E74AE8">
            <w:pPr>
              <w:pStyle w:val="P68B1DB1-Normal38"/>
              <w:spacing w:after="0"/>
              <w:jc w:val="center"/>
              <w:rPr>
                <w:noProof/>
                <w:szCs w:val="22"/>
              </w:rPr>
            </w:pPr>
            <w:r>
              <w:rPr>
                <w:noProof/>
              </w:rPr>
              <w:t>Étape</w:t>
            </w:r>
          </w:p>
        </w:tc>
        <w:tc>
          <w:tcPr>
            <w:tcW w:w="3755" w:type="dxa"/>
            <w:shd w:val="clear" w:color="auto" w:fill="EAF1DD" w:themeFill="accent3" w:themeFillTint="33"/>
          </w:tcPr>
          <w:p w14:paraId="10AD3314" w14:textId="77777777" w:rsidR="00FA40E8" w:rsidRDefault="00E74AE8">
            <w:pPr>
              <w:pStyle w:val="P68B1DB1-Normal38"/>
              <w:spacing w:after="0"/>
              <w:rPr>
                <w:noProof/>
                <w:szCs w:val="22"/>
              </w:rPr>
            </w:pPr>
            <w:r>
              <w:rPr>
                <w:noProof/>
              </w:rPr>
              <w:t xml:space="preserve">Accord de financement (ou modification d’un accord </w:t>
            </w:r>
            <w:r>
              <w:rPr>
                <w:noProof/>
              </w:rPr>
              <w:t>existant relatif à un Fonds de fonds)</w:t>
            </w:r>
          </w:p>
        </w:tc>
      </w:tr>
      <w:tr w:rsidR="00FA40E8" w14:paraId="283EFD88" w14:textId="77777777">
        <w:trPr>
          <w:cantSplit/>
        </w:trPr>
        <w:tc>
          <w:tcPr>
            <w:tcW w:w="1298" w:type="dxa"/>
            <w:shd w:val="clear" w:color="auto" w:fill="EAF1DD" w:themeFill="accent3" w:themeFillTint="33"/>
            <w:noWrap/>
            <w:vAlign w:val="center"/>
          </w:tcPr>
          <w:p w14:paraId="47F87F2E" w14:textId="03DC1C3C" w:rsidR="00FA40E8" w:rsidRDefault="00E74AE8">
            <w:pPr>
              <w:pStyle w:val="P68B1DB1-Normal38"/>
              <w:spacing w:after="0"/>
              <w:jc w:val="center"/>
              <w:rPr>
                <w:noProof/>
                <w:szCs w:val="22"/>
              </w:rPr>
            </w:pPr>
            <w:r>
              <w:rPr>
                <w:noProof/>
              </w:rPr>
              <w:t>137c</w:t>
            </w:r>
          </w:p>
        </w:tc>
        <w:tc>
          <w:tcPr>
            <w:tcW w:w="3097" w:type="dxa"/>
            <w:shd w:val="clear" w:color="auto" w:fill="EAF1DD" w:themeFill="accent3" w:themeFillTint="33"/>
          </w:tcPr>
          <w:p w14:paraId="2333D09E" w14:textId="77777777" w:rsidR="00FA40E8" w:rsidRDefault="00E74AE8">
            <w:pPr>
              <w:pStyle w:val="P68B1DB1-Normal38"/>
              <w:spacing w:after="0"/>
              <w:rPr>
                <w:noProof/>
                <w:szCs w:val="22"/>
              </w:rPr>
            </w:pPr>
            <w:r>
              <w:rPr>
                <w:noProof/>
              </w:rPr>
              <w:t>E.3.1. Prêts aux entreprises pour le développement de technologies vertes et à forte valeur ajoutée pour le développement industriel</w:t>
            </w:r>
          </w:p>
        </w:tc>
        <w:tc>
          <w:tcPr>
            <w:tcW w:w="1629" w:type="dxa"/>
            <w:shd w:val="clear" w:color="auto" w:fill="EAF1DD" w:themeFill="accent3" w:themeFillTint="33"/>
          </w:tcPr>
          <w:p w14:paraId="15D70D20" w14:textId="01823389" w:rsidR="00FA40E8" w:rsidRDefault="00E74AE8">
            <w:pPr>
              <w:pStyle w:val="P68B1DB1-Normal38"/>
              <w:spacing w:after="0"/>
              <w:jc w:val="center"/>
              <w:rPr>
                <w:noProof/>
                <w:szCs w:val="22"/>
              </w:rPr>
            </w:pPr>
            <w:r>
              <w:rPr>
                <w:noProof/>
              </w:rPr>
              <w:t>Étape</w:t>
            </w:r>
          </w:p>
        </w:tc>
        <w:tc>
          <w:tcPr>
            <w:tcW w:w="3755" w:type="dxa"/>
            <w:shd w:val="clear" w:color="auto" w:fill="EAF1DD" w:themeFill="accent3" w:themeFillTint="33"/>
          </w:tcPr>
          <w:p w14:paraId="761F424A" w14:textId="77777777" w:rsidR="00FA40E8" w:rsidRDefault="00E74AE8">
            <w:pPr>
              <w:pStyle w:val="P68B1DB1-Normal38"/>
              <w:spacing w:after="0"/>
              <w:rPr>
                <w:noProof/>
                <w:szCs w:val="22"/>
              </w:rPr>
            </w:pPr>
            <w:r>
              <w:rPr>
                <w:noProof/>
              </w:rPr>
              <w:t>Publication de l’appel à candidatures par INVEGA</w:t>
            </w:r>
          </w:p>
        </w:tc>
      </w:tr>
      <w:tr w:rsidR="00FA40E8" w14:paraId="603E6687" w14:textId="77777777">
        <w:trPr>
          <w:cantSplit/>
        </w:trPr>
        <w:tc>
          <w:tcPr>
            <w:tcW w:w="1298" w:type="dxa"/>
            <w:shd w:val="clear" w:color="auto" w:fill="EAF1DD" w:themeFill="accent3" w:themeFillTint="33"/>
            <w:noWrap/>
            <w:vAlign w:val="center"/>
          </w:tcPr>
          <w:p w14:paraId="13910C92" w14:textId="2E33E451" w:rsidR="00FA40E8" w:rsidRDefault="00E74AE8">
            <w:pPr>
              <w:pStyle w:val="P68B1DB1-Normal38"/>
              <w:spacing w:after="0"/>
              <w:jc w:val="center"/>
              <w:rPr>
                <w:noProof/>
                <w:szCs w:val="22"/>
              </w:rPr>
            </w:pPr>
            <w:r>
              <w:rPr>
                <w:noProof/>
              </w:rPr>
              <w:t>137D</w:t>
            </w:r>
          </w:p>
        </w:tc>
        <w:tc>
          <w:tcPr>
            <w:tcW w:w="3097" w:type="dxa"/>
            <w:shd w:val="clear" w:color="auto" w:fill="EAF1DD" w:themeFill="accent3" w:themeFillTint="33"/>
          </w:tcPr>
          <w:p w14:paraId="3E9BFF6D" w14:textId="77777777" w:rsidR="00FA40E8" w:rsidRDefault="00E74AE8">
            <w:pPr>
              <w:pStyle w:val="P68B1DB1-Normal38"/>
              <w:spacing w:after="0"/>
              <w:rPr>
                <w:noProof/>
                <w:szCs w:val="22"/>
              </w:rPr>
            </w:pPr>
            <w:r>
              <w:rPr>
                <w:noProof/>
              </w:rPr>
              <w:t xml:space="preserve">E.3.1. Prêts aux </w:t>
            </w:r>
            <w:r>
              <w:rPr>
                <w:noProof/>
              </w:rPr>
              <w:t>entreprises pour le développement de technologies vertes et à forte valeur ajoutée pour le développement industriel</w:t>
            </w:r>
          </w:p>
        </w:tc>
        <w:tc>
          <w:tcPr>
            <w:tcW w:w="1629" w:type="dxa"/>
            <w:shd w:val="clear" w:color="auto" w:fill="EAF1DD" w:themeFill="accent3" w:themeFillTint="33"/>
          </w:tcPr>
          <w:p w14:paraId="01A2CFE5" w14:textId="77777777" w:rsidR="00FA40E8" w:rsidRDefault="00E74AE8">
            <w:pPr>
              <w:pStyle w:val="P68B1DB1-Normal38"/>
              <w:spacing w:after="0"/>
              <w:jc w:val="center"/>
              <w:rPr>
                <w:noProof/>
                <w:szCs w:val="22"/>
              </w:rPr>
            </w:pPr>
            <w:r>
              <w:rPr>
                <w:noProof/>
              </w:rPr>
              <w:t>Objectif</w:t>
            </w:r>
          </w:p>
        </w:tc>
        <w:tc>
          <w:tcPr>
            <w:tcW w:w="3755" w:type="dxa"/>
            <w:shd w:val="clear" w:color="auto" w:fill="EAF1DD" w:themeFill="accent3" w:themeFillTint="33"/>
          </w:tcPr>
          <w:p w14:paraId="5E0E28C1" w14:textId="77777777" w:rsidR="00FA40E8" w:rsidRDefault="00E74AE8">
            <w:pPr>
              <w:pStyle w:val="P68B1DB1-Normal38"/>
              <w:spacing w:after="0"/>
              <w:rPr>
                <w:noProof/>
                <w:szCs w:val="22"/>
              </w:rPr>
            </w:pPr>
            <w:r>
              <w:rPr>
                <w:noProof/>
              </w:rPr>
              <w:t>Accords juridiques signés avec les bénéficiaires finaux</w:t>
            </w:r>
          </w:p>
        </w:tc>
      </w:tr>
      <w:tr w:rsidR="00FA40E8" w14:paraId="6147C0AA" w14:textId="77777777">
        <w:trPr>
          <w:cantSplit/>
        </w:trPr>
        <w:tc>
          <w:tcPr>
            <w:tcW w:w="1298" w:type="dxa"/>
            <w:shd w:val="clear" w:color="auto" w:fill="EAF1DD" w:themeFill="accent3" w:themeFillTint="33"/>
            <w:noWrap/>
            <w:vAlign w:val="center"/>
          </w:tcPr>
          <w:p w14:paraId="54F03C5B" w14:textId="17CACBF3" w:rsidR="00FA40E8" w:rsidRDefault="00E74AE8">
            <w:pPr>
              <w:pStyle w:val="P68B1DB1-Normal38"/>
              <w:spacing w:after="0"/>
              <w:jc w:val="center"/>
              <w:rPr>
                <w:noProof/>
                <w:szCs w:val="22"/>
              </w:rPr>
            </w:pPr>
            <w:r>
              <w:rPr>
                <w:noProof/>
              </w:rPr>
              <w:t>180D</w:t>
            </w:r>
          </w:p>
        </w:tc>
        <w:tc>
          <w:tcPr>
            <w:tcW w:w="3097" w:type="dxa"/>
            <w:shd w:val="clear" w:color="auto" w:fill="EAF1DD" w:themeFill="accent3" w:themeFillTint="33"/>
          </w:tcPr>
          <w:p w14:paraId="1F485DCE" w14:textId="77777777" w:rsidR="00FA40E8" w:rsidRDefault="00E74AE8">
            <w:pPr>
              <w:pStyle w:val="P68B1DB1-Normal38"/>
              <w:spacing w:after="0"/>
              <w:rPr>
                <w:noProof/>
                <w:szCs w:val="22"/>
              </w:rPr>
            </w:pPr>
            <w:r>
              <w:rPr>
                <w:noProof/>
              </w:rPr>
              <w:t xml:space="preserve">F.3.2. Capitalisation et résilience financière de l’institution </w:t>
            </w:r>
            <w:r>
              <w:rPr>
                <w:noProof/>
              </w:rPr>
              <w:t>nationale de développement</w:t>
            </w:r>
          </w:p>
        </w:tc>
        <w:tc>
          <w:tcPr>
            <w:tcW w:w="1629" w:type="dxa"/>
            <w:shd w:val="clear" w:color="auto" w:fill="EAF1DD" w:themeFill="accent3" w:themeFillTint="33"/>
          </w:tcPr>
          <w:p w14:paraId="36436D25" w14:textId="77777777" w:rsidR="00FA40E8" w:rsidRDefault="00E74AE8">
            <w:pPr>
              <w:pStyle w:val="P68B1DB1-Normal38"/>
              <w:spacing w:after="0"/>
              <w:jc w:val="center"/>
              <w:rPr>
                <w:noProof/>
                <w:szCs w:val="22"/>
              </w:rPr>
            </w:pPr>
            <w:r>
              <w:rPr>
                <w:noProof/>
              </w:rPr>
              <w:t>Étape</w:t>
            </w:r>
          </w:p>
        </w:tc>
        <w:tc>
          <w:tcPr>
            <w:tcW w:w="3755" w:type="dxa"/>
            <w:shd w:val="clear" w:color="auto" w:fill="EAF1DD" w:themeFill="accent3" w:themeFillTint="33"/>
          </w:tcPr>
          <w:p w14:paraId="53BEFEF4" w14:textId="77777777" w:rsidR="00FA40E8" w:rsidRDefault="00E74AE8">
            <w:pPr>
              <w:pStyle w:val="P68B1DB1-Normal38"/>
              <w:spacing w:after="0"/>
              <w:rPr>
                <w:noProof/>
                <w:szCs w:val="22"/>
              </w:rPr>
            </w:pPr>
            <w:r>
              <w:rPr>
                <w:noProof/>
              </w:rPr>
              <w:t>Politique d’investissement pour INVEGA</w:t>
            </w:r>
          </w:p>
        </w:tc>
      </w:tr>
      <w:tr w:rsidR="00FA40E8" w14:paraId="57371EAA" w14:textId="77777777">
        <w:trPr>
          <w:cantSplit/>
        </w:trPr>
        <w:tc>
          <w:tcPr>
            <w:tcW w:w="1298" w:type="dxa"/>
            <w:shd w:val="clear" w:color="auto" w:fill="EAF1DD" w:themeFill="accent3" w:themeFillTint="33"/>
            <w:noWrap/>
            <w:vAlign w:val="center"/>
          </w:tcPr>
          <w:p w14:paraId="18B7146C" w14:textId="59FED88E" w:rsidR="00FA40E8" w:rsidRDefault="00E74AE8">
            <w:pPr>
              <w:pStyle w:val="P68B1DB1-Normal38"/>
              <w:spacing w:after="0"/>
              <w:jc w:val="center"/>
              <w:rPr>
                <w:noProof/>
                <w:szCs w:val="22"/>
              </w:rPr>
            </w:pPr>
            <w:r>
              <w:rPr>
                <w:noProof/>
              </w:rPr>
              <w:t>206</w:t>
            </w:r>
          </w:p>
        </w:tc>
        <w:tc>
          <w:tcPr>
            <w:tcW w:w="3097" w:type="dxa"/>
            <w:shd w:val="clear" w:color="auto" w:fill="EAF1DD" w:themeFill="accent3" w:themeFillTint="33"/>
          </w:tcPr>
          <w:p w14:paraId="429744D5" w14:textId="77777777" w:rsidR="00FA40E8" w:rsidRDefault="00E74AE8">
            <w:pPr>
              <w:pStyle w:val="P68B1DB1-Normal38"/>
              <w:spacing w:after="0"/>
              <w:rPr>
                <w:noProof/>
                <w:szCs w:val="22"/>
              </w:rPr>
            </w:pPr>
            <w:r>
              <w:rPr>
                <w:noProof/>
              </w:rPr>
              <w:t>H.3.1. Soutien à l’investissement dans les centrales SER (solaire et éolienne terrestre)</w:t>
            </w:r>
          </w:p>
        </w:tc>
        <w:tc>
          <w:tcPr>
            <w:tcW w:w="1629" w:type="dxa"/>
            <w:shd w:val="clear" w:color="auto" w:fill="EAF1DD" w:themeFill="accent3" w:themeFillTint="33"/>
          </w:tcPr>
          <w:p w14:paraId="403871CD" w14:textId="77777777" w:rsidR="00FA40E8" w:rsidRDefault="00E74AE8">
            <w:pPr>
              <w:pStyle w:val="P68B1DB1-Normal39"/>
              <w:spacing w:after="0"/>
              <w:jc w:val="center"/>
              <w:rPr>
                <w:noProof/>
                <w:color w:val="000000"/>
                <w:szCs w:val="22"/>
              </w:rPr>
            </w:pPr>
            <w:r>
              <w:rPr>
                <w:noProof/>
              </w:rPr>
              <w:t>Objectif</w:t>
            </w:r>
          </w:p>
        </w:tc>
        <w:tc>
          <w:tcPr>
            <w:tcW w:w="3755" w:type="dxa"/>
            <w:shd w:val="clear" w:color="auto" w:fill="EAF1DD" w:themeFill="accent3" w:themeFillTint="33"/>
          </w:tcPr>
          <w:p w14:paraId="507297D1" w14:textId="77777777" w:rsidR="00FA40E8" w:rsidRDefault="00E74AE8">
            <w:pPr>
              <w:pStyle w:val="P68B1DB1-Normal38"/>
              <w:spacing w:after="0"/>
              <w:rPr>
                <w:noProof/>
                <w:szCs w:val="22"/>
              </w:rPr>
            </w:pPr>
            <w:r>
              <w:rPr>
                <w:noProof/>
              </w:rPr>
              <w:t>Accords juridiques signés avec les bénéficiaires finaux</w:t>
            </w:r>
          </w:p>
        </w:tc>
      </w:tr>
      <w:tr w:rsidR="00FA40E8" w14:paraId="18EA879D" w14:textId="77777777">
        <w:trPr>
          <w:cantSplit/>
        </w:trPr>
        <w:tc>
          <w:tcPr>
            <w:tcW w:w="1298" w:type="dxa"/>
            <w:shd w:val="clear" w:color="auto" w:fill="EAF1DD" w:themeFill="accent3" w:themeFillTint="33"/>
            <w:noWrap/>
            <w:vAlign w:val="center"/>
          </w:tcPr>
          <w:p w14:paraId="78A0559E" w14:textId="20C6B108" w:rsidR="00FA40E8" w:rsidRDefault="00FA40E8">
            <w:pPr>
              <w:spacing w:after="0"/>
              <w:jc w:val="center"/>
              <w:rPr>
                <w:rFonts w:ascii="Times New Roman" w:eastAsia="Times New Roman" w:hAnsi="Times New Roman" w:cs="Times New Roman"/>
                <w:noProof/>
                <w:color w:val="000000"/>
                <w:szCs w:val="22"/>
              </w:rPr>
            </w:pPr>
          </w:p>
        </w:tc>
        <w:tc>
          <w:tcPr>
            <w:tcW w:w="3097" w:type="dxa"/>
            <w:shd w:val="clear" w:color="auto" w:fill="EAF1DD" w:themeFill="accent3" w:themeFillTint="33"/>
            <w:vAlign w:val="center"/>
          </w:tcPr>
          <w:p w14:paraId="3A0183E3" w14:textId="77777777" w:rsidR="00FA40E8" w:rsidRDefault="00E74AE8">
            <w:pPr>
              <w:pStyle w:val="P68B1DB1-Normal38"/>
              <w:spacing w:after="0"/>
              <w:rPr>
                <w:noProof/>
                <w:szCs w:val="22"/>
              </w:rPr>
            </w:pPr>
            <w:r>
              <w:rPr>
                <w:noProof/>
              </w:rPr>
              <w:t xml:space="preserve"> </w:t>
            </w:r>
          </w:p>
        </w:tc>
        <w:tc>
          <w:tcPr>
            <w:tcW w:w="1629" w:type="dxa"/>
            <w:shd w:val="clear" w:color="auto" w:fill="EAF1DD" w:themeFill="accent3" w:themeFillTint="33"/>
            <w:vAlign w:val="center"/>
          </w:tcPr>
          <w:p w14:paraId="672D6E1C" w14:textId="7AFFC803" w:rsidR="00FA40E8" w:rsidRDefault="00E74AE8">
            <w:pPr>
              <w:pStyle w:val="P68B1DB1-Normal38"/>
              <w:spacing w:after="0"/>
              <w:jc w:val="center"/>
              <w:rPr>
                <w:noProof/>
                <w:szCs w:val="22"/>
              </w:rPr>
            </w:pPr>
            <w:r>
              <w:rPr>
                <w:noProof/>
              </w:rPr>
              <w:t>Montant de l’acompte</w:t>
            </w:r>
          </w:p>
        </w:tc>
        <w:tc>
          <w:tcPr>
            <w:tcW w:w="3755" w:type="dxa"/>
            <w:shd w:val="clear" w:color="auto" w:fill="EAF1DD" w:themeFill="accent3" w:themeFillTint="33"/>
            <w:vAlign w:val="center"/>
          </w:tcPr>
          <w:p w14:paraId="54E60F6C" w14:textId="76CC6BE3" w:rsidR="00FA40E8" w:rsidRDefault="00E74AE8">
            <w:pPr>
              <w:spacing w:after="0"/>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387</w:t>
            </w:r>
            <w:r>
              <w:rPr>
                <w:rFonts w:ascii="Times New Roman" w:hAnsi="Times New Roman"/>
                <w:noProof/>
                <w:sz w:val="20"/>
              </w:rPr>
              <w:t xml:space="preserve"> </w:t>
            </w:r>
            <w:r>
              <w:rPr>
                <w:rFonts w:ascii="Times New Roman" w:eastAsia="Times New Roman" w:hAnsi="Times New Roman" w:cs="Times New Roman"/>
                <w:noProof/>
                <w:color w:val="000000" w:themeColor="text1"/>
              </w:rPr>
              <w:t>918</w:t>
            </w:r>
            <w:r>
              <w:rPr>
                <w:rFonts w:ascii="Times New Roman" w:hAnsi="Times New Roman"/>
                <w:noProof/>
                <w:sz w:val="20"/>
              </w:rPr>
              <w:t xml:space="preserve"> </w:t>
            </w:r>
            <w:r>
              <w:rPr>
                <w:rFonts w:ascii="Times New Roman" w:eastAsia="Times New Roman" w:hAnsi="Times New Roman" w:cs="Times New Roman"/>
                <w:noProof/>
                <w:color w:val="000000" w:themeColor="text1"/>
              </w:rPr>
              <w:t>089 EUR</w:t>
            </w:r>
          </w:p>
        </w:tc>
      </w:tr>
    </w:tbl>
    <w:p w14:paraId="786162A8" w14:textId="77777777" w:rsidR="00FA40E8" w:rsidRDefault="00E74AE8">
      <w:pPr>
        <w:pStyle w:val="P68B1DB1-Normal35"/>
        <w:keepNext/>
        <w:keepLines/>
        <w:numPr>
          <w:ilvl w:val="1"/>
          <w:numId w:val="112"/>
        </w:numPr>
        <w:spacing w:before="480" w:line="240" w:lineRule="auto"/>
        <w:jc w:val="both"/>
        <w:rPr>
          <w:noProof/>
        </w:rPr>
      </w:pPr>
      <w:r>
        <w:rPr>
          <w:noProof/>
        </w:rPr>
        <w:t>Quatrième tranche (soutien sous forme de prêt):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FA40E8" w14:paraId="472F7E17" w14:textId="77777777">
        <w:trPr>
          <w:cantSplit/>
          <w:trHeight w:val="491"/>
          <w:tblHeader/>
        </w:trPr>
        <w:tc>
          <w:tcPr>
            <w:tcW w:w="1298" w:type="dxa"/>
            <w:shd w:val="clear" w:color="auto" w:fill="BDD7EE"/>
            <w:vAlign w:val="center"/>
          </w:tcPr>
          <w:p w14:paraId="4B12B1F4" w14:textId="77777777" w:rsidR="00FA40E8" w:rsidRDefault="00E74AE8">
            <w:pPr>
              <w:pStyle w:val="P68B1DB1-Normal37"/>
              <w:spacing w:after="0"/>
              <w:jc w:val="center"/>
              <w:rPr>
                <w:bCs/>
                <w:noProof/>
                <w:szCs w:val="22"/>
              </w:rPr>
            </w:pPr>
            <w:r>
              <w:rPr>
                <w:noProof/>
              </w:rPr>
              <w:t>Numéro séquentiel</w:t>
            </w:r>
          </w:p>
        </w:tc>
        <w:tc>
          <w:tcPr>
            <w:tcW w:w="3097" w:type="dxa"/>
            <w:shd w:val="clear" w:color="auto" w:fill="BDD7EE"/>
            <w:vAlign w:val="center"/>
          </w:tcPr>
          <w:p w14:paraId="2741BF46" w14:textId="77777777" w:rsidR="00FA40E8" w:rsidRDefault="00E74AE8">
            <w:pPr>
              <w:pStyle w:val="P68B1DB1-Normal37"/>
              <w:spacing w:after="0"/>
              <w:jc w:val="center"/>
              <w:rPr>
                <w:bCs/>
                <w:noProof/>
                <w:szCs w:val="22"/>
              </w:rPr>
            </w:pPr>
            <w:r>
              <w:rPr>
                <w:noProof/>
              </w:rPr>
              <w:t xml:space="preserve">Mesure connexe </w:t>
            </w:r>
            <w:r>
              <w:rPr>
                <w:noProof/>
              </w:rPr>
              <w:br/>
              <w:t>(Réforme ou investissement)</w:t>
            </w:r>
          </w:p>
        </w:tc>
        <w:tc>
          <w:tcPr>
            <w:tcW w:w="1629" w:type="dxa"/>
            <w:shd w:val="clear" w:color="auto" w:fill="BDD7EE"/>
            <w:vAlign w:val="center"/>
          </w:tcPr>
          <w:p w14:paraId="2053ADE8" w14:textId="77777777" w:rsidR="00FA40E8" w:rsidRDefault="00E74AE8">
            <w:pPr>
              <w:pStyle w:val="P68B1DB1-Normal37"/>
              <w:spacing w:after="0"/>
              <w:jc w:val="center"/>
              <w:rPr>
                <w:bCs/>
                <w:noProof/>
                <w:szCs w:val="22"/>
              </w:rPr>
            </w:pPr>
            <w:r>
              <w:rPr>
                <w:noProof/>
              </w:rPr>
              <w:t>Étape/cible</w:t>
            </w:r>
          </w:p>
        </w:tc>
        <w:tc>
          <w:tcPr>
            <w:tcW w:w="3755" w:type="dxa"/>
            <w:shd w:val="clear" w:color="auto" w:fill="BDD7EE"/>
            <w:vAlign w:val="center"/>
          </w:tcPr>
          <w:p w14:paraId="45437014" w14:textId="77777777" w:rsidR="00FA40E8" w:rsidRDefault="00E74AE8">
            <w:pPr>
              <w:pStyle w:val="P68B1DB1-Normal37"/>
              <w:spacing w:after="0"/>
              <w:jc w:val="center"/>
              <w:rPr>
                <w:bCs/>
                <w:noProof/>
                <w:szCs w:val="22"/>
              </w:rPr>
            </w:pPr>
            <w:r>
              <w:rPr>
                <w:noProof/>
              </w:rPr>
              <w:t>Nom</w:t>
            </w:r>
          </w:p>
        </w:tc>
      </w:tr>
      <w:tr w:rsidR="00FA40E8" w14:paraId="25AF4BC2" w14:textId="77777777">
        <w:trPr>
          <w:cantSplit/>
        </w:trPr>
        <w:tc>
          <w:tcPr>
            <w:tcW w:w="1298" w:type="dxa"/>
            <w:shd w:val="clear" w:color="auto" w:fill="EAF1DD" w:themeFill="accent3" w:themeFillTint="33"/>
            <w:noWrap/>
            <w:vAlign w:val="center"/>
          </w:tcPr>
          <w:p w14:paraId="0405157F" w14:textId="680E2BDB" w:rsidR="00FA40E8" w:rsidRDefault="00E74AE8">
            <w:pPr>
              <w:pStyle w:val="P68B1DB1-Normal38"/>
              <w:spacing w:after="0"/>
              <w:jc w:val="center"/>
              <w:rPr>
                <w:noProof/>
                <w:szCs w:val="22"/>
              </w:rPr>
            </w:pPr>
            <w:r>
              <w:rPr>
                <w:noProof/>
              </w:rPr>
              <w:t>180b</w:t>
            </w:r>
          </w:p>
        </w:tc>
        <w:tc>
          <w:tcPr>
            <w:tcW w:w="3097" w:type="dxa"/>
            <w:shd w:val="clear" w:color="auto" w:fill="EAF1DD" w:themeFill="accent3" w:themeFillTint="33"/>
          </w:tcPr>
          <w:p w14:paraId="52165425" w14:textId="14A077A1" w:rsidR="00FA40E8" w:rsidRDefault="00E74AE8">
            <w:pPr>
              <w:pStyle w:val="P68B1DB1-Normal38"/>
              <w:spacing w:after="0"/>
              <w:rPr>
                <w:noProof/>
                <w:szCs w:val="22"/>
              </w:rPr>
            </w:pPr>
            <w:r>
              <w:rPr>
                <w:noProof/>
              </w:rPr>
              <w:t>F.3.1. Accroître le recours aux marchés publics centralisés</w:t>
            </w:r>
          </w:p>
        </w:tc>
        <w:tc>
          <w:tcPr>
            <w:tcW w:w="1629" w:type="dxa"/>
            <w:shd w:val="clear" w:color="auto" w:fill="EAF1DD" w:themeFill="accent3" w:themeFillTint="33"/>
          </w:tcPr>
          <w:p w14:paraId="3DA6F352" w14:textId="77777777" w:rsidR="00FA40E8" w:rsidRDefault="00E74AE8">
            <w:pPr>
              <w:pStyle w:val="P68B1DB1-Normal38"/>
              <w:spacing w:after="0"/>
              <w:jc w:val="center"/>
              <w:rPr>
                <w:noProof/>
                <w:szCs w:val="22"/>
              </w:rPr>
            </w:pPr>
            <w:r>
              <w:rPr>
                <w:noProof/>
              </w:rPr>
              <w:t>Objectif</w:t>
            </w:r>
          </w:p>
        </w:tc>
        <w:tc>
          <w:tcPr>
            <w:tcW w:w="3755" w:type="dxa"/>
            <w:shd w:val="clear" w:color="auto" w:fill="EAF1DD" w:themeFill="accent3" w:themeFillTint="33"/>
          </w:tcPr>
          <w:p w14:paraId="48D16F80" w14:textId="77777777" w:rsidR="00FA40E8" w:rsidRDefault="00E74AE8">
            <w:pPr>
              <w:pStyle w:val="P68B1DB1-Normal38"/>
              <w:spacing w:after="0"/>
              <w:rPr>
                <w:noProof/>
                <w:szCs w:val="22"/>
              </w:rPr>
            </w:pPr>
            <w:r>
              <w:rPr>
                <w:noProof/>
              </w:rPr>
              <w:t xml:space="preserve">Extension du catalogue de </w:t>
            </w:r>
            <w:r>
              <w:rPr>
                <w:noProof/>
              </w:rPr>
              <w:t>l’organisation centrale d’achat (HPB LT)</w:t>
            </w:r>
          </w:p>
        </w:tc>
      </w:tr>
      <w:tr w:rsidR="00FA40E8" w14:paraId="60D30C02" w14:textId="77777777">
        <w:trPr>
          <w:cantSplit/>
        </w:trPr>
        <w:tc>
          <w:tcPr>
            <w:tcW w:w="1298" w:type="dxa"/>
            <w:shd w:val="clear" w:color="auto" w:fill="EAF1DD" w:themeFill="accent3" w:themeFillTint="33"/>
            <w:noWrap/>
            <w:vAlign w:val="center"/>
          </w:tcPr>
          <w:p w14:paraId="50FA052D" w14:textId="02B5703E" w:rsidR="00FA40E8" w:rsidRDefault="00E74AE8">
            <w:pPr>
              <w:pStyle w:val="P68B1DB1-Normal38"/>
              <w:spacing w:after="0"/>
              <w:jc w:val="center"/>
              <w:rPr>
                <w:noProof/>
                <w:szCs w:val="22"/>
              </w:rPr>
            </w:pPr>
            <w:r>
              <w:rPr>
                <w:noProof/>
              </w:rPr>
              <w:t>193</w:t>
            </w:r>
          </w:p>
        </w:tc>
        <w:tc>
          <w:tcPr>
            <w:tcW w:w="3097" w:type="dxa"/>
            <w:shd w:val="clear" w:color="auto" w:fill="EAF1DD" w:themeFill="accent3" w:themeFillTint="33"/>
          </w:tcPr>
          <w:p w14:paraId="22A575ED" w14:textId="77777777" w:rsidR="00FA40E8" w:rsidRDefault="00E74AE8">
            <w:pPr>
              <w:pStyle w:val="P68B1DB1-Normal38"/>
              <w:spacing w:after="0"/>
              <w:rPr>
                <w:noProof/>
              </w:rPr>
            </w:pPr>
            <w:r>
              <w:rPr>
                <w:noProof/>
              </w:rPr>
              <w:t xml:space="preserve">G.3.1. Améliorer la qualité des services sociaux et des services de l’emploi — G.3.1.1 Accroître l’intégration des services de l’emploi, des services sociaux et des autres services </w:t>
            </w:r>
          </w:p>
        </w:tc>
        <w:tc>
          <w:tcPr>
            <w:tcW w:w="1629" w:type="dxa"/>
            <w:shd w:val="clear" w:color="auto" w:fill="EAF1DD" w:themeFill="accent3" w:themeFillTint="33"/>
          </w:tcPr>
          <w:p w14:paraId="40A9D220" w14:textId="77777777" w:rsidR="00FA40E8" w:rsidRDefault="00E74AE8">
            <w:pPr>
              <w:pStyle w:val="P68B1DB1-Normal38"/>
              <w:spacing w:after="0"/>
              <w:jc w:val="center"/>
              <w:rPr>
                <w:noProof/>
                <w:szCs w:val="22"/>
              </w:rPr>
            </w:pPr>
            <w:r>
              <w:rPr>
                <w:noProof/>
              </w:rPr>
              <w:t>Objectif</w:t>
            </w:r>
          </w:p>
        </w:tc>
        <w:tc>
          <w:tcPr>
            <w:tcW w:w="3755" w:type="dxa"/>
            <w:shd w:val="clear" w:color="auto" w:fill="EAF1DD" w:themeFill="accent3" w:themeFillTint="33"/>
          </w:tcPr>
          <w:p w14:paraId="4DEEE4F9" w14:textId="673BF4D0" w:rsidR="00FA40E8" w:rsidRDefault="00E74AE8">
            <w:pPr>
              <w:pStyle w:val="P68B1DB1-Normal38"/>
              <w:spacing w:after="0"/>
              <w:rPr>
                <w:noProof/>
                <w:szCs w:val="22"/>
              </w:rPr>
            </w:pPr>
            <w:r>
              <w:rPr>
                <w:noProof/>
              </w:rPr>
              <w:t xml:space="preserve">Approbation des </w:t>
            </w:r>
            <w:r>
              <w:rPr>
                <w:noProof/>
              </w:rPr>
              <w:t>programmes d’amélioration de l’emploi par les municipalités</w:t>
            </w:r>
          </w:p>
        </w:tc>
      </w:tr>
      <w:tr w:rsidR="00FA40E8" w14:paraId="5833053E" w14:textId="77777777">
        <w:trPr>
          <w:cantSplit/>
        </w:trPr>
        <w:tc>
          <w:tcPr>
            <w:tcW w:w="1298" w:type="dxa"/>
            <w:shd w:val="clear" w:color="auto" w:fill="EAF1DD" w:themeFill="accent3" w:themeFillTint="33"/>
            <w:noWrap/>
            <w:vAlign w:val="center"/>
          </w:tcPr>
          <w:p w14:paraId="1B80839E" w14:textId="059F9B6C" w:rsidR="00FA40E8" w:rsidRDefault="00E74AE8">
            <w:pPr>
              <w:pStyle w:val="P68B1DB1-Normal38"/>
              <w:spacing w:after="0"/>
              <w:jc w:val="center"/>
              <w:rPr>
                <w:noProof/>
                <w:szCs w:val="22"/>
              </w:rPr>
            </w:pPr>
            <w:r>
              <w:rPr>
                <w:noProof/>
              </w:rPr>
              <w:t>137e</w:t>
            </w:r>
          </w:p>
        </w:tc>
        <w:tc>
          <w:tcPr>
            <w:tcW w:w="3097" w:type="dxa"/>
            <w:shd w:val="clear" w:color="auto" w:fill="EAF1DD" w:themeFill="accent3" w:themeFillTint="33"/>
          </w:tcPr>
          <w:p w14:paraId="2C46048A" w14:textId="77777777" w:rsidR="00FA40E8" w:rsidRDefault="00E74AE8">
            <w:pPr>
              <w:pStyle w:val="P68B1DB1-Normal38"/>
              <w:spacing w:after="0"/>
              <w:rPr>
                <w:noProof/>
                <w:szCs w:val="22"/>
              </w:rPr>
            </w:pPr>
            <w:r>
              <w:rPr>
                <w:noProof/>
              </w:rPr>
              <w:t>E.3.1. Prêts aux entreprises pour le développement de technologies vertes et à forte valeur ajoutée pour le développement industriel</w:t>
            </w:r>
          </w:p>
        </w:tc>
        <w:tc>
          <w:tcPr>
            <w:tcW w:w="1629" w:type="dxa"/>
            <w:shd w:val="clear" w:color="auto" w:fill="EAF1DD" w:themeFill="accent3" w:themeFillTint="33"/>
          </w:tcPr>
          <w:p w14:paraId="1528E832" w14:textId="77777777" w:rsidR="00FA40E8" w:rsidRDefault="00E74AE8">
            <w:pPr>
              <w:pStyle w:val="P68B1DB1-Normal38"/>
              <w:spacing w:after="0"/>
              <w:jc w:val="center"/>
              <w:rPr>
                <w:noProof/>
                <w:szCs w:val="22"/>
              </w:rPr>
            </w:pPr>
            <w:r>
              <w:rPr>
                <w:noProof/>
              </w:rPr>
              <w:t>Objectif</w:t>
            </w:r>
          </w:p>
        </w:tc>
        <w:tc>
          <w:tcPr>
            <w:tcW w:w="3755" w:type="dxa"/>
            <w:shd w:val="clear" w:color="auto" w:fill="EAF1DD" w:themeFill="accent3" w:themeFillTint="33"/>
          </w:tcPr>
          <w:p w14:paraId="5D607345" w14:textId="77777777" w:rsidR="00FA40E8" w:rsidRDefault="00E74AE8">
            <w:pPr>
              <w:pStyle w:val="P68B1DB1-Normal38"/>
              <w:spacing w:after="0"/>
              <w:rPr>
                <w:noProof/>
                <w:szCs w:val="22"/>
              </w:rPr>
            </w:pPr>
            <w:r>
              <w:rPr>
                <w:noProof/>
              </w:rPr>
              <w:t>Accords juridiques signés avec les bénéficiaires</w:t>
            </w:r>
            <w:r>
              <w:rPr>
                <w:noProof/>
              </w:rPr>
              <w:t xml:space="preserve"> finaux</w:t>
            </w:r>
          </w:p>
        </w:tc>
      </w:tr>
      <w:tr w:rsidR="00FA40E8" w14:paraId="31645C22" w14:textId="77777777">
        <w:trPr>
          <w:cantSplit/>
        </w:trPr>
        <w:tc>
          <w:tcPr>
            <w:tcW w:w="1298" w:type="dxa"/>
            <w:shd w:val="clear" w:color="auto" w:fill="EAF1DD" w:themeFill="accent3" w:themeFillTint="33"/>
            <w:noWrap/>
            <w:vAlign w:val="center"/>
          </w:tcPr>
          <w:p w14:paraId="385CF9EF" w14:textId="571A27BF" w:rsidR="00FA40E8" w:rsidRDefault="00E74AE8">
            <w:pPr>
              <w:pStyle w:val="P68B1DB1-Normal38"/>
              <w:spacing w:after="0"/>
              <w:jc w:val="center"/>
              <w:rPr>
                <w:noProof/>
                <w:szCs w:val="22"/>
              </w:rPr>
            </w:pPr>
            <w:r>
              <w:rPr>
                <w:noProof/>
              </w:rPr>
              <w:t>137f</w:t>
            </w:r>
          </w:p>
        </w:tc>
        <w:tc>
          <w:tcPr>
            <w:tcW w:w="3097" w:type="dxa"/>
            <w:shd w:val="clear" w:color="auto" w:fill="EAF1DD" w:themeFill="accent3" w:themeFillTint="33"/>
          </w:tcPr>
          <w:p w14:paraId="61ED1A91" w14:textId="77777777" w:rsidR="00FA40E8" w:rsidRDefault="00E74AE8">
            <w:pPr>
              <w:pStyle w:val="P68B1DB1-Normal38"/>
              <w:spacing w:after="0"/>
              <w:rPr>
                <w:noProof/>
                <w:szCs w:val="22"/>
              </w:rPr>
            </w:pPr>
            <w:r>
              <w:rPr>
                <w:noProof/>
              </w:rPr>
              <w:t>E.3.1. Prêts aux entreprises pour le développement de technologies vertes et à forte valeur ajoutée pour le développement industriel</w:t>
            </w:r>
          </w:p>
        </w:tc>
        <w:tc>
          <w:tcPr>
            <w:tcW w:w="1629" w:type="dxa"/>
            <w:shd w:val="clear" w:color="auto" w:fill="EAF1DD" w:themeFill="accent3" w:themeFillTint="33"/>
          </w:tcPr>
          <w:p w14:paraId="60211739" w14:textId="77777777" w:rsidR="00FA40E8" w:rsidRDefault="00E74AE8">
            <w:pPr>
              <w:pStyle w:val="P68B1DB1-Normal38"/>
              <w:spacing w:after="0"/>
              <w:jc w:val="center"/>
              <w:rPr>
                <w:noProof/>
                <w:szCs w:val="22"/>
              </w:rPr>
            </w:pPr>
            <w:r>
              <w:rPr>
                <w:noProof/>
              </w:rPr>
              <w:t>Étape</w:t>
            </w:r>
          </w:p>
        </w:tc>
        <w:tc>
          <w:tcPr>
            <w:tcW w:w="3755" w:type="dxa"/>
            <w:shd w:val="clear" w:color="auto" w:fill="EAF1DD" w:themeFill="accent3" w:themeFillTint="33"/>
          </w:tcPr>
          <w:p w14:paraId="7084CAC8" w14:textId="77777777" w:rsidR="00FA40E8" w:rsidRDefault="00E74AE8">
            <w:pPr>
              <w:pStyle w:val="P68B1DB1-Normal38"/>
              <w:spacing w:after="0"/>
              <w:rPr>
                <w:noProof/>
                <w:szCs w:val="22"/>
              </w:rPr>
            </w:pPr>
            <w:r>
              <w:rPr>
                <w:noProof/>
              </w:rPr>
              <w:t>Le ministère a achevé l’investissement</w:t>
            </w:r>
          </w:p>
        </w:tc>
      </w:tr>
      <w:tr w:rsidR="00FA40E8" w14:paraId="12DCE7DF" w14:textId="77777777">
        <w:trPr>
          <w:cantSplit/>
        </w:trPr>
        <w:tc>
          <w:tcPr>
            <w:tcW w:w="1298" w:type="dxa"/>
            <w:shd w:val="clear" w:color="auto" w:fill="EAF1DD" w:themeFill="accent3" w:themeFillTint="33"/>
            <w:noWrap/>
            <w:vAlign w:val="center"/>
          </w:tcPr>
          <w:p w14:paraId="722F5964" w14:textId="2173ACFC" w:rsidR="00FA40E8" w:rsidRDefault="00E74AE8">
            <w:pPr>
              <w:pStyle w:val="P68B1DB1-Normal38"/>
              <w:spacing w:after="0"/>
              <w:jc w:val="center"/>
              <w:rPr>
                <w:noProof/>
                <w:szCs w:val="22"/>
              </w:rPr>
            </w:pPr>
            <w:r>
              <w:rPr>
                <w:noProof/>
              </w:rPr>
              <w:t>207</w:t>
            </w:r>
          </w:p>
        </w:tc>
        <w:tc>
          <w:tcPr>
            <w:tcW w:w="3097" w:type="dxa"/>
            <w:shd w:val="clear" w:color="auto" w:fill="EAF1DD" w:themeFill="accent3" w:themeFillTint="33"/>
          </w:tcPr>
          <w:p w14:paraId="1D8557C0" w14:textId="77777777" w:rsidR="00FA40E8" w:rsidRDefault="00E74AE8">
            <w:pPr>
              <w:pStyle w:val="P68B1DB1-Normal38"/>
              <w:spacing w:after="0"/>
              <w:rPr>
                <w:noProof/>
                <w:szCs w:val="22"/>
              </w:rPr>
            </w:pPr>
            <w:r>
              <w:rPr>
                <w:noProof/>
              </w:rPr>
              <w:t xml:space="preserve">H.3.1. Soutien à l’investissement dans les centrales SER </w:t>
            </w:r>
            <w:r>
              <w:rPr>
                <w:noProof/>
              </w:rPr>
              <w:t>(solaire et éolienne terrestre)</w:t>
            </w:r>
          </w:p>
        </w:tc>
        <w:tc>
          <w:tcPr>
            <w:tcW w:w="1629" w:type="dxa"/>
            <w:shd w:val="clear" w:color="auto" w:fill="EAF1DD" w:themeFill="accent3" w:themeFillTint="33"/>
          </w:tcPr>
          <w:p w14:paraId="1F84357F" w14:textId="77777777" w:rsidR="00FA40E8" w:rsidRDefault="00E74AE8">
            <w:pPr>
              <w:pStyle w:val="P68B1DB1-Normal39"/>
              <w:spacing w:after="0"/>
              <w:jc w:val="center"/>
              <w:rPr>
                <w:noProof/>
                <w:color w:val="000000"/>
                <w:szCs w:val="22"/>
              </w:rPr>
            </w:pPr>
            <w:r>
              <w:rPr>
                <w:noProof/>
              </w:rPr>
              <w:t>Objectif</w:t>
            </w:r>
          </w:p>
        </w:tc>
        <w:tc>
          <w:tcPr>
            <w:tcW w:w="3755" w:type="dxa"/>
            <w:shd w:val="clear" w:color="auto" w:fill="EAF1DD" w:themeFill="accent3" w:themeFillTint="33"/>
          </w:tcPr>
          <w:p w14:paraId="2E050D53" w14:textId="77777777" w:rsidR="00FA40E8" w:rsidRDefault="00E74AE8">
            <w:pPr>
              <w:pStyle w:val="P68B1DB1-Normal38"/>
              <w:spacing w:after="0"/>
              <w:rPr>
                <w:noProof/>
                <w:szCs w:val="22"/>
              </w:rPr>
            </w:pPr>
            <w:r>
              <w:rPr>
                <w:noProof/>
              </w:rPr>
              <w:t>Accords juridiques signés avec les bénéficiaires finaux</w:t>
            </w:r>
          </w:p>
        </w:tc>
      </w:tr>
      <w:tr w:rsidR="00FA40E8" w14:paraId="4833A605" w14:textId="77777777">
        <w:trPr>
          <w:cantSplit/>
        </w:trPr>
        <w:tc>
          <w:tcPr>
            <w:tcW w:w="1298" w:type="dxa"/>
            <w:shd w:val="clear" w:color="auto" w:fill="EAF1DD" w:themeFill="accent3" w:themeFillTint="33"/>
            <w:noWrap/>
            <w:vAlign w:val="center"/>
          </w:tcPr>
          <w:p w14:paraId="3FB80AC3" w14:textId="6DC00B99" w:rsidR="00FA40E8" w:rsidRDefault="00E74AE8">
            <w:pPr>
              <w:pStyle w:val="P68B1DB1-Normal38"/>
              <w:spacing w:after="0"/>
              <w:jc w:val="center"/>
              <w:rPr>
                <w:noProof/>
                <w:szCs w:val="22"/>
              </w:rPr>
            </w:pPr>
            <w:r>
              <w:rPr>
                <w:noProof/>
              </w:rPr>
              <w:t>208</w:t>
            </w:r>
          </w:p>
        </w:tc>
        <w:tc>
          <w:tcPr>
            <w:tcW w:w="3097" w:type="dxa"/>
            <w:shd w:val="clear" w:color="auto" w:fill="EAF1DD" w:themeFill="accent3" w:themeFillTint="33"/>
          </w:tcPr>
          <w:p w14:paraId="1281AFE3" w14:textId="77777777" w:rsidR="00FA40E8" w:rsidRDefault="00E74AE8">
            <w:pPr>
              <w:pStyle w:val="P68B1DB1-Normal39"/>
              <w:spacing w:after="0"/>
              <w:rPr>
                <w:noProof/>
                <w:color w:val="000000"/>
                <w:szCs w:val="22"/>
              </w:rPr>
            </w:pPr>
            <w:r>
              <w:rPr>
                <w:noProof/>
              </w:rPr>
              <w:t>H.3.1. Soutien à l’investissement dans les centrales SER (solaire et éolienne terrestre)</w:t>
            </w:r>
          </w:p>
        </w:tc>
        <w:tc>
          <w:tcPr>
            <w:tcW w:w="1629" w:type="dxa"/>
            <w:shd w:val="clear" w:color="auto" w:fill="EAF1DD" w:themeFill="accent3" w:themeFillTint="33"/>
          </w:tcPr>
          <w:p w14:paraId="1445512A" w14:textId="77777777" w:rsidR="00FA40E8" w:rsidRDefault="00E74AE8">
            <w:pPr>
              <w:pStyle w:val="P68B1DB1-Normal39"/>
              <w:spacing w:after="0"/>
              <w:jc w:val="center"/>
              <w:rPr>
                <w:noProof/>
                <w:color w:val="000000"/>
                <w:szCs w:val="22"/>
              </w:rPr>
            </w:pPr>
            <w:r>
              <w:rPr>
                <w:noProof/>
              </w:rPr>
              <w:t>Étape</w:t>
            </w:r>
          </w:p>
        </w:tc>
        <w:tc>
          <w:tcPr>
            <w:tcW w:w="3755" w:type="dxa"/>
            <w:shd w:val="clear" w:color="auto" w:fill="EAF1DD" w:themeFill="accent3" w:themeFillTint="33"/>
          </w:tcPr>
          <w:p w14:paraId="4247667D" w14:textId="022BC248" w:rsidR="00FA40E8" w:rsidRDefault="00E74AE8">
            <w:pPr>
              <w:pStyle w:val="P68B1DB1-Normal39"/>
              <w:spacing w:after="0"/>
              <w:rPr>
                <w:noProof/>
              </w:rPr>
            </w:pPr>
            <w:r>
              <w:rPr>
                <w:noProof/>
              </w:rPr>
              <w:t xml:space="preserve">Achèvement des transferts d’investissements au titre de la </w:t>
            </w:r>
            <w:r>
              <w:rPr>
                <w:noProof/>
              </w:rPr>
              <w:t>FRR pour la facilité</w:t>
            </w:r>
          </w:p>
        </w:tc>
      </w:tr>
      <w:tr w:rsidR="00FA40E8" w14:paraId="4F0DFEF1" w14:textId="77777777">
        <w:trPr>
          <w:cantSplit/>
        </w:trPr>
        <w:tc>
          <w:tcPr>
            <w:tcW w:w="1298" w:type="dxa"/>
            <w:shd w:val="clear" w:color="auto" w:fill="EAF1DD" w:themeFill="accent3" w:themeFillTint="33"/>
            <w:noWrap/>
            <w:vAlign w:val="center"/>
          </w:tcPr>
          <w:p w14:paraId="0074FB24" w14:textId="7B89D46E" w:rsidR="00FA40E8" w:rsidRDefault="00FA40E8">
            <w:pPr>
              <w:spacing w:after="0"/>
              <w:jc w:val="center"/>
              <w:rPr>
                <w:rFonts w:ascii="Times New Roman" w:eastAsia="Times New Roman" w:hAnsi="Times New Roman" w:cs="Times New Roman"/>
                <w:noProof/>
                <w:color w:val="000000" w:themeColor="text1"/>
              </w:rPr>
            </w:pPr>
          </w:p>
        </w:tc>
        <w:tc>
          <w:tcPr>
            <w:tcW w:w="3097" w:type="dxa"/>
            <w:shd w:val="clear" w:color="auto" w:fill="EAF1DD" w:themeFill="accent3" w:themeFillTint="33"/>
            <w:vAlign w:val="center"/>
          </w:tcPr>
          <w:p w14:paraId="22D34815" w14:textId="77777777" w:rsidR="00FA40E8" w:rsidRDefault="00E74AE8">
            <w:pPr>
              <w:pStyle w:val="P68B1DB1-Normal38"/>
              <w:spacing w:after="0"/>
              <w:rPr>
                <w:noProof/>
                <w:szCs w:val="22"/>
              </w:rPr>
            </w:pPr>
            <w:r>
              <w:rPr>
                <w:noProof/>
              </w:rPr>
              <w:t xml:space="preserve"> </w:t>
            </w:r>
          </w:p>
        </w:tc>
        <w:tc>
          <w:tcPr>
            <w:tcW w:w="1629" w:type="dxa"/>
            <w:shd w:val="clear" w:color="auto" w:fill="EAF1DD" w:themeFill="accent3" w:themeFillTint="33"/>
            <w:vAlign w:val="center"/>
          </w:tcPr>
          <w:p w14:paraId="1E81035B" w14:textId="0E2CCF02" w:rsidR="00FA40E8" w:rsidRDefault="00E74AE8">
            <w:pPr>
              <w:pStyle w:val="P68B1DB1-Normal38"/>
              <w:spacing w:after="0"/>
              <w:jc w:val="center"/>
              <w:rPr>
                <w:noProof/>
                <w:szCs w:val="22"/>
              </w:rPr>
            </w:pPr>
            <w:r>
              <w:rPr>
                <w:noProof/>
              </w:rPr>
              <w:t>Montant de l’acompte</w:t>
            </w:r>
          </w:p>
        </w:tc>
        <w:tc>
          <w:tcPr>
            <w:tcW w:w="3755" w:type="dxa"/>
            <w:shd w:val="clear" w:color="auto" w:fill="EAF1DD" w:themeFill="accent3" w:themeFillTint="33"/>
            <w:vAlign w:val="center"/>
          </w:tcPr>
          <w:p w14:paraId="566A821A" w14:textId="7B38358A" w:rsidR="00FA40E8" w:rsidRDefault="00E74AE8">
            <w:pPr>
              <w:spacing w:after="0"/>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themeColor="text1"/>
              </w:rPr>
              <w:t>465</w:t>
            </w:r>
            <w:r>
              <w:rPr>
                <w:rFonts w:ascii="Times New Roman" w:hAnsi="Times New Roman"/>
                <w:noProof/>
                <w:sz w:val="20"/>
              </w:rPr>
              <w:t xml:space="preserve"> </w:t>
            </w:r>
            <w:r>
              <w:rPr>
                <w:rFonts w:ascii="Times New Roman" w:eastAsia="Times New Roman" w:hAnsi="Times New Roman" w:cs="Times New Roman"/>
                <w:noProof/>
                <w:color w:val="000000" w:themeColor="text1"/>
              </w:rPr>
              <w:t>501</w:t>
            </w:r>
            <w:r>
              <w:rPr>
                <w:rFonts w:ascii="Times New Roman" w:hAnsi="Times New Roman"/>
                <w:noProof/>
                <w:sz w:val="20"/>
              </w:rPr>
              <w:t xml:space="preserve"> </w:t>
            </w:r>
            <w:r>
              <w:rPr>
                <w:rFonts w:ascii="Times New Roman" w:eastAsia="Times New Roman" w:hAnsi="Times New Roman" w:cs="Times New Roman"/>
                <w:noProof/>
                <w:color w:val="000000" w:themeColor="text1"/>
              </w:rPr>
              <w:t>707 EUR</w:t>
            </w:r>
          </w:p>
        </w:tc>
      </w:tr>
    </w:tbl>
    <w:p w14:paraId="04AFEC7D" w14:textId="6BC2C81A" w:rsidR="00FA40E8" w:rsidRDefault="00E74AE8">
      <w:pPr>
        <w:pStyle w:val="P68B1DB1-Heading12"/>
        <w:numPr>
          <w:ilvl w:val="0"/>
          <w:numId w:val="0"/>
        </w:numPr>
        <w:spacing w:after="200"/>
        <w:rPr>
          <w:noProof/>
        </w:rPr>
      </w:pPr>
      <w:r>
        <w:rPr>
          <w:noProof/>
        </w:rPr>
        <w:t>Section 3: Dispositions supplémentaires</w:t>
      </w:r>
    </w:p>
    <w:p w14:paraId="2914D6DF" w14:textId="77777777" w:rsidR="00FA40E8" w:rsidRDefault="00E74AE8">
      <w:pPr>
        <w:pStyle w:val="P68B1DB1-Normal43"/>
        <w:jc w:val="both"/>
        <w:rPr>
          <w:noProof/>
        </w:rPr>
      </w:pPr>
      <w:r>
        <w:rPr>
          <w:noProof/>
        </w:rPr>
        <w:t xml:space="preserve">1. Modalités de suivi et de mise en œuvre du plan pour la reprise et la résilience </w:t>
      </w:r>
    </w:p>
    <w:p w14:paraId="1F83FE48" w14:textId="5AA216CB" w:rsidR="00FA40E8" w:rsidRDefault="00E74AE8">
      <w:pPr>
        <w:pStyle w:val="P68B1DB1-Normal35"/>
        <w:jc w:val="both"/>
        <w:rPr>
          <w:noProof/>
        </w:rPr>
      </w:pPr>
      <w:r>
        <w:rPr>
          <w:noProof/>
        </w:rPr>
        <w:t>Le suivi et la mise en œuvre du plan pour la reprise et la résilience</w:t>
      </w:r>
      <w:r>
        <w:rPr>
          <w:noProof/>
        </w:rPr>
        <w:t xml:space="preserve"> de la Lituanie s’effectuent selon les modalités suivantes:</w:t>
      </w:r>
    </w:p>
    <w:p w14:paraId="25BEDEC2" w14:textId="147EAC3B" w:rsidR="00FA40E8" w:rsidRDefault="00E74AE8">
      <w:pPr>
        <w:pStyle w:val="P68B1DB1-Normal35"/>
        <w:jc w:val="both"/>
        <w:rPr>
          <w:noProof/>
        </w:rPr>
      </w:pPr>
      <w:r>
        <w:rPr>
          <w:noProof/>
        </w:rPr>
        <w:t>La mise en œuvre du plan est coordonnée par le ministère des finances, qui exerce également les fonctions d’autorité de gestion. Les fonctions exercées par le ministère des finances en tant qu’aut</w:t>
      </w:r>
      <w:r>
        <w:rPr>
          <w:noProof/>
        </w:rPr>
        <w:t>orité de gestion sont séparées de ses autres fonctions, y compris celles de l’autorité d’audit. L’autorité d’audit, composée de deux unités administratives du ministère des finances et indépendante des autres unités administratives du ministère, effectue d</w:t>
      </w:r>
      <w:r>
        <w:rPr>
          <w:noProof/>
        </w:rPr>
        <w:t>es audits conformément à la stratégie d’audit adoptée. Les ministères sectoriels assument les responsabilités qui leur sont confiées, principalement en ce qui concerne la mise en œuvre pratique du plan. L’organisme public «Agence centrale de gestion des pr</w:t>
      </w:r>
      <w:r>
        <w:rPr>
          <w:noProof/>
        </w:rPr>
        <w:t>ojets» (CPMA) est l’autorité gestionnaire chargée du suivi et du contrôle des projets, y compris des contrôles sur place, ainsi que de l’établissement et de la présentation de la demande de paiement, de la présentation des déclarations de gestion et des ré</w:t>
      </w:r>
      <w:r>
        <w:rPr>
          <w:noProof/>
        </w:rPr>
        <w:t>sumés des audits.</w:t>
      </w:r>
    </w:p>
    <w:p w14:paraId="267480B6" w14:textId="17514EE7" w:rsidR="00FA40E8" w:rsidRDefault="00E74AE8">
      <w:pPr>
        <w:pStyle w:val="P68B1DB1-Normal35"/>
        <w:jc w:val="both"/>
        <w:rPr>
          <w:noProof/>
        </w:rPr>
      </w:pPr>
      <w:r>
        <w:rPr>
          <w:noProof/>
        </w:rPr>
        <w:t>La mise en œuvre et le suivi du plan nécessitent des ressources humaines supplémentaires. Environ 16 emplois équivalents temps plein seront attribués à l’autorité de gestion dans le cadre des ressources existantes de l’institution et envi</w:t>
      </w:r>
      <w:r>
        <w:rPr>
          <w:noProof/>
        </w:rPr>
        <w:t>ron 100 nouveaux employés seront recrutés au sein de la CPMA pour exercer des fonctions liées au plan.</w:t>
      </w:r>
    </w:p>
    <w:p w14:paraId="5E7A7D7D" w14:textId="77777777" w:rsidR="00FA40E8" w:rsidRDefault="00E74AE8">
      <w:pPr>
        <w:pStyle w:val="P68B1DB1-Normal43"/>
        <w:jc w:val="both"/>
        <w:rPr>
          <w:noProof/>
        </w:rPr>
      </w:pPr>
      <w:r>
        <w:rPr>
          <w:noProof/>
        </w:rPr>
        <w:t>2. Modalités permettant à la Commission d’accéder pleinement aux données sous-jacentes</w:t>
      </w:r>
    </w:p>
    <w:p w14:paraId="1C2D072B" w14:textId="254CAFA3" w:rsidR="00FA40E8" w:rsidRDefault="00E74AE8">
      <w:pPr>
        <w:pStyle w:val="P68B1DB1-Normal35"/>
        <w:jc w:val="both"/>
        <w:rPr>
          <w:noProof/>
        </w:rPr>
      </w:pPr>
      <w:r>
        <w:rPr>
          <w:noProof/>
        </w:rPr>
        <w:t>Afin de permettre à la Commission d’accéder pleinement aux données</w:t>
      </w:r>
      <w:r>
        <w:rPr>
          <w:noProof/>
        </w:rPr>
        <w:t xml:space="preserve"> pertinentes sous-jacentes, la Lituanie prend les dispositions suivantes:</w:t>
      </w:r>
    </w:p>
    <w:p w14:paraId="0678BF89" w14:textId="77777777" w:rsidR="00FA40E8" w:rsidRDefault="00E74AE8">
      <w:pPr>
        <w:pStyle w:val="P68B1DB1-Normal35"/>
        <w:jc w:val="both"/>
        <w:rPr>
          <w:noProof/>
        </w:rPr>
      </w:pPr>
      <w:r>
        <w:rPr>
          <w:noProof/>
        </w:rPr>
        <w:t>Le ministère des finances, en tant qu’organisme central de coordination du plan pour la reprise et la résilience de la Lituanie et de sa mise en œuvre, est responsable de la coordina</w:t>
      </w:r>
      <w:r>
        <w:rPr>
          <w:noProof/>
        </w:rPr>
        <w:t>tion et du suivi globaux du plan. En particulier, elle agit en tant qu’organisme de coordination (conjointement avec la CPMA) pour suivre les progrès accomplis en ce qui concerne les jalons et les cibles et, le cas échéant, mettre en œuvre les activités de</w:t>
      </w:r>
      <w:r>
        <w:rPr>
          <w:noProof/>
        </w:rPr>
        <w:t xml:space="preserve"> contrôle et d’audit. La CPMA fournit des rapports et des demandes de paiement à la Commission. Il coordonne la communication des valeurs intermédiaires et des valeurs cibles, des indicateurs pertinents, mais aussi des informations financières qualitatives</w:t>
      </w:r>
      <w:r>
        <w:rPr>
          <w:noProof/>
        </w:rPr>
        <w:t xml:space="preserve"> et d’autres données, par exemple sur les bénéficiaires finaux. L’encodage des données a lieu dans un système d’information unique consacré à la gestion du plan pour la reprise et la résilience et d’autres fonds de l’UE pour la période 2021-2027 (INVESTIS)</w:t>
      </w:r>
      <w:r>
        <w:rPr>
          <w:noProof/>
        </w:rPr>
        <w:t>, qui sera mis en place et deviendra opérationnel au plus tard le 30 septembre 2023. Ce système recueille les informations nécessaires au suivi de l’ensemble du cycle de vie des réformes et des investissements, y compris les valeurs intermédiaires, les val</w:t>
      </w:r>
      <w:r>
        <w:rPr>
          <w:noProof/>
        </w:rPr>
        <w:t>eurs cibles et les résultats, ainsi que d’autres informations relatives à la mise en œuvre du plan pour la reprise et la résilience [y compris les données requises en vertu de l’article 22, paragraphe 2, point d), du règlement (UE) 2021/241]. Pendant la pé</w:t>
      </w:r>
      <w:r>
        <w:rPr>
          <w:noProof/>
        </w:rPr>
        <w:t>riode transitoire (jusqu’à ce qu’INVESTIS devienne pleinement opérationnel), les systèmes d’information nationaux actuellement en place sont utilisés pour compiler les données visées à l’article 22, point d), du règlement (UE) 2021/241</w:t>
      </w:r>
      <w:r w:rsidRPr="00655914">
        <w:rPr>
          <w:noProof/>
          <w:vertAlign w:val="superscript"/>
        </w:rPr>
        <w:footnoteReference w:id="25"/>
      </w:r>
      <w:r>
        <w:rPr>
          <w:noProof/>
        </w:rPr>
        <w:t xml:space="preserve">: </w:t>
      </w:r>
    </w:p>
    <w:p w14:paraId="6158A61C" w14:textId="77777777" w:rsidR="00FA40E8" w:rsidRDefault="00E74AE8">
      <w:pPr>
        <w:pStyle w:val="P68B1DB1-Normal35"/>
        <w:numPr>
          <w:ilvl w:val="0"/>
          <w:numId w:val="27"/>
        </w:numPr>
        <w:jc w:val="both"/>
        <w:rPr>
          <w:noProof/>
        </w:rPr>
      </w:pPr>
      <w:r>
        <w:rPr>
          <w:noProof/>
        </w:rPr>
        <w:t>Le système d’info</w:t>
      </w:r>
      <w:r>
        <w:rPr>
          <w:noProof/>
        </w:rPr>
        <w:t>rmation de suivi (SIS), qui contient des données sur les projets d’investissement financés par le budget de l’État, à savoir le titre, le calendrier de mise en œuvre, les besoins de fonds, les sources de financement, les indicateurs cibles, l’utilisation d</w:t>
      </w:r>
      <w:r>
        <w:rPr>
          <w:noProof/>
        </w:rPr>
        <w:t xml:space="preserve">es fonds et d’autres informations pertinentes; </w:t>
      </w:r>
    </w:p>
    <w:p w14:paraId="20E97AFB" w14:textId="77777777" w:rsidR="00FA40E8" w:rsidRDefault="00E74AE8">
      <w:pPr>
        <w:pStyle w:val="P68B1DB1-Normal35"/>
        <w:numPr>
          <w:ilvl w:val="0"/>
          <w:numId w:val="27"/>
        </w:numPr>
        <w:jc w:val="both"/>
        <w:rPr>
          <w:noProof/>
        </w:rPr>
      </w:pPr>
      <w:r>
        <w:rPr>
          <w:noProof/>
        </w:rPr>
        <w:t xml:space="preserve">Système central d’information sur les marchés publics (CPI IS), qui traite les données relatives aux procédures de passation de marchés et contient les noms du contractant et du sous-traitant; </w:t>
      </w:r>
    </w:p>
    <w:p w14:paraId="381FBDDC" w14:textId="77777777" w:rsidR="00FA40E8" w:rsidRDefault="00E74AE8">
      <w:pPr>
        <w:pStyle w:val="P68B1DB1-Normal35"/>
        <w:numPr>
          <w:ilvl w:val="0"/>
          <w:numId w:val="27"/>
        </w:numPr>
        <w:jc w:val="both"/>
        <w:rPr>
          <w:noProof/>
        </w:rPr>
      </w:pPr>
      <w:r>
        <w:rPr>
          <w:noProof/>
        </w:rPr>
        <w:t xml:space="preserve">Système d’information pour les participants aux entités juridiques (JADIS), qui contient les données relatives aux actionnaires des personnes morales. </w:t>
      </w:r>
    </w:p>
    <w:p w14:paraId="34C3701F" w14:textId="77777777" w:rsidR="00FA40E8" w:rsidRDefault="00E74AE8">
      <w:pPr>
        <w:pStyle w:val="P68B1DB1-Normal35"/>
        <w:jc w:val="both"/>
        <w:rPr>
          <w:noProof/>
        </w:rPr>
      </w:pPr>
      <w:r>
        <w:rPr>
          <w:noProof/>
        </w:rPr>
        <w:t>Une fois qu’INVESTIS est opérationnel, les données générées au cours de la période transitoire sont tran</w:t>
      </w:r>
      <w:r>
        <w:rPr>
          <w:noProof/>
        </w:rPr>
        <w:t>sférées à INVESTIS. L’engagement de contrôler le respect des exigences de la FRR, y compris pendant la période de transition au cours de laquelle d’autres systèmes informatiques seront utilisés, a été inclus dans le plan (voir la composante relative au sec</w:t>
      </w:r>
      <w:r>
        <w:rPr>
          <w:noProof/>
        </w:rPr>
        <w:t>teur public).</w:t>
      </w:r>
    </w:p>
    <w:p w14:paraId="48B12EE0" w14:textId="127CDEE1" w:rsidR="00FA40E8" w:rsidRDefault="00E74AE8">
      <w:pPr>
        <w:pStyle w:val="P68B1DB1-Normal35"/>
        <w:jc w:val="both"/>
        <w:rPr>
          <w:noProof/>
        </w:rPr>
      </w:pPr>
      <w:r>
        <w:rPr>
          <w:noProof/>
        </w:rPr>
        <w:t>Conformément à l’article 24, paragraphe 2, du règlement (UE) 2021/241, une fois que les jalons et cibles pertinents convenus à la section 2.1 de la présente annexe ont été atteints, la Lituanie présente à la Commission une demande dûment just</w:t>
      </w:r>
      <w:r>
        <w:rPr>
          <w:noProof/>
        </w:rPr>
        <w:t>ifiée de paiement de la contribution financière. La Lituanie veille à ce que, sur demande, la Commission ait pleinement accès aux données pertinentes sous-jacentes qui étayent la justification appropriée de la demande de paiement, tant pour l’évaluation de</w:t>
      </w:r>
      <w:r>
        <w:rPr>
          <w:noProof/>
        </w:rPr>
        <w:t xml:space="preserve"> la demande de paiement conformément à l’article 24, paragraphe 3, du règlement (UE) 2021/241 qu’à des fins d’audit et de contrôle.</w:t>
      </w:r>
    </w:p>
    <w:sectPr w:rsidR="00FA40E8">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A71ED8" w14:textId="77777777" w:rsidR="00E65AE2" w:rsidRDefault="00E65AE2">
      <w:pPr>
        <w:spacing w:after="0" w:line="240" w:lineRule="auto"/>
      </w:pPr>
      <w:r>
        <w:separator/>
      </w:r>
    </w:p>
  </w:endnote>
  <w:endnote w:type="continuationSeparator" w:id="0">
    <w:p w14:paraId="205D80EC" w14:textId="77777777" w:rsidR="00E65AE2" w:rsidRDefault="00E65AE2">
      <w:pPr>
        <w:spacing w:after="0" w:line="240" w:lineRule="auto"/>
      </w:pPr>
      <w:r>
        <w:continuationSeparator/>
      </w:r>
    </w:p>
  </w:endnote>
  <w:endnote w:type="continuationNotice" w:id="1">
    <w:p w14:paraId="13B1DFFA" w14:textId="77777777" w:rsidR="00E65AE2" w:rsidRDefault="00E65A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altName w:val="Arial"/>
    <w:panose1 w:val="00000000000000000000"/>
    <w:charset w:val="00"/>
    <w:family w:val="roman"/>
    <w:notTrueType/>
    <w:pitch w:val="default"/>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6779E" w14:textId="2006799E" w:rsidR="00E74AE8" w:rsidRPr="00E74AE8" w:rsidRDefault="00E74AE8" w:rsidP="00E74AE8">
    <w:pPr>
      <w:pStyle w:val="FooterCoverPage"/>
      <w:rPr>
        <w:rFonts w:ascii="Arial" w:hAnsi="Arial" w:cs="Arial"/>
        <w:b/>
        <w:sz w:val="48"/>
      </w:rPr>
    </w:pPr>
    <w:r w:rsidRPr="00E74AE8">
      <w:rPr>
        <w:rFonts w:ascii="Arial" w:hAnsi="Arial" w:cs="Arial"/>
        <w:b/>
        <w:sz w:val="48"/>
      </w:rPr>
      <w:t>FR</w:t>
    </w:r>
    <w:r w:rsidRPr="00E74AE8">
      <w:rPr>
        <w:rFonts w:ascii="Arial" w:hAnsi="Arial" w:cs="Arial"/>
        <w:b/>
        <w:sz w:val="48"/>
      </w:rPr>
      <w:tab/>
    </w:r>
    <w:r w:rsidRPr="00E74AE8">
      <w:rPr>
        <w:rFonts w:ascii="Arial" w:hAnsi="Arial" w:cs="Arial"/>
        <w:b/>
        <w:sz w:val="48"/>
      </w:rPr>
      <w:tab/>
    </w:r>
    <w:r w:rsidRPr="00E74AE8">
      <w:tab/>
    </w:r>
    <w:r w:rsidRPr="00E74AE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D0220" w14:textId="50A83F9C" w:rsidR="00E74AE8" w:rsidRPr="00E74AE8" w:rsidRDefault="00E74AE8" w:rsidP="00E74AE8">
    <w:pPr>
      <w:pStyle w:val="FooterCoverPage"/>
      <w:rPr>
        <w:rFonts w:ascii="Arial" w:hAnsi="Arial" w:cs="Arial"/>
        <w:b/>
        <w:sz w:val="48"/>
      </w:rPr>
    </w:pPr>
    <w:r w:rsidRPr="00E74AE8">
      <w:rPr>
        <w:rFonts w:ascii="Arial" w:hAnsi="Arial" w:cs="Arial"/>
        <w:b/>
        <w:sz w:val="48"/>
      </w:rPr>
      <w:t>FR</w:t>
    </w:r>
    <w:r w:rsidRPr="00E74AE8">
      <w:rPr>
        <w:rFonts w:ascii="Arial" w:hAnsi="Arial" w:cs="Arial"/>
        <w:b/>
        <w:sz w:val="48"/>
      </w:rPr>
      <w:tab/>
    </w:r>
    <w:r w:rsidRPr="00E74AE8">
      <w:rPr>
        <w:rFonts w:ascii="Arial" w:hAnsi="Arial" w:cs="Arial"/>
        <w:b/>
        <w:sz w:val="48"/>
      </w:rPr>
      <w:tab/>
    </w:r>
    <w:r w:rsidRPr="00E74AE8">
      <w:tab/>
    </w:r>
    <w:r w:rsidRPr="00E74AE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EEFBB" w14:textId="77777777" w:rsidR="00E74AE8" w:rsidRPr="00E74AE8" w:rsidRDefault="00E74AE8" w:rsidP="00E74AE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26174" w14:textId="77777777" w:rsidR="00FA40E8" w:rsidRDefault="00FA40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013130"/>
      <w:docPartObj>
        <w:docPartGallery w:val="Page Numbers (Bottom of Page)"/>
        <w:docPartUnique/>
      </w:docPartObj>
    </w:sdtPr>
    <w:sdtEndPr>
      <w:rPr>
        <w:noProof/>
      </w:rPr>
    </w:sdtEndPr>
    <w:sdtContent>
      <w:p w14:paraId="012C66AF" w14:textId="739FF2CB" w:rsidR="00FA40E8" w:rsidRDefault="00E74AE8">
        <w:pPr>
          <w:pStyle w:val="Footer"/>
          <w:jc w:val="center"/>
        </w:pPr>
        <w:r>
          <w:fldChar w:fldCharType="begin"/>
        </w:r>
        <w:r>
          <w:instrText xml:space="preserve"> PAGE   \* MERGEFORMAT </w:instrText>
        </w:r>
        <w:r>
          <w:fldChar w:fldCharType="separate"/>
        </w:r>
        <w:r>
          <w:rPr>
            <w:noProof/>
          </w:rPr>
          <w:t>5</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091064"/>
      <w:docPartObj>
        <w:docPartGallery w:val="Page Numbers (Bottom of Page)"/>
        <w:docPartUnique/>
      </w:docPartObj>
    </w:sdtPr>
    <w:sdtEndPr>
      <w:rPr>
        <w:noProof/>
      </w:rPr>
    </w:sdtEndPr>
    <w:sdtContent>
      <w:p w14:paraId="3307A91D" w14:textId="61788D87" w:rsidR="00FA40E8" w:rsidRDefault="00E74AE8">
        <w:pPr>
          <w:pStyle w:val="Footer"/>
          <w:jc w:val="center"/>
        </w:pPr>
        <w:r>
          <w:fldChar w:fldCharType="begin"/>
        </w:r>
        <w:r>
          <w:instrText xml:space="preserve"> PAGE   \* MERGEFORMAT </w:instrText>
        </w:r>
        <w:r>
          <w:fldChar w:fldCharType="separate"/>
        </w:r>
        <w:r>
          <w:rPr>
            <w:noProof/>
          </w:rP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CB9FB" w14:textId="77777777" w:rsidR="00FA40E8" w:rsidRDefault="00FA40E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1653698"/>
      <w:docPartObj>
        <w:docPartGallery w:val="Page Numbers (Bottom of Page)"/>
        <w:docPartUnique/>
      </w:docPartObj>
    </w:sdtPr>
    <w:sdtEndPr>
      <w:rPr>
        <w:noProof/>
      </w:rPr>
    </w:sdtEndPr>
    <w:sdtContent>
      <w:p w14:paraId="7AA80BA3" w14:textId="2FDF98FB" w:rsidR="00FA40E8" w:rsidRDefault="00E74AE8">
        <w:pPr>
          <w:pStyle w:val="Footer"/>
          <w:jc w:val="center"/>
        </w:pPr>
        <w:r>
          <w:fldChar w:fldCharType="begin"/>
        </w:r>
        <w:r>
          <w:instrText xml:space="preserve"> PAGE   \* MERGEFORMAT </w:instrText>
        </w:r>
        <w:r>
          <w:fldChar w:fldCharType="separate"/>
        </w:r>
        <w:r>
          <w:rPr>
            <w:noProof/>
          </w:rPr>
          <w:t>11</w:t>
        </w:r>
        <w:r>
          <w:fldChar w:fldCharType="end"/>
        </w:r>
      </w:p>
    </w:sdtContent>
  </w:sdt>
  <w:p w14:paraId="7D0CE7E5" w14:textId="77777777" w:rsidR="00FA40E8" w:rsidRDefault="00FA40E8">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D91F1" w14:textId="77777777" w:rsidR="00FA40E8" w:rsidRDefault="00FA40E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50D87" w14:textId="77777777" w:rsidR="00FA40E8" w:rsidRDefault="00FA40E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923848"/>
      <w:docPartObj>
        <w:docPartGallery w:val="Page Numbers (Bottom of Page)"/>
        <w:docPartUnique/>
      </w:docPartObj>
    </w:sdtPr>
    <w:sdtEndPr>
      <w:rPr>
        <w:noProof/>
      </w:rPr>
    </w:sdtEndPr>
    <w:sdtContent>
      <w:p w14:paraId="0A9D5EB2" w14:textId="6FE7F664" w:rsidR="00FA40E8" w:rsidRDefault="00E74AE8">
        <w:pPr>
          <w:pStyle w:val="Footer"/>
          <w:jc w:val="center"/>
        </w:pPr>
        <w:r>
          <w:fldChar w:fldCharType="begin"/>
        </w:r>
        <w:r>
          <w:instrText xml:space="preserve"> PAGE   \* MERGEFORMAT </w:instrText>
        </w:r>
        <w:r>
          <w:fldChar w:fldCharType="separate"/>
        </w:r>
        <w:r w:rsidR="001F173F">
          <w:rPr>
            <w:noProof/>
          </w:rPr>
          <w:t>21</w:t>
        </w:r>
        <w:r>
          <w:fldChar w:fldCharType="end"/>
        </w:r>
      </w:p>
    </w:sdtContent>
  </w:sdt>
  <w:p w14:paraId="391A5606" w14:textId="77777777" w:rsidR="00FA40E8" w:rsidRDefault="00FA40E8">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C89B2" w14:textId="77777777" w:rsidR="00FA40E8" w:rsidRDefault="00FA40E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F5747" w14:textId="77777777" w:rsidR="00FA40E8" w:rsidRDefault="00FA40E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915079"/>
      <w:docPartObj>
        <w:docPartGallery w:val="Page Numbers (Bottom of Page)"/>
        <w:docPartUnique/>
      </w:docPartObj>
    </w:sdtPr>
    <w:sdtEndPr>
      <w:rPr>
        <w:noProof/>
      </w:rPr>
    </w:sdtEndPr>
    <w:sdtContent>
      <w:p w14:paraId="431CD66D" w14:textId="50CEBD2A"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51D4A260" w14:textId="77777777" w:rsidR="00FA40E8" w:rsidRDefault="00FA40E8">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E745D" w14:textId="77777777" w:rsidR="00FA40E8" w:rsidRDefault="00FA40E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00B23" w14:textId="77777777" w:rsidR="00FA40E8" w:rsidRDefault="00FA40E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704930"/>
      <w:docPartObj>
        <w:docPartGallery w:val="Page Numbers (Bottom of Page)"/>
        <w:docPartUnique/>
      </w:docPartObj>
    </w:sdtPr>
    <w:sdtEndPr>
      <w:rPr>
        <w:noProof/>
      </w:rPr>
    </w:sdtEndPr>
    <w:sdtContent>
      <w:p w14:paraId="06EA8954" w14:textId="70D6CAFD"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7DAF8A49" w14:textId="77777777" w:rsidR="00FA40E8" w:rsidRDefault="00FA40E8">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DB622" w14:textId="77777777" w:rsidR="00FA40E8" w:rsidRDefault="00FA40E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95096" w14:textId="77777777" w:rsidR="00FA40E8" w:rsidRDefault="00FA40E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838362"/>
      <w:docPartObj>
        <w:docPartGallery w:val="Page Numbers (Bottom of Page)"/>
        <w:docPartUnique/>
      </w:docPartObj>
    </w:sdtPr>
    <w:sdtEndPr>
      <w:rPr>
        <w:noProof/>
      </w:rPr>
    </w:sdtEndPr>
    <w:sdtContent>
      <w:p w14:paraId="26181AF6" w14:textId="23A69F9B"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56DE6499" w14:textId="77777777" w:rsidR="00FA40E8" w:rsidRDefault="00FA40E8">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45020" w14:textId="77777777" w:rsidR="00FA40E8" w:rsidRDefault="00FA40E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24B31" w14:textId="77777777" w:rsidR="00FA40E8" w:rsidRDefault="00FA40E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170824"/>
      <w:docPartObj>
        <w:docPartGallery w:val="Page Numbers (Bottom of Page)"/>
        <w:docPartUnique/>
      </w:docPartObj>
    </w:sdtPr>
    <w:sdtEndPr>
      <w:rPr>
        <w:noProof/>
      </w:rPr>
    </w:sdtEndPr>
    <w:sdtContent>
      <w:p w14:paraId="71C307CA" w14:textId="78C07E0B"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4EB4EEEA" w14:textId="77777777" w:rsidR="00FA40E8" w:rsidRDefault="00FA40E8">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AD2D3" w14:textId="77777777" w:rsidR="00FA40E8" w:rsidRDefault="00FA40E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04FDB" w14:textId="77777777" w:rsidR="00FA40E8" w:rsidRDefault="00FA40E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8458622"/>
      <w:docPartObj>
        <w:docPartGallery w:val="Page Numbers (Bottom of Page)"/>
        <w:docPartUnique/>
      </w:docPartObj>
    </w:sdtPr>
    <w:sdtEndPr>
      <w:rPr>
        <w:noProof/>
      </w:rPr>
    </w:sdtEndPr>
    <w:sdtContent>
      <w:p w14:paraId="6F1CC851" w14:textId="5E0EB366"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7BBA61D1" w14:textId="77777777" w:rsidR="00FA40E8" w:rsidRDefault="00FA40E8">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0CF35" w14:textId="77777777" w:rsidR="00FA40E8" w:rsidRDefault="00FA40E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6A45" w14:textId="77777777" w:rsidR="00FA40E8" w:rsidRDefault="00FA40E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179449"/>
      <w:docPartObj>
        <w:docPartGallery w:val="Page Numbers (Bottom of Page)"/>
        <w:docPartUnique/>
      </w:docPartObj>
    </w:sdtPr>
    <w:sdtEndPr>
      <w:rPr>
        <w:noProof/>
      </w:rPr>
    </w:sdtEndPr>
    <w:sdtContent>
      <w:p w14:paraId="58514B9C" w14:textId="69AC1C3A"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286E8C24" w14:textId="77777777" w:rsidR="00FA40E8" w:rsidRDefault="00FA40E8">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8374B" w14:textId="77777777" w:rsidR="00FA40E8" w:rsidRDefault="00FA40E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0F2B3" w14:textId="77777777" w:rsidR="00FA40E8" w:rsidRDefault="00FA40E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070532"/>
      <w:docPartObj>
        <w:docPartGallery w:val="Page Numbers (Bottom of Page)"/>
        <w:docPartUnique/>
      </w:docPartObj>
    </w:sdtPr>
    <w:sdtEndPr>
      <w:rPr>
        <w:noProof/>
      </w:rPr>
    </w:sdtEndPr>
    <w:sdtContent>
      <w:p w14:paraId="5F84348F" w14:textId="6AF569E8"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1C402143" w14:textId="77777777" w:rsidR="00FA40E8" w:rsidRDefault="00FA40E8">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6FD39" w14:textId="77777777" w:rsidR="00FA40E8" w:rsidRDefault="00FA40E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E89AF" w14:textId="77777777" w:rsidR="00FA40E8" w:rsidRDefault="00FA40E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77868"/>
      <w:docPartObj>
        <w:docPartGallery w:val="Page Numbers (Bottom of Page)"/>
        <w:docPartUnique/>
      </w:docPartObj>
    </w:sdtPr>
    <w:sdtEndPr>
      <w:rPr>
        <w:noProof/>
      </w:rPr>
    </w:sdtEndPr>
    <w:sdtContent>
      <w:p w14:paraId="672B7C0A" w14:textId="61FFA8BD"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1F0D7BDD" w14:textId="77777777" w:rsidR="00FA40E8" w:rsidRDefault="00FA40E8">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2B603" w14:textId="77777777" w:rsidR="00FA40E8" w:rsidRDefault="00FA40E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6D91F" w14:textId="77777777" w:rsidR="00FA40E8" w:rsidRDefault="00FA40E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279654"/>
      <w:docPartObj>
        <w:docPartGallery w:val="Page Numbers (Bottom of Page)"/>
        <w:docPartUnique/>
      </w:docPartObj>
    </w:sdtPr>
    <w:sdtEndPr>
      <w:rPr>
        <w:noProof/>
      </w:rPr>
    </w:sdtEndPr>
    <w:sdtContent>
      <w:p w14:paraId="4554190C" w14:textId="0C273639"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2DD471B8" w14:textId="77777777" w:rsidR="00FA40E8" w:rsidRDefault="00FA40E8">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DD87" w14:textId="77777777" w:rsidR="00FA40E8" w:rsidRDefault="00FA40E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C7E16" w14:textId="77777777" w:rsidR="00FA40E8" w:rsidRDefault="00FA40E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302154"/>
      <w:docPartObj>
        <w:docPartGallery w:val="Page Numbers (Bottom of Page)"/>
        <w:docPartUnique/>
      </w:docPartObj>
    </w:sdtPr>
    <w:sdtEndPr>
      <w:rPr>
        <w:noProof/>
      </w:rPr>
    </w:sdtEndPr>
    <w:sdtContent>
      <w:p w14:paraId="6C3CACEC" w14:textId="457ACBC1" w:rsidR="00FA40E8" w:rsidRDefault="00E74AE8">
        <w:pPr>
          <w:pStyle w:val="Footer"/>
          <w:jc w:val="center"/>
        </w:pPr>
        <w:r>
          <w:fldChar w:fldCharType="begin"/>
        </w:r>
        <w:r>
          <w:instrText xml:space="preserve"> PAG</w:instrText>
        </w:r>
        <w:r>
          <w:instrText xml:space="preserve">E   \* MERGEFORMAT </w:instrText>
        </w:r>
        <w:r>
          <w:fldChar w:fldCharType="separate"/>
        </w:r>
        <w:r>
          <w:t>2</w:t>
        </w:r>
        <w:r>
          <w:fldChar w:fldCharType="end"/>
        </w:r>
      </w:p>
    </w:sdtContent>
  </w:sdt>
  <w:p w14:paraId="69510F9C" w14:textId="77777777" w:rsidR="00FA40E8" w:rsidRDefault="00FA40E8">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560D6" w14:textId="77777777" w:rsidR="00FA40E8" w:rsidRDefault="00FA40E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0ADD" w14:textId="77777777" w:rsidR="00FA40E8" w:rsidRDefault="00FA40E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8502556"/>
      <w:docPartObj>
        <w:docPartGallery w:val="Page Numbers (Bottom of Page)"/>
        <w:docPartUnique/>
      </w:docPartObj>
    </w:sdtPr>
    <w:sdtEndPr>
      <w:rPr>
        <w:noProof/>
      </w:rPr>
    </w:sdtEndPr>
    <w:sdtContent>
      <w:p w14:paraId="7330B187" w14:textId="2F17CF10"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7CD07DC7" w14:textId="77777777" w:rsidR="00FA40E8" w:rsidRDefault="00FA40E8">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9F84C" w14:textId="77777777" w:rsidR="00FA40E8" w:rsidRDefault="00FA40E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44E9A" w14:textId="77777777" w:rsidR="00FA40E8" w:rsidRDefault="00FA40E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7657008"/>
      <w:docPartObj>
        <w:docPartGallery w:val="Page Numbers (Bottom of Page)"/>
        <w:docPartUnique/>
      </w:docPartObj>
    </w:sdtPr>
    <w:sdtEndPr>
      <w:rPr>
        <w:noProof/>
      </w:rPr>
    </w:sdtEndPr>
    <w:sdtContent>
      <w:p w14:paraId="0C9E3C76" w14:textId="6C518BCD"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6F950BF8" w14:textId="77777777" w:rsidR="00FA40E8" w:rsidRDefault="00FA40E8">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84D3" w14:textId="77777777" w:rsidR="00FA40E8" w:rsidRDefault="00FA40E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83142" w14:textId="77777777" w:rsidR="00FA40E8" w:rsidRDefault="00FA40E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079968"/>
      <w:docPartObj>
        <w:docPartGallery w:val="Page Numbers (Bottom of Page)"/>
        <w:docPartUnique/>
      </w:docPartObj>
    </w:sdtPr>
    <w:sdtEndPr>
      <w:rPr>
        <w:noProof/>
      </w:rPr>
    </w:sdtEndPr>
    <w:sdtContent>
      <w:p w14:paraId="62C20B30" w14:textId="2DF2F99A"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59A3C7AD" w14:textId="77777777" w:rsidR="00FA40E8" w:rsidRDefault="00FA40E8">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0C85" w14:textId="77777777" w:rsidR="00FA40E8" w:rsidRDefault="00FA40E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59697" w14:textId="77777777" w:rsidR="00FA40E8" w:rsidRDefault="00FA40E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874411"/>
      <w:docPartObj>
        <w:docPartGallery w:val="Page Numbers (Bottom of Page)"/>
        <w:docPartUnique/>
      </w:docPartObj>
    </w:sdtPr>
    <w:sdtEndPr>
      <w:rPr>
        <w:noProof/>
      </w:rPr>
    </w:sdtEndPr>
    <w:sdtContent>
      <w:p w14:paraId="029474F1" w14:textId="4BC14A57"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68E3B029" w14:textId="77777777" w:rsidR="00FA40E8" w:rsidRDefault="00FA40E8">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486EB" w14:textId="77777777" w:rsidR="00FA40E8" w:rsidRDefault="00FA40E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56DDE" w14:textId="77777777" w:rsidR="00FA40E8" w:rsidRDefault="00FA40E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838931"/>
      <w:docPartObj>
        <w:docPartGallery w:val="Page Numbers (Bottom of Page)"/>
        <w:docPartUnique/>
      </w:docPartObj>
    </w:sdtPr>
    <w:sdtEndPr>
      <w:rPr>
        <w:noProof/>
      </w:rPr>
    </w:sdtEndPr>
    <w:sdtContent>
      <w:p w14:paraId="517B260C" w14:textId="3C30DB02"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7B5E70CB" w14:textId="77777777" w:rsidR="00FA40E8" w:rsidRDefault="00FA40E8">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F89F5" w14:textId="77777777" w:rsidR="00FA40E8" w:rsidRDefault="00FA40E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3693A" w14:textId="77777777" w:rsidR="00FA40E8" w:rsidRDefault="00FA40E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209767"/>
      <w:docPartObj>
        <w:docPartGallery w:val="Page Numbers (Bottom of Page)"/>
        <w:docPartUnique/>
      </w:docPartObj>
    </w:sdtPr>
    <w:sdtEndPr>
      <w:rPr>
        <w:noProof/>
      </w:rPr>
    </w:sdtEndPr>
    <w:sdtContent>
      <w:p w14:paraId="079C133E" w14:textId="14574D31"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62B082D9" w14:textId="77777777" w:rsidR="00FA40E8" w:rsidRDefault="00FA40E8">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96152" w14:textId="77777777" w:rsidR="00FA40E8" w:rsidRDefault="00FA40E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3EFA4" w14:textId="77777777" w:rsidR="00FA40E8" w:rsidRDefault="00FA40E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420810"/>
      <w:docPartObj>
        <w:docPartGallery w:val="Page Numbers (Bottom of Page)"/>
        <w:docPartUnique/>
      </w:docPartObj>
    </w:sdtPr>
    <w:sdtEndPr>
      <w:rPr>
        <w:noProof/>
      </w:rPr>
    </w:sdtEndPr>
    <w:sdtContent>
      <w:p w14:paraId="2B2CF437" w14:textId="5736FB7A"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6D54AFBE" w14:textId="77777777" w:rsidR="00FA40E8" w:rsidRDefault="00FA40E8">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2EB8" w14:textId="77777777" w:rsidR="00FA40E8" w:rsidRDefault="00FA40E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B1727" w14:textId="77777777" w:rsidR="00FA40E8" w:rsidRDefault="00FA40E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289555"/>
      <w:docPartObj>
        <w:docPartGallery w:val="Page Numbers (Bottom of Page)"/>
        <w:docPartUnique/>
      </w:docPartObj>
    </w:sdtPr>
    <w:sdtEndPr>
      <w:rPr>
        <w:noProof/>
      </w:rPr>
    </w:sdtEndPr>
    <w:sdtContent>
      <w:p w14:paraId="322DCC6F" w14:textId="34AEEFBF" w:rsidR="00FA40E8" w:rsidRDefault="00E74AE8">
        <w:pPr>
          <w:pStyle w:val="Footer"/>
          <w:jc w:val="center"/>
        </w:pPr>
        <w:r>
          <w:fldChar w:fldCharType="begin"/>
        </w:r>
        <w:r>
          <w:instrText xml:space="preserve"> PAGE   \* MERGEF</w:instrText>
        </w:r>
        <w:r>
          <w:instrText xml:space="preserve">ORMAT </w:instrText>
        </w:r>
        <w:r>
          <w:fldChar w:fldCharType="separate"/>
        </w:r>
        <w:r>
          <w:t>2</w:t>
        </w:r>
        <w:r>
          <w:fldChar w:fldCharType="end"/>
        </w:r>
      </w:p>
    </w:sdtContent>
  </w:sdt>
  <w:p w14:paraId="495FC416" w14:textId="77777777" w:rsidR="00FA40E8" w:rsidRDefault="00FA40E8">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CA43D" w14:textId="77777777" w:rsidR="00FA40E8" w:rsidRDefault="00FA40E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2069" w14:textId="77777777" w:rsidR="00FA40E8" w:rsidRDefault="00FA40E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602457"/>
      <w:docPartObj>
        <w:docPartGallery w:val="Page Numbers (Bottom of Page)"/>
        <w:docPartUnique/>
      </w:docPartObj>
    </w:sdtPr>
    <w:sdtEndPr>
      <w:rPr>
        <w:noProof/>
      </w:rPr>
    </w:sdtEndPr>
    <w:sdtContent>
      <w:p w14:paraId="21D307C0" w14:textId="765A7AD7"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3352662F" w14:textId="77777777" w:rsidR="00FA40E8" w:rsidRDefault="00FA40E8">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14343" w14:textId="77777777" w:rsidR="00FA40E8" w:rsidRDefault="00FA40E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E2814" w14:textId="77777777" w:rsidR="00FA40E8" w:rsidRDefault="00FA40E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0378201"/>
      <w:docPartObj>
        <w:docPartGallery w:val="Page Numbers (Bottom of Page)"/>
        <w:docPartUnique/>
      </w:docPartObj>
    </w:sdtPr>
    <w:sdtEndPr>
      <w:rPr>
        <w:noProof/>
      </w:rPr>
    </w:sdtEndPr>
    <w:sdtContent>
      <w:p w14:paraId="367495FD" w14:textId="619E60F6" w:rsidR="00FA40E8" w:rsidRDefault="00E74AE8">
        <w:pPr>
          <w:pStyle w:val="Footer"/>
          <w:jc w:val="center"/>
        </w:pPr>
        <w:r>
          <w:fldChar w:fldCharType="begin"/>
        </w:r>
        <w:r>
          <w:instrText xml:space="preserve"> </w:instrText>
        </w:r>
        <w:r>
          <w:instrText xml:space="preserve">PAGE   \* MERGEFORMAT </w:instrText>
        </w:r>
        <w:r>
          <w:fldChar w:fldCharType="separate"/>
        </w:r>
        <w:r>
          <w:t>2</w:t>
        </w:r>
        <w:r>
          <w:fldChar w:fldCharType="end"/>
        </w:r>
      </w:p>
    </w:sdtContent>
  </w:sdt>
  <w:p w14:paraId="631C8E15" w14:textId="77777777" w:rsidR="00FA40E8" w:rsidRDefault="00FA40E8">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EAFF7" w14:textId="77777777" w:rsidR="00FA40E8" w:rsidRDefault="00FA40E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9E692" w14:textId="77777777" w:rsidR="00FA40E8" w:rsidRDefault="00FA40E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239641"/>
      <w:docPartObj>
        <w:docPartGallery w:val="Page Numbers (Bottom of Page)"/>
        <w:docPartUnique/>
      </w:docPartObj>
    </w:sdtPr>
    <w:sdtEndPr>
      <w:rPr>
        <w:noProof/>
      </w:rPr>
    </w:sdtEndPr>
    <w:sdtContent>
      <w:p w14:paraId="30AEBED1" w14:textId="6A219B73"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598D8B22" w14:textId="77777777" w:rsidR="00FA40E8" w:rsidRDefault="00FA40E8">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7F653" w14:textId="77777777" w:rsidR="00FA40E8" w:rsidRDefault="00FA40E8">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91DA6" w14:textId="77777777" w:rsidR="00FA40E8" w:rsidRDefault="00FA40E8">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941"/>
      <w:docPartObj>
        <w:docPartGallery w:val="Page Numbers (Bottom of Page)"/>
        <w:docPartUnique/>
      </w:docPartObj>
    </w:sdtPr>
    <w:sdtEndPr>
      <w:rPr>
        <w:noProof/>
      </w:rPr>
    </w:sdtEndPr>
    <w:sdtContent>
      <w:p w14:paraId="1C77966A" w14:textId="785C14D4"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3F7AD13A" w14:textId="77777777" w:rsidR="00FA40E8" w:rsidRDefault="00FA40E8">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7B1C5" w14:textId="77777777" w:rsidR="00FA40E8" w:rsidRDefault="00FA40E8">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2D7A8" w14:textId="77777777" w:rsidR="00FA40E8" w:rsidRDefault="00FA40E8">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031536"/>
      <w:docPartObj>
        <w:docPartGallery w:val="Page Numbers (Bottom of Page)"/>
        <w:docPartUnique/>
      </w:docPartObj>
    </w:sdtPr>
    <w:sdtEndPr>
      <w:rPr>
        <w:noProof/>
      </w:rPr>
    </w:sdtEndPr>
    <w:sdtContent>
      <w:p w14:paraId="0E80050B" w14:textId="08AC08AA"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54E3FF29" w14:textId="77777777" w:rsidR="00FA40E8" w:rsidRDefault="00FA40E8">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D5DFE" w14:textId="77777777" w:rsidR="00FA40E8" w:rsidRDefault="00FA40E8">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E01" w14:textId="77777777" w:rsidR="00FA40E8" w:rsidRDefault="00FA40E8">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7500814"/>
      <w:docPartObj>
        <w:docPartGallery w:val="Page Numbers (Bottom of Page)"/>
        <w:docPartUnique/>
      </w:docPartObj>
    </w:sdtPr>
    <w:sdtEndPr>
      <w:rPr>
        <w:noProof/>
      </w:rPr>
    </w:sdtEndPr>
    <w:sdtContent>
      <w:p w14:paraId="1C36A083" w14:textId="37B26734" w:rsidR="00FA40E8" w:rsidRDefault="00E74AE8">
        <w:pPr>
          <w:pStyle w:val="Footer"/>
          <w:jc w:val="center"/>
        </w:pPr>
        <w:r>
          <w:fldChar w:fldCharType="begin"/>
        </w:r>
        <w:r>
          <w:instrText xml:space="preserve"> PAGE   \* MERGEFORMAT </w:instrText>
        </w:r>
        <w:r>
          <w:fldChar w:fldCharType="separate"/>
        </w:r>
        <w:r>
          <w:t>2</w:t>
        </w:r>
        <w:r>
          <w:fldChar w:fldCharType="end"/>
        </w:r>
      </w:p>
    </w:sdtContent>
  </w:sdt>
  <w:p w14:paraId="58B7A552" w14:textId="77777777" w:rsidR="00FA40E8" w:rsidRDefault="00FA40E8">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30C5D" w14:textId="77777777" w:rsidR="00FA40E8" w:rsidRDefault="00FA4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B0D7C" w14:textId="77777777" w:rsidR="00E65AE2" w:rsidRDefault="00E65AE2">
      <w:pPr>
        <w:spacing w:after="0" w:line="240" w:lineRule="auto"/>
      </w:pPr>
      <w:r>
        <w:separator/>
      </w:r>
    </w:p>
  </w:footnote>
  <w:footnote w:type="continuationSeparator" w:id="0">
    <w:p w14:paraId="1E36EB6A" w14:textId="77777777" w:rsidR="00E65AE2" w:rsidRDefault="00E65AE2">
      <w:pPr>
        <w:spacing w:after="0" w:line="240" w:lineRule="auto"/>
      </w:pPr>
      <w:r>
        <w:continuationSeparator/>
      </w:r>
    </w:p>
  </w:footnote>
  <w:footnote w:type="continuationNotice" w:id="1">
    <w:p w14:paraId="4BFFBCD7" w14:textId="77777777" w:rsidR="00E65AE2" w:rsidRDefault="00E65AE2">
      <w:pPr>
        <w:spacing w:after="0" w:line="240" w:lineRule="auto"/>
      </w:pPr>
    </w:p>
  </w:footnote>
  <w:footnote w:id="2">
    <w:p w14:paraId="4E11A054" w14:textId="77777777" w:rsidR="00FA40E8" w:rsidRDefault="00E74AE8">
      <w:pPr>
        <w:pStyle w:val="FootnoteText"/>
        <w:ind w:left="0" w:firstLine="0"/>
      </w:pPr>
      <w:r>
        <w:rPr>
          <w:rStyle w:val="FootnoteReference"/>
        </w:rPr>
        <w:footnoteRef/>
      </w:r>
      <w:r>
        <w:t xml:space="preserve"> Lorsque l’activité soutenue atteint des projections d’émissions de gaz à effet d</w:t>
      </w:r>
      <w:r>
        <w:t>e serre qui ne sont pas nettement inférieures aux référentiels pertinents, il convient d’expliquer les raisons pour lesquelles cela n’est pas possible. Référentiels établis aux fins de l’allocation de quotas à titre gratuit pour des activités relevant du c</w:t>
      </w:r>
      <w:r>
        <w:t>hamp d’application du système d’échange de quotas d’émission, conformément au règlement d’exécution (UE) 2021/447 de la Commission.</w:t>
      </w:r>
    </w:p>
  </w:footnote>
  <w:footnote w:id="3">
    <w:p w14:paraId="40511198" w14:textId="74AF48F7" w:rsidR="00FA40E8" w:rsidRDefault="00E74AE8">
      <w:pPr>
        <w:pStyle w:val="FootnoteText"/>
        <w:ind w:left="0" w:firstLine="0"/>
      </w:pPr>
      <w:r>
        <w:rPr>
          <w:rStyle w:val="FootnoteReference"/>
        </w:rPr>
        <w:footnoteRef/>
      </w:r>
      <w:r>
        <w:t xml:space="preserve"> À l’exception a) des actifs et activités de production d’électricité et/ou de chaleur, ainsi que des infrastructures conne</w:t>
      </w:r>
      <w:r>
        <w:t xml:space="preserve">xes de transport et de distribution, utilisant du gaz naturel, qui sont conformes aux conditions énoncées à l’annexe III des orientations techniques «Ne pas causer de préjudice important» (2021/C58/01) et b) des activités et actifs visés au point ii) pour </w:t>
      </w:r>
      <w:r>
        <w:t>lesquels l’utilisation de combustibles fossiles est temporaire et techniquement inévitable aux fins de la transition en temps utile vers une exploitation sans combustibles fossiles.</w:t>
      </w:r>
    </w:p>
  </w:footnote>
  <w:footnote w:id="4">
    <w:p w14:paraId="011CDA5A" w14:textId="463659FE" w:rsidR="00FA40E8" w:rsidRDefault="00E74AE8">
      <w:pPr>
        <w:pStyle w:val="FootnoteText"/>
        <w:ind w:left="0" w:firstLine="0"/>
      </w:pPr>
      <w:r>
        <w:rPr>
          <w:rStyle w:val="FootnoteReference"/>
        </w:rPr>
        <w:footnoteRef/>
      </w:r>
      <w:r>
        <w:t xml:space="preserve"> Lorsque l’activité soutenue atteint des projections d’émissions de gaz à</w:t>
      </w:r>
      <w:r>
        <w:t xml:space="preserve"> effet de serre qui ne sont pas nettement inférieures aux référentiels pertinents, une explication des raisons pour lesquelles cela n’est pas possible est fournie. Référentiels établis aux fins de l’allocation de quotas à titre gratuit pour des activités r</w:t>
      </w:r>
      <w:r>
        <w:t>elevant du champ d’application du système d’échange de quotas d’émission, conformément au règlement d’exécution (UE) 2021/447 de la Commission.</w:t>
      </w:r>
    </w:p>
  </w:footnote>
  <w:footnote w:id="5">
    <w:p w14:paraId="7BC8A16C" w14:textId="0979677C" w:rsidR="00FA40E8" w:rsidRDefault="00E74AE8">
      <w:pPr>
        <w:pStyle w:val="FootnoteText"/>
        <w:ind w:left="0" w:firstLine="0"/>
      </w:pPr>
      <w:r>
        <w:rPr>
          <w:rStyle w:val="FootnoteReference"/>
        </w:rPr>
        <w:footnoteRef/>
      </w:r>
      <w:r>
        <w:t xml:space="preserve"> Cette exclusion ne s’applique pas aux actions menées au titre de la présente mesure dans des installations exc</w:t>
      </w:r>
      <w:r>
        <w:t xml:space="preserve">lusivement consacrées au traitement des déchets dangereux non recyclables, ni aux installations existantes, lorsque les actions menées au titre de la présente mesure visent à accroître l’efficacité énergétique, à capter les gaz d’échappement à des fins de </w:t>
      </w:r>
      <w:r>
        <w:t>stockage ou d’utilisation ou à récupérer les matières provenant des cendres d’incinération, à condition que ces actions au titre de la présente mesure n’entraînent pas une augmentation de la capacité de traitement des déchets des installations ou une prolo</w:t>
      </w:r>
      <w:r>
        <w:t>ngation de la durée de vie des installations; pour lesquels des éléments de preuve sont fournis au niveau des installations.</w:t>
      </w:r>
    </w:p>
  </w:footnote>
  <w:footnote w:id="6">
    <w:p w14:paraId="26D99F5C" w14:textId="15D4C3EE" w:rsidR="00FA40E8" w:rsidRDefault="00E74AE8">
      <w:pPr>
        <w:pStyle w:val="FootnoteText"/>
        <w:ind w:left="0" w:firstLine="0"/>
      </w:pPr>
      <w:r>
        <w:rPr>
          <w:rStyle w:val="FootnoteReference"/>
        </w:rPr>
        <w:footnoteRef/>
      </w:r>
      <w:r>
        <w:t xml:space="preserve"> Cette exclusion ne s’applique pas aux actions menées au titre de la présente mesure dans des installations de traitement biomécan</w:t>
      </w:r>
      <w:r>
        <w:t>ique existantes, lorsque les actions menées au titre de la présente mesure visent à accroître l’efficacité énergétique ou à adapter les opérations de recyclage des déchets séparés aux biodéchets composts et à la digestion anaérobie des biodéchets, à condit</w:t>
      </w:r>
      <w:r>
        <w:t>ion que ces actions au titre de la présente mesure n’entraînent pas une augmentation de la capacité de traitement des déchets des installations ou une prolongation de la durée de vie des installations; pour lesquels des éléments de preuve sont fournis au n</w:t>
      </w:r>
      <w:r>
        <w:t>iveau des installations.</w:t>
      </w:r>
    </w:p>
  </w:footnote>
  <w:footnote w:id="7">
    <w:p w14:paraId="15128327" w14:textId="15616991" w:rsidR="00FA40E8" w:rsidRDefault="00E74AE8">
      <w:pPr>
        <w:pStyle w:val="FootnoteText"/>
        <w:ind w:left="142" w:hanging="142"/>
        <w:rPr>
          <w:sz w:val="18"/>
          <w:szCs w:val="18"/>
        </w:rPr>
      </w:pPr>
      <w:r>
        <w:rPr>
          <w:rStyle w:val="FootnoteReference"/>
          <w:sz w:val="18"/>
        </w:rPr>
        <w:footnoteRef/>
      </w:r>
      <w:r>
        <w:rPr>
          <w:sz w:val="18"/>
        </w:rPr>
        <w:t xml:space="preserve"> À l’exception a) des actifs et activités de production d’électricité et/ou de chaleur, ainsi que des infrastructures connexes de transport et de distribution, utilisant du gaz naturel, qui sont conformes aux conditions énoncées à</w:t>
      </w:r>
      <w:r>
        <w:rPr>
          <w:sz w:val="18"/>
        </w:rPr>
        <w:t xml:space="preserve"> l’annexe III des orientations techniques «Ne pas causer de préjudice important» (2021/C58/01) et b) des activités et actifs visés au point ii) pour lesquels l’utilisation de combustibles fossiles est temporaire et techniquement inévitable aux fins de la t</w:t>
      </w:r>
      <w:r>
        <w:rPr>
          <w:sz w:val="18"/>
        </w:rPr>
        <w:t>ransition en temps utile vers une exploitation sans combustibles fossiles.</w:t>
      </w:r>
    </w:p>
  </w:footnote>
  <w:footnote w:id="8">
    <w:p w14:paraId="27B503BB" w14:textId="29C9375B" w:rsidR="00FA40E8" w:rsidRDefault="00E74AE8">
      <w:pPr>
        <w:pStyle w:val="FootnoteText"/>
        <w:ind w:left="142" w:hanging="142"/>
      </w:pPr>
      <w:r>
        <w:rPr>
          <w:rStyle w:val="FootnoteReference"/>
          <w:sz w:val="18"/>
        </w:rPr>
        <w:footnoteRef/>
      </w:r>
      <w:r>
        <w:rPr>
          <w:rStyle w:val="FootnoteReference"/>
          <w:sz w:val="18"/>
        </w:rPr>
        <w:t xml:space="preserve"> </w:t>
      </w:r>
      <w:r>
        <w:rPr>
          <w:sz w:val="18"/>
        </w:rPr>
        <w:t>Lorsque l’activité soutenue atteint des projections d’émissions de gaz à effet de serre qui ne sont pas ne</w:t>
      </w:r>
      <w:r>
        <w:rPr>
          <w:sz w:val="18"/>
        </w:rPr>
        <w:t xml:space="preserve">ttement inférieures aux référentiels pertinents, une explication des raisons pour lesquelles cela n’est pas possible est fournie. Référentiels établis aux fins de l’allocation de quotas à titre gratuit pour des activités relevant du champ d’application du </w:t>
      </w:r>
      <w:r>
        <w:rPr>
          <w:sz w:val="18"/>
        </w:rPr>
        <w:t>système d’échange de quotas d’émission, conformément au règlement d’exécution (UE) 2021/447 de la Commission.</w:t>
      </w:r>
    </w:p>
  </w:footnote>
  <w:footnote w:id="9">
    <w:p w14:paraId="665CF0C7" w14:textId="766A6D53" w:rsidR="00FA40E8" w:rsidRDefault="00E74AE8">
      <w:pPr>
        <w:pStyle w:val="FootnoteText"/>
      </w:pPr>
      <w:r>
        <w:rPr>
          <w:rStyle w:val="FootnoteReference"/>
          <w:sz w:val="18"/>
        </w:rPr>
        <w:footnoteRef/>
      </w:r>
      <w:r>
        <w:rPr>
          <w:sz w:val="18"/>
        </w:rPr>
        <w:t xml:space="preserve"> Cette exclusion ne s’applique pas aux actions menées au titre de cette mesure dans des installations de traitement biomécanique existantes, lors</w:t>
      </w:r>
      <w:r>
        <w:rPr>
          <w:sz w:val="18"/>
        </w:rPr>
        <w:t>que les actions</w:t>
      </w:r>
    </w:p>
  </w:footnote>
  <w:footnote w:id="10">
    <w:p w14:paraId="168DFCF4" w14:textId="4E6BB73C" w:rsidR="00FA40E8" w:rsidRDefault="00E74AE8">
      <w:pPr>
        <w:pStyle w:val="FootnoteText"/>
        <w:ind w:left="142" w:hanging="142"/>
      </w:pPr>
      <w:r>
        <w:rPr>
          <w:rStyle w:val="FootnoteReference"/>
          <w:sz w:val="18"/>
        </w:rPr>
        <w:footnoteRef/>
      </w:r>
      <w:r>
        <w:rPr>
          <w:sz w:val="18"/>
        </w:rPr>
        <w:t xml:space="preserve"> Il est considéré qu’un bénéficiaire final met «fortement l’accent» sur un secteur ou une activité commerciale si ce secteur ou cette activité est identifié (e) comme étant une partie essentielle de l’activité commerciale du bénéficiaire final par rapport </w:t>
      </w:r>
      <w:r>
        <w:rPr>
          <w:sz w:val="18"/>
        </w:rPr>
        <w:t>aux recettes brutes, aux bénéfices ou à la clientèle du bénéficiaire final. Les recettes brutes générées par le secteur ou l’activité faisant l’objet de restrictions ne dépassent en aucun cas 50 % des recettes brutes.</w:t>
      </w:r>
    </w:p>
  </w:footnote>
  <w:footnote w:id="11">
    <w:p w14:paraId="602DDD61" w14:textId="77777777" w:rsidR="00FA40E8" w:rsidRDefault="00E74AE8">
      <w:pPr>
        <w:pStyle w:val="FootnoteText"/>
        <w:ind w:left="142" w:hanging="142"/>
      </w:pPr>
      <w:r>
        <w:rPr>
          <w:sz w:val="18"/>
        </w:rPr>
        <w:t xml:space="preserve">À l’ </w:t>
      </w:r>
      <w:r>
        <w:rPr>
          <w:rStyle w:val="FootnoteReference"/>
          <w:sz w:val="18"/>
        </w:rPr>
        <w:footnoteRef/>
      </w:r>
      <w:r>
        <w:rPr>
          <w:rStyle w:val="FootnoteReference"/>
          <w:sz w:val="18"/>
        </w:rPr>
        <w:t xml:space="preserve"> </w:t>
      </w:r>
      <w:r>
        <w:rPr>
          <w:sz w:val="18"/>
        </w:rPr>
        <w:t>exception a) des actifs et acti</w:t>
      </w:r>
      <w:r>
        <w:rPr>
          <w:sz w:val="18"/>
        </w:rPr>
        <w:t>vités de production d’électricité et/ou de chaleur, ainsi que des infrastructures connexes de transport et de distribution, utilisant du gaz naturel, qui sont conformes aux conditions énoncées à l’annexe III des orientations techniques «Ne pas causer de pr</w:t>
      </w:r>
      <w:r>
        <w:rPr>
          <w:sz w:val="18"/>
        </w:rPr>
        <w:t>éjudice important» (2021/C58/01) et b) des activités et actifs visés au point ii) pour lesquels l’utilisation de combustibles fossiles est temporaire et techniquement inévitable aux fins de la transition en temps utile vers une exploitation sans combustibl</w:t>
      </w:r>
      <w:r>
        <w:rPr>
          <w:sz w:val="18"/>
        </w:rPr>
        <w:t>es fossiles.</w:t>
      </w:r>
    </w:p>
  </w:footnote>
  <w:footnote w:id="12">
    <w:p w14:paraId="5A92A9AE" w14:textId="77777777" w:rsidR="00FA40E8" w:rsidRDefault="00E74AE8">
      <w:pPr>
        <w:pStyle w:val="FootnoteText"/>
        <w:ind w:left="142" w:hanging="142"/>
      </w:pPr>
      <w:r>
        <w:rPr>
          <w:rStyle w:val="FootnoteReference"/>
          <w:sz w:val="18"/>
        </w:rPr>
        <w:footnoteRef/>
      </w:r>
      <w:r>
        <w:rPr>
          <w:rStyle w:val="FootnoteReference"/>
          <w:sz w:val="18"/>
        </w:rPr>
        <w:t xml:space="preserve"> </w:t>
      </w:r>
      <w:r>
        <w:rPr>
          <w:sz w:val="18"/>
        </w:rPr>
        <w:t>Y compris les activités et les actifs relevant du système d’échange de quotas d’émission de l’UE (SEQE) permettant d’atteindre les émissions de gaz à effet de serre prévues qui ne sont pas inférieures aux référentiels pertinents. Lorsque l’a</w:t>
      </w:r>
      <w:r>
        <w:rPr>
          <w:sz w:val="18"/>
        </w:rPr>
        <w:t>ctivité soutenue atteint des projections d’émissions de gaz à effet de serre qui ne sont pas nettement inférieures aux référentiels pertinents, une explication des raisons pour lesquelles cela n’est pas possible est fournie. Référentiels établis aux fins d</w:t>
      </w:r>
      <w:r>
        <w:rPr>
          <w:sz w:val="18"/>
        </w:rPr>
        <w:t>e l’allocation de quotas à titre gratuit pour des activités relevant du champ d’application du système d’échange de quotas d’émission, conformément au règlement d’exécution (UE) 2021/447 de la Commission.</w:t>
      </w:r>
    </w:p>
  </w:footnote>
  <w:footnote w:id="13">
    <w:p w14:paraId="47845113" w14:textId="77777777" w:rsidR="00FA40E8" w:rsidRDefault="00E74AE8">
      <w:pPr>
        <w:pStyle w:val="FootnoteText"/>
      </w:pPr>
      <w:r>
        <w:rPr>
          <w:rStyle w:val="FootnoteReference"/>
          <w:sz w:val="18"/>
        </w:rPr>
        <w:footnoteRef/>
      </w:r>
      <w:r>
        <w:rPr>
          <w:rStyle w:val="FootnoteReference"/>
          <w:sz w:val="18"/>
        </w:rPr>
        <w:t xml:space="preserve"> </w:t>
      </w:r>
      <w:r>
        <w:rPr>
          <w:rFonts w:eastAsia="EC Square Sans Pro"/>
          <w:sz w:val="18"/>
        </w:rPr>
        <w:t>Les véhicules polluants sont définis comme des vé</w:t>
      </w:r>
      <w:r>
        <w:rPr>
          <w:rFonts w:eastAsia="EC Square Sans Pro"/>
          <w:sz w:val="18"/>
        </w:rPr>
        <w:t>hicules non zéro-émission.</w:t>
      </w:r>
    </w:p>
  </w:footnote>
  <w:footnote w:id="14">
    <w:p w14:paraId="3A273014" w14:textId="77777777" w:rsidR="00FA40E8" w:rsidRDefault="00E74AE8">
      <w:pPr>
        <w:pStyle w:val="FootnoteText"/>
        <w:ind w:left="142" w:hanging="142"/>
      </w:pPr>
      <w:r>
        <w:rPr>
          <w:rStyle w:val="FootnoteReference"/>
          <w:sz w:val="18"/>
        </w:rPr>
        <w:t xml:space="preserve">Cette </w:t>
      </w:r>
      <w:r>
        <w:rPr>
          <w:rStyle w:val="FootnoteReference"/>
          <w:sz w:val="18"/>
        </w:rPr>
        <w:footnoteRef/>
      </w:r>
      <w:r>
        <w:rPr>
          <w:rStyle w:val="FootnoteReference"/>
          <w:sz w:val="18"/>
        </w:rPr>
        <w:t xml:space="preserve"> </w:t>
      </w:r>
      <w:r>
        <w:rPr>
          <w:rFonts w:eastAsia="Times New Roman"/>
          <w:sz w:val="18"/>
        </w:rPr>
        <w:t>exclusion ne s’applique pas aux actions menées dans des installations exclusivement consacrées au traitement des déchets dangereux non recyclables, ni aux installations existantes, lorsque les actions menées au titre de l</w:t>
      </w:r>
      <w:r>
        <w:rPr>
          <w:rFonts w:eastAsia="Times New Roman"/>
          <w:sz w:val="18"/>
        </w:rPr>
        <w:t>a présente mesure visent à accroître l’efficacité énergétique, à capter les gaz d’échappement en vue de leur stockage ou de leur utilisation ou à récupérer les matières provenant des cendres d’incinération, à condition que ces actions au titre de la présen</w:t>
      </w:r>
      <w:r>
        <w:rPr>
          <w:rFonts w:eastAsia="Times New Roman"/>
          <w:sz w:val="18"/>
        </w:rPr>
        <w:t>te mesure n’entraînent pas une augmentation de la capacité de traitement des déchets des installations ou une prolongation de la durée de vie des installations; pour lesquels des éléments de preuve sont fournis au niveau des installations.</w:t>
      </w:r>
    </w:p>
  </w:footnote>
  <w:footnote w:id="15">
    <w:p w14:paraId="7327A757" w14:textId="77777777" w:rsidR="00FA40E8" w:rsidRDefault="00E74AE8">
      <w:pPr>
        <w:pStyle w:val="FootnoteText"/>
        <w:ind w:left="0" w:firstLine="0"/>
      </w:pPr>
      <w:r>
        <w:rPr>
          <w:rStyle w:val="FootnoteReference"/>
        </w:rPr>
        <w:footnoteRef/>
      </w:r>
      <w:r>
        <w:t xml:space="preserve"> </w:t>
      </w:r>
      <w:r>
        <w:rPr>
          <w:rStyle w:val="normaltextrun"/>
          <w:shd w:val="clear" w:color="auto" w:fill="FFFFFF"/>
        </w:rPr>
        <w:t xml:space="preserve">À l’exception </w:t>
      </w:r>
      <w:r>
        <w:rPr>
          <w:rStyle w:val="normaltextrun"/>
          <w:shd w:val="clear" w:color="auto" w:fill="FFFFFF"/>
        </w:rPr>
        <w:t>a) des actifs et activités de production d’électricité et/ou de chaleur, ainsi que des infrastructures connexes de transport et de distribution, utilisant du gaz naturel, qui sont conformes aux conditions énoncées à l’annexe III des orientations techniques</w:t>
      </w:r>
      <w:r>
        <w:rPr>
          <w:rStyle w:val="normaltextrun"/>
          <w:shd w:val="clear" w:color="auto" w:fill="FFFFFF"/>
        </w:rPr>
        <w:t xml:space="preserve"> «Ne pas causer de préjudice important» (2021/C58/01) et b) des activités et actifs visés au point ii) pour lesquels l’utilisation de combustibles fossiles est temporaire et techniquement inévitable aux fins de la transition en temps utile vers une exploit</w:t>
      </w:r>
      <w:r>
        <w:rPr>
          <w:rStyle w:val="normaltextrun"/>
          <w:shd w:val="clear" w:color="auto" w:fill="FFFFFF"/>
        </w:rPr>
        <w:t>ation sans combustibles fossiles.</w:t>
      </w:r>
    </w:p>
  </w:footnote>
  <w:footnote w:id="16">
    <w:p w14:paraId="534BB2DC" w14:textId="77777777" w:rsidR="00FA40E8" w:rsidRDefault="00E74AE8">
      <w:pPr>
        <w:pStyle w:val="FootnoteText"/>
        <w:ind w:left="0" w:firstLine="0"/>
      </w:pPr>
      <w:r>
        <w:rPr>
          <w:rStyle w:val="FootnoteReference"/>
        </w:rPr>
        <w:footnoteRef/>
      </w:r>
      <w:r>
        <w:t xml:space="preserve"> </w:t>
      </w:r>
      <w:r>
        <w:rPr>
          <w:rStyle w:val="normaltextrun"/>
          <w:bdr w:val="none" w:sz="0" w:space="0" w:color="auto" w:frame="1"/>
        </w:rPr>
        <w:t>Lorsque l’activité soutenue atteint des projections d’émissions de gaz à effet de serre qui ne sont pas nettement inférieures aux référentiels pertinents, une explication des raisons pour lesquelles cela n’est pas possib</w:t>
      </w:r>
      <w:r>
        <w:rPr>
          <w:rStyle w:val="normaltextrun"/>
          <w:bdr w:val="none" w:sz="0" w:space="0" w:color="auto" w:frame="1"/>
        </w:rPr>
        <w:t xml:space="preserve">le est fournie. Référentiels établis aux fins de l’allocation de quotas à titre gratuit pour des activités relevant du champ d’application du système d’échange de quotas d’émission, conformément au règlement d’exécution (UE) 2021/447 de la Commission. </w:t>
      </w:r>
    </w:p>
  </w:footnote>
  <w:footnote w:id="17">
    <w:p w14:paraId="1A197E50" w14:textId="77777777" w:rsidR="00FA40E8" w:rsidRDefault="00E74AE8">
      <w:pPr>
        <w:pStyle w:val="FootnoteText"/>
        <w:ind w:left="0" w:firstLine="0"/>
      </w:pPr>
      <w:r>
        <w:rPr>
          <w:rStyle w:val="FootnoteReference"/>
        </w:rPr>
        <w:footnoteRef/>
      </w:r>
      <w:r>
        <w:t xml:space="preserve"> C</w:t>
      </w:r>
      <w:r>
        <w:t xml:space="preserve">ette exclusion ne s’applique pas aux actions menées au titre de la présente mesure dans des installations exclusivement consacrées au traitement des déchets dangereux non recyclables, ni aux installations existantes, lorsque les actions menées au titre de </w:t>
      </w:r>
      <w:r>
        <w:t>la présente mesure visent à accroître l’efficacité énergétique, à capter les gaz d’échappement à des fins de stockage ou d’utilisation ou à récupérer les matières provenant des cendres d’incinération, à condition que ces actions au titre de la présente mes</w:t>
      </w:r>
      <w:r>
        <w:t>ure n’entraînent pas une augmentation de la capacité de traitement des déchets des installations ou une prolongation de la durée de vie des installations; pour lesquels des éléments de preuve sont fournis au niveau des installations. </w:t>
      </w:r>
    </w:p>
  </w:footnote>
  <w:footnote w:id="18">
    <w:p w14:paraId="5F0F751D" w14:textId="77777777" w:rsidR="00FA40E8" w:rsidRDefault="00E74AE8">
      <w:pPr>
        <w:pStyle w:val="FootnoteText"/>
        <w:ind w:left="0" w:firstLine="0"/>
      </w:pPr>
      <w:r>
        <w:rPr>
          <w:rStyle w:val="FootnoteReference"/>
        </w:rPr>
        <w:footnoteRef/>
      </w:r>
      <w:r>
        <w:t xml:space="preserve"> Cette exclusion ne </w:t>
      </w:r>
      <w:r>
        <w:t>s’applique pas aux actions menées au titre de la présente mesure dans des installations de traitement biomécanique existantes, lorsque les actions menées au titre de la présente mesure visent à accroître l’efficacité énergétique ou à adapter les opérations</w:t>
      </w:r>
      <w:r>
        <w:t xml:space="preserve"> de recyclage des déchets séparés aux biodéchets composts et à la digestion anaérobie des biodéchets, à condition que ces actions au titre de la présente mesure n’entraînent pas une augmentation de la capacité de traitement des déchets des installations ou</w:t>
      </w:r>
      <w:r>
        <w:t xml:space="preserve"> une prolongation de la durée de vie des installations; pour lesquels des éléments de preuve sont fournis au niveau des installations. </w:t>
      </w:r>
    </w:p>
  </w:footnote>
  <w:footnote w:id="19">
    <w:p w14:paraId="6F0CC042" w14:textId="55EB88B6" w:rsidR="00FA40E8" w:rsidRDefault="00E74AE8">
      <w:pPr>
        <w:pStyle w:val="FootnoteText"/>
        <w:ind w:left="0" w:firstLine="0"/>
      </w:pPr>
      <w:r>
        <w:rPr>
          <w:rStyle w:val="FootnoteReference"/>
        </w:rPr>
        <w:footnoteRef/>
      </w:r>
      <w:r>
        <w:t xml:space="preserve"> Il est considéré qu’un bénéficiaire final met «fortement l’accent» sur un secteur ou une activité commerciale si ce se</w:t>
      </w:r>
      <w:r>
        <w:t>cteur ou cette activité est identifié (e) comme étant une partie essentielle de l’activité commerciale du bénéficiaire final par rapport aux recettes brutes, aux bénéfices ou à la clientèle du bénéficiaire final. Les recettes brutes générées par le secteur</w:t>
      </w:r>
      <w:r>
        <w:t xml:space="preserve"> ou l’activité faisant l’objet de restrictions ne dépassent en aucun cas 50 % des recettes brutes.</w:t>
      </w:r>
    </w:p>
  </w:footnote>
  <w:footnote w:id="20">
    <w:p w14:paraId="5738A54D" w14:textId="77777777" w:rsidR="00FA40E8" w:rsidRDefault="00E74AE8">
      <w:pPr>
        <w:pStyle w:val="FootnoteText"/>
        <w:ind w:left="0" w:firstLine="0"/>
      </w:pPr>
      <w:r>
        <w:rPr>
          <w:rStyle w:val="FootnoteReference"/>
        </w:rPr>
        <w:footnoteRef/>
      </w:r>
      <w:r>
        <w:t xml:space="preserve"> À l’exception a) des actifs et activités de production d’électricité et/ou de chaleur, ainsi que des infrastructures connexes de transport et de distributi</w:t>
      </w:r>
      <w:r>
        <w:t>on, utilisant du gaz naturel, qui sont conformes aux conditions énoncées à l’annexe III des orientations techniques «Ne pas causer de préjudice important» (2021/C58/01) et b) des activités et actifs visés au point ii) pour lesquels l’utilisation de combust</w:t>
      </w:r>
      <w:r>
        <w:t>ibles fossiles est temporaire et techniquement inévitable aux fins de la transition en temps utile vers une exploitation sans combustibles fossiles.</w:t>
      </w:r>
    </w:p>
  </w:footnote>
  <w:footnote w:id="21">
    <w:p w14:paraId="332A6898" w14:textId="1042C809" w:rsidR="00FA40E8" w:rsidRDefault="00E74AE8">
      <w:pPr>
        <w:pStyle w:val="FootnoteText"/>
        <w:ind w:left="0" w:firstLine="0"/>
      </w:pPr>
      <w:r>
        <w:rPr>
          <w:rStyle w:val="FootnoteReference"/>
        </w:rPr>
        <w:footnoteRef/>
      </w:r>
      <w:r>
        <w:t xml:space="preserve"> Y compris les activités et les actifs relevant du système d’échange de quotas d’émission de l’UE (SEQE) p</w:t>
      </w:r>
      <w:r>
        <w:t>ermettant d’atteindre les émissions de gaz à effet de serre prévues qui ne sont pas inférieures aux référentiels pertinents. Lorsque l’activité soutenue atteint des projections d’émissions de gaz à effet de serre qui ne sont pas nettement inférieures aux r</w:t>
      </w:r>
      <w:r>
        <w:t>éférentiels pertinents, une explication des raisons pour lesquelles cela n’est pas possible est fournie. Référentiels établis aux fins de l’allocation de quotas à titre gratuit pour des activités relevant du champ d’application du système d’échange de quot</w:t>
      </w:r>
      <w:r>
        <w:t>as d’émission, conformément au règlement d’exécution (UE) 2021/447 de la Commission.</w:t>
      </w:r>
    </w:p>
  </w:footnote>
  <w:footnote w:id="22">
    <w:p w14:paraId="7CFB5F17" w14:textId="77777777" w:rsidR="00FA40E8" w:rsidRDefault="00E74AE8">
      <w:pPr>
        <w:spacing w:after="0" w:line="240" w:lineRule="auto"/>
        <w:jc w:val="both"/>
        <w:rPr>
          <w:rFonts w:ascii="Times New Roman" w:eastAsia="Times New Roman" w:hAnsi="Times New Roman" w:cs="Times New Roman"/>
          <w:sz w:val="20"/>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20"/>
        </w:rPr>
        <w:t>Les véhicules polluants sont définis comme des véhicules non zéro-émission.</w:t>
      </w:r>
    </w:p>
  </w:footnote>
  <w:footnote w:id="23">
    <w:p w14:paraId="527BE752" w14:textId="77777777" w:rsidR="00FA40E8" w:rsidRDefault="00E74AE8">
      <w:pPr>
        <w:pStyle w:val="FootnoteText"/>
        <w:ind w:left="0" w:firstLine="0"/>
      </w:pPr>
      <w:r>
        <w:rPr>
          <w:rStyle w:val="FootnoteReference"/>
        </w:rPr>
        <w:footnoteRef/>
      </w:r>
      <w:r>
        <w:t xml:space="preserve"> Cette exclusion ne s’applique pas aux actions menées dans des installations exclusivement consacrées au traitement des déchets dangereux non recyclables, ni aux installations existantes, lorsque les actions menées au titre de la présente mesure visent à a</w:t>
      </w:r>
      <w:r>
        <w:t>ccroître l’efficacité énergétique, à capter les gaz d’échappement en vue de leur stockage ou de leur utilisation ou à récupérer les matières provenant des cendres d’incinération, à condition que ces actions au titre de la présente mesure n’entraînent pas u</w:t>
      </w:r>
      <w:r>
        <w:t>ne augmentation de la capacité de traitement des déchets des installations ou une prolongation de la durée de vie des installations; pour lesquels des éléments de preuve sont fournis au niveau des installations.</w:t>
      </w:r>
    </w:p>
  </w:footnote>
  <w:footnote w:id="24">
    <w:p w14:paraId="30D1F195" w14:textId="690A2FBF" w:rsidR="00FA40E8" w:rsidRDefault="00E74AE8">
      <w:pPr>
        <w:pStyle w:val="FootnoteText"/>
        <w:ind w:left="0" w:firstLine="0"/>
      </w:pPr>
      <w:r>
        <w:rPr>
          <w:rStyle w:val="FootnoteReference"/>
        </w:rPr>
        <w:footnoteRef/>
      </w:r>
      <w:r>
        <w:t xml:space="preserve"> Les bénéficiaires finaux associés à des pr</w:t>
      </w:r>
      <w:r>
        <w:t>ojets spécifiques sont tenus de fournir une justification du domaine d’intervention sélectionné pour chaque projet soutenu, ainsi qu’une description du projet, aux fins du calcul de la contribution à l’action pour le climat. Le partenaire chargé de la mise</w:t>
      </w:r>
      <w:r>
        <w:t xml:space="preserve"> en œuvre est également tenu de fournir à l’État membre un rapport semestriel sur la mise en œuvre de chaque projet/activité.</w:t>
      </w:r>
    </w:p>
  </w:footnote>
  <w:footnote w:id="25">
    <w:p w14:paraId="50602A81" w14:textId="77777777" w:rsidR="00FA40E8" w:rsidRDefault="00E74AE8">
      <w:pPr>
        <w:pStyle w:val="FootnoteText"/>
        <w:ind w:left="0" w:firstLine="0"/>
      </w:pPr>
      <w:r>
        <w:rPr>
          <w:rStyle w:val="FootnoteReference"/>
        </w:rPr>
        <w:footnoteRef/>
      </w:r>
      <w:r>
        <w:t xml:space="preserve"> Des données spécifiques, requises par l’article 22, paragraphe 2, point d) iii), du règlement (UE) 2021/241, peuvent être stocké</w:t>
      </w:r>
      <w:r>
        <w:t>es dans d’autres bases de données. (CVP IS, JADIS, plateforme CPMA Teams pour le suivi des jalons et cibles, VBAMS, CPMA Document Management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71308" w14:textId="77777777" w:rsidR="00E74AE8" w:rsidRPr="00E74AE8" w:rsidRDefault="00E74AE8" w:rsidP="00E74AE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B5FE5" w14:textId="77777777" w:rsidR="00E74AE8" w:rsidRPr="00E74AE8" w:rsidRDefault="00E74AE8" w:rsidP="00E74AE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80076" w14:textId="77777777" w:rsidR="00E74AE8" w:rsidRPr="00E74AE8" w:rsidRDefault="00E74AE8" w:rsidP="00E74AE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A151C" w14:textId="77777777" w:rsidR="00FA40E8" w:rsidRDefault="00FA40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D6EBF" w14:textId="77777777" w:rsidR="00FA40E8" w:rsidRDefault="00FA40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A826C" w14:textId="77777777" w:rsidR="00FA40E8" w:rsidRDefault="00FA40E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A500" w14:textId="77777777" w:rsidR="00FA40E8" w:rsidRDefault="00FA40E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935DD" w14:textId="77777777" w:rsidR="00FA40E8" w:rsidRDefault="00FA40E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7E3EF" w14:textId="77777777" w:rsidR="00FA40E8" w:rsidRDefault="00FA40E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6B382" w14:textId="77777777" w:rsidR="00FA40E8" w:rsidRDefault="00FA40E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6A463" w14:textId="77777777" w:rsidR="00FA40E8" w:rsidRDefault="00FA40E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18EFB" w14:textId="77777777" w:rsidR="00FA40E8" w:rsidRDefault="00FA40E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7259B" w14:textId="77777777" w:rsidR="00FA40E8" w:rsidRDefault="00FA40E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90CA9" w14:textId="77777777" w:rsidR="00FA40E8" w:rsidRDefault="00FA40E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0CD17" w14:textId="77777777" w:rsidR="00FA40E8" w:rsidRDefault="00FA40E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84E39" w14:textId="77777777" w:rsidR="00FA40E8" w:rsidRDefault="00FA40E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0D455" w14:textId="77777777" w:rsidR="00FA40E8" w:rsidRDefault="00FA40E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53827" w14:textId="77777777" w:rsidR="00FA40E8" w:rsidRDefault="00FA40E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E42F0" w14:textId="77777777" w:rsidR="00FA40E8" w:rsidRDefault="00FA40E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53B05" w14:textId="77777777" w:rsidR="00FA40E8" w:rsidRDefault="00FA40E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537C0" w14:textId="77777777" w:rsidR="00FA40E8" w:rsidRDefault="00FA40E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B4790" w14:textId="77777777" w:rsidR="00FA40E8" w:rsidRDefault="00FA40E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376F7" w14:textId="77777777" w:rsidR="00FA40E8" w:rsidRDefault="00FA40E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9A6ED" w14:textId="77777777" w:rsidR="00FA40E8" w:rsidRDefault="00FA40E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76D8E" w14:textId="77777777" w:rsidR="00FA40E8" w:rsidRDefault="00FA40E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C9E1" w14:textId="77777777" w:rsidR="00FA40E8" w:rsidRDefault="00FA40E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750FB" w14:textId="77777777" w:rsidR="00FA40E8" w:rsidRDefault="00FA40E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1192B" w14:textId="77777777" w:rsidR="00FA40E8" w:rsidRDefault="00FA40E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3B8A6" w14:textId="77777777" w:rsidR="00FA40E8" w:rsidRDefault="00FA40E8">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3B565" w14:textId="77777777" w:rsidR="00FA40E8" w:rsidRDefault="00FA40E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FA6A1" w14:textId="77777777" w:rsidR="00FA40E8" w:rsidRDefault="00FA40E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947A6" w14:textId="77777777" w:rsidR="00FA40E8" w:rsidRDefault="00FA40E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B7498" w14:textId="77777777" w:rsidR="00FA40E8" w:rsidRDefault="00FA40E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D801A" w14:textId="77777777" w:rsidR="00FA40E8" w:rsidRDefault="00FA40E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E47DA" w14:textId="77777777" w:rsidR="00FA40E8" w:rsidRDefault="00FA40E8">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527C4" w14:textId="77777777" w:rsidR="00FA40E8" w:rsidRDefault="00FA40E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3C619" w14:textId="77777777" w:rsidR="00FA40E8" w:rsidRDefault="00FA40E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77398" w14:textId="77777777" w:rsidR="00FA40E8" w:rsidRDefault="00FA40E8">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EF4B" w14:textId="77777777" w:rsidR="00FA40E8" w:rsidRDefault="00FA40E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6CFBC" w14:textId="77777777" w:rsidR="00FA40E8" w:rsidRDefault="00FA40E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D5AC9" w14:textId="77777777" w:rsidR="00FA40E8" w:rsidRDefault="00FA40E8">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E62FF" w14:textId="77777777" w:rsidR="00FA40E8" w:rsidRDefault="00FA40E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84987" w14:textId="77777777" w:rsidR="00FA40E8" w:rsidRDefault="00FA40E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A81E0" w14:textId="77777777" w:rsidR="00FA40E8" w:rsidRDefault="00FA40E8">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4C3BD" w14:textId="77777777" w:rsidR="00FA40E8" w:rsidRDefault="00FA40E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2D6A3" w14:textId="77777777" w:rsidR="00FA40E8" w:rsidRDefault="00FA40E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E0F90" w14:textId="77777777" w:rsidR="00FA40E8" w:rsidRDefault="00FA40E8">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EF253" w14:textId="77777777" w:rsidR="00FA40E8" w:rsidRDefault="00FA40E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6A69C" w14:textId="77777777" w:rsidR="00FA40E8" w:rsidRDefault="00FA40E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03AAC" w14:textId="77777777" w:rsidR="00FA40E8" w:rsidRDefault="00FA40E8">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405C5" w14:textId="77777777" w:rsidR="00FA40E8" w:rsidRDefault="00FA40E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98D20" w14:textId="77777777" w:rsidR="00FA40E8" w:rsidRDefault="00FA40E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E7256" w14:textId="77777777" w:rsidR="00FA40E8" w:rsidRDefault="00FA40E8">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A40EB" w14:textId="77777777" w:rsidR="00FA40E8" w:rsidRDefault="00FA40E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7367D" w14:textId="77777777" w:rsidR="00FA40E8" w:rsidRDefault="00FA40E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62F73" w14:textId="77777777" w:rsidR="00FA40E8" w:rsidRDefault="00FA40E8">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2CDA1" w14:textId="77777777" w:rsidR="00FA40E8" w:rsidRDefault="00FA40E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8F572" w14:textId="77777777" w:rsidR="00FA40E8" w:rsidRDefault="00FA40E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17579" w14:textId="77777777" w:rsidR="00FA40E8" w:rsidRDefault="00FA40E8">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565FB" w14:textId="77777777" w:rsidR="00FA40E8" w:rsidRDefault="00FA40E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A3569" w14:textId="77777777" w:rsidR="00FA40E8" w:rsidRDefault="00FA40E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18740" w14:textId="77777777" w:rsidR="00FA40E8" w:rsidRDefault="00FA40E8">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A832B" w14:textId="77777777" w:rsidR="00FA40E8" w:rsidRDefault="00FA40E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CF846" w14:textId="77777777" w:rsidR="00FA40E8" w:rsidRDefault="00FA40E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6BB08" w14:textId="77777777" w:rsidR="00FA40E8" w:rsidRDefault="00FA40E8">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EB26E" w14:textId="77777777" w:rsidR="00FA40E8" w:rsidRDefault="00FA40E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0C87F" w14:textId="77777777" w:rsidR="00FA40E8" w:rsidRDefault="00FA40E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F7600" w14:textId="77777777" w:rsidR="00FA40E8" w:rsidRDefault="00FA40E8">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D67FD" w14:textId="77777777" w:rsidR="00FA40E8" w:rsidRDefault="00FA40E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23592" w14:textId="77777777" w:rsidR="00FA40E8" w:rsidRDefault="00FA40E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9ADED" w14:textId="77777777" w:rsidR="00FA40E8" w:rsidRDefault="00FA40E8">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066CC" w14:textId="77777777" w:rsidR="00FA40E8" w:rsidRDefault="00FA40E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3C9E0" w14:textId="77777777" w:rsidR="00FA40E8" w:rsidRDefault="00FA40E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AEF63" w14:textId="77777777" w:rsidR="00FA40E8" w:rsidRDefault="00FA40E8">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855ED" w14:textId="77777777" w:rsidR="00FA40E8" w:rsidRDefault="00FA40E8">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93816" w14:textId="77777777" w:rsidR="00FA40E8" w:rsidRDefault="00FA40E8">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23D5B" w14:textId="77777777" w:rsidR="00FA40E8" w:rsidRDefault="00FA40E8">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047BF" w14:textId="77777777" w:rsidR="00FA40E8" w:rsidRDefault="00FA40E8">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B2FB3" w14:textId="77777777" w:rsidR="00FA40E8" w:rsidRDefault="00FA40E8">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53F8" w14:textId="77777777" w:rsidR="00FA40E8" w:rsidRDefault="00FA40E8">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6207D" w14:textId="77777777" w:rsidR="00FA40E8" w:rsidRDefault="00FA40E8">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EBD96" w14:textId="77777777" w:rsidR="00FA40E8" w:rsidRDefault="00FA40E8">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7B300" w14:textId="77777777" w:rsidR="00FA40E8" w:rsidRDefault="00FA40E8">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9954F" w14:textId="77777777" w:rsidR="00FA40E8" w:rsidRDefault="00FA40E8">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95C8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4EA8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30087"/>
    <w:multiLevelType w:val="hybridMultilevel"/>
    <w:tmpl w:val="FFFFFFFF"/>
    <w:lvl w:ilvl="0" w:tplc="6E8ECFB8">
      <w:start w:val="2"/>
      <w:numFmt w:val="decimal"/>
      <w:lvlText w:val="%1."/>
      <w:lvlJc w:val="left"/>
      <w:pPr>
        <w:ind w:left="720" w:hanging="360"/>
      </w:pPr>
    </w:lvl>
    <w:lvl w:ilvl="1" w:tplc="72EE8122">
      <w:start w:val="1"/>
      <w:numFmt w:val="lowerLetter"/>
      <w:lvlText w:val="%2."/>
      <w:lvlJc w:val="left"/>
      <w:pPr>
        <w:ind w:left="1440" w:hanging="360"/>
      </w:pPr>
    </w:lvl>
    <w:lvl w:ilvl="2" w:tplc="7FF453F6">
      <w:start w:val="1"/>
      <w:numFmt w:val="lowerRoman"/>
      <w:lvlText w:val="%3."/>
      <w:lvlJc w:val="right"/>
      <w:pPr>
        <w:ind w:left="2160" w:hanging="180"/>
      </w:pPr>
    </w:lvl>
    <w:lvl w:ilvl="3" w:tplc="990E4BF6">
      <w:start w:val="1"/>
      <w:numFmt w:val="decimal"/>
      <w:lvlText w:val="%4."/>
      <w:lvlJc w:val="left"/>
      <w:pPr>
        <w:ind w:left="2880" w:hanging="360"/>
      </w:pPr>
    </w:lvl>
    <w:lvl w:ilvl="4" w:tplc="8E2820E2">
      <w:start w:val="1"/>
      <w:numFmt w:val="lowerLetter"/>
      <w:lvlText w:val="%5."/>
      <w:lvlJc w:val="left"/>
      <w:pPr>
        <w:ind w:left="3600" w:hanging="360"/>
      </w:pPr>
    </w:lvl>
    <w:lvl w:ilvl="5" w:tplc="FC92EF96">
      <w:start w:val="1"/>
      <w:numFmt w:val="lowerRoman"/>
      <w:lvlText w:val="%6."/>
      <w:lvlJc w:val="right"/>
      <w:pPr>
        <w:ind w:left="4320" w:hanging="180"/>
      </w:pPr>
    </w:lvl>
    <w:lvl w:ilvl="6" w:tplc="0024D0AA">
      <w:start w:val="1"/>
      <w:numFmt w:val="decimal"/>
      <w:lvlText w:val="%7."/>
      <w:lvlJc w:val="left"/>
      <w:pPr>
        <w:ind w:left="5040" w:hanging="360"/>
      </w:pPr>
    </w:lvl>
    <w:lvl w:ilvl="7" w:tplc="80801DBC">
      <w:start w:val="1"/>
      <w:numFmt w:val="lowerLetter"/>
      <w:lvlText w:val="%8."/>
      <w:lvlJc w:val="left"/>
      <w:pPr>
        <w:ind w:left="5760" w:hanging="360"/>
      </w:pPr>
    </w:lvl>
    <w:lvl w:ilvl="8" w:tplc="2E304FEA">
      <w:start w:val="1"/>
      <w:numFmt w:val="lowerRoman"/>
      <w:lvlText w:val="%9."/>
      <w:lvlJc w:val="right"/>
      <w:pPr>
        <w:ind w:left="6480" w:hanging="180"/>
      </w:pPr>
    </w:lvl>
  </w:abstractNum>
  <w:abstractNum w:abstractNumId="11" w15:restartNumberingAfterBreak="0">
    <w:nsid w:val="0120668A"/>
    <w:multiLevelType w:val="multilevel"/>
    <w:tmpl w:val="FE6299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4171079"/>
    <w:multiLevelType w:val="multilevel"/>
    <w:tmpl w:val="4D9E22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43C2332"/>
    <w:multiLevelType w:val="hybridMultilevel"/>
    <w:tmpl w:val="C9E61CF6"/>
    <w:lvl w:ilvl="0" w:tplc="839C9450">
      <w:start w:val="1"/>
      <w:numFmt w:val="decimal"/>
      <w:lvlText w:val="%1."/>
      <w:lvlJc w:val="left"/>
      <w:pPr>
        <w:ind w:left="1920" w:hanging="360"/>
      </w:pPr>
    </w:lvl>
    <w:lvl w:ilvl="1" w:tplc="514E7B72">
      <w:start w:val="1"/>
      <w:numFmt w:val="decimal"/>
      <w:lvlText w:val="%2."/>
      <w:lvlJc w:val="left"/>
      <w:pPr>
        <w:ind w:left="1920" w:hanging="360"/>
      </w:pPr>
    </w:lvl>
    <w:lvl w:ilvl="2" w:tplc="41C6AA34">
      <w:start w:val="1"/>
      <w:numFmt w:val="decimal"/>
      <w:lvlText w:val="%3."/>
      <w:lvlJc w:val="left"/>
      <w:pPr>
        <w:ind w:left="1920" w:hanging="360"/>
      </w:pPr>
    </w:lvl>
    <w:lvl w:ilvl="3" w:tplc="29AAC134">
      <w:start w:val="1"/>
      <w:numFmt w:val="decimal"/>
      <w:lvlText w:val="%4."/>
      <w:lvlJc w:val="left"/>
      <w:pPr>
        <w:ind w:left="1920" w:hanging="360"/>
      </w:pPr>
    </w:lvl>
    <w:lvl w:ilvl="4" w:tplc="5E08F290">
      <w:start w:val="1"/>
      <w:numFmt w:val="decimal"/>
      <w:lvlText w:val="%5."/>
      <w:lvlJc w:val="left"/>
      <w:pPr>
        <w:ind w:left="1920" w:hanging="360"/>
      </w:pPr>
    </w:lvl>
    <w:lvl w:ilvl="5" w:tplc="1F068434">
      <w:start w:val="1"/>
      <w:numFmt w:val="decimal"/>
      <w:lvlText w:val="%6."/>
      <w:lvlJc w:val="left"/>
      <w:pPr>
        <w:ind w:left="1920" w:hanging="360"/>
      </w:pPr>
    </w:lvl>
    <w:lvl w:ilvl="6" w:tplc="230E4178">
      <w:start w:val="1"/>
      <w:numFmt w:val="decimal"/>
      <w:lvlText w:val="%7."/>
      <w:lvlJc w:val="left"/>
      <w:pPr>
        <w:ind w:left="1920" w:hanging="360"/>
      </w:pPr>
    </w:lvl>
    <w:lvl w:ilvl="7" w:tplc="03507668">
      <w:start w:val="1"/>
      <w:numFmt w:val="decimal"/>
      <w:lvlText w:val="%8."/>
      <w:lvlJc w:val="left"/>
      <w:pPr>
        <w:ind w:left="1920" w:hanging="360"/>
      </w:pPr>
    </w:lvl>
    <w:lvl w:ilvl="8" w:tplc="DCD42C92">
      <w:start w:val="1"/>
      <w:numFmt w:val="decimal"/>
      <w:lvlText w:val="%9."/>
      <w:lvlJc w:val="left"/>
      <w:pPr>
        <w:ind w:left="1920" w:hanging="360"/>
      </w:pPr>
    </w:lvl>
  </w:abstractNum>
  <w:abstractNum w:abstractNumId="14" w15:restartNumberingAfterBreak="0">
    <w:nsid w:val="0588CFD1"/>
    <w:multiLevelType w:val="hybridMultilevel"/>
    <w:tmpl w:val="FFFFFFFF"/>
    <w:lvl w:ilvl="0" w:tplc="9072133E">
      <w:start w:val="1"/>
      <w:numFmt w:val="bullet"/>
      <w:lvlText w:val=""/>
      <w:lvlJc w:val="left"/>
      <w:pPr>
        <w:ind w:left="360" w:hanging="360"/>
      </w:pPr>
      <w:rPr>
        <w:rFonts w:ascii="Symbol" w:hAnsi="Symbol" w:hint="default"/>
      </w:rPr>
    </w:lvl>
    <w:lvl w:ilvl="1" w:tplc="7F069BF8">
      <w:start w:val="1"/>
      <w:numFmt w:val="bullet"/>
      <w:lvlText w:val="o"/>
      <w:lvlJc w:val="left"/>
      <w:pPr>
        <w:ind w:left="1080" w:hanging="360"/>
      </w:pPr>
      <w:rPr>
        <w:rFonts w:ascii="Courier New" w:hAnsi="Courier New" w:hint="default"/>
      </w:rPr>
    </w:lvl>
    <w:lvl w:ilvl="2" w:tplc="EC5077AC">
      <w:start w:val="1"/>
      <w:numFmt w:val="bullet"/>
      <w:lvlText w:val=""/>
      <w:lvlJc w:val="left"/>
      <w:pPr>
        <w:ind w:left="1800" w:hanging="360"/>
      </w:pPr>
      <w:rPr>
        <w:rFonts w:ascii="Wingdings" w:hAnsi="Wingdings" w:hint="default"/>
      </w:rPr>
    </w:lvl>
    <w:lvl w:ilvl="3" w:tplc="A740DAEC">
      <w:start w:val="1"/>
      <w:numFmt w:val="bullet"/>
      <w:lvlText w:val=""/>
      <w:lvlJc w:val="left"/>
      <w:pPr>
        <w:ind w:left="2520" w:hanging="360"/>
      </w:pPr>
      <w:rPr>
        <w:rFonts w:ascii="Symbol" w:hAnsi="Symbol" w:hint="default"/>
      </w:rPr>
    </w:lvl>
    <w:lvl w:ilvl="4" w:tplc="4BA8BC90">
      <w:start w:val="1"/>
      <w:numFmt w:val="bullet"/>
      <w:lvlText w:val="o"/>
      <w:lvlJc w:val="left"/>
      <w:pPr>
        <w:ind w:left="3240" w:hanging="360"/>
      </w:pPr>
      <w:rPr>
        <w:rFonts w:ascii="Courier New" w:hAnsi="Courier New" w:hint="default"/>
      </w:rPr>
    </w:lvl>
    <w:lvl w:ilvl="5" w:tplc="72128CDA">
      <w:start w:val="1"/>
      <w:numFmt w:val="bullet"/>
      <w:lvlText w:val=""/>
      <w:lvlJc w:val="left"/>
      <w:pPr>
        <w:ind w:left="3960" w:hanging="360"/>
      </w:pPr>
      <w:rPr>
        <w:rFonts w:ascii="Wingdings" w:hAnsi="Wingdings" w:hint="default"/>
      </w:rPr>
    </w:lvl>
    <w:lvl w:ilvl="6" w:tplc="FAC2A7AA">
      <w:start w:val="1"/>
      <w:numFmt w:val="bullet"/>
      <w:lvlText w:val=""/>
      <w:lvlJc w:val="left"/>
      <w:pPr>
        <w:ind w:left="4680" w:hanging="360"/>
      </w:pPr>
      <w:rPr>
        <w:rFonts w:ascii="Symbol" w:hAnsi="Symbol" w:hint="default"/>
      </w:rPr>
    </w:lvl>
    <w:lvl w:ilvl="7" w:tplc="8D662972">
      <w:start w:val="1"/>
      <w:numFmt w:val="bullet"/>
      <w:lvlText w:val="o"/>
      <w:lvlJc w:val="left"/>
      <w:pPr>
        <w:ind w:left="5400" w:hanging="360"/>
      </w:pPr>
      <w:rPr>
        <w:rFonts w:ascii="Courier New" w:hAnsi="Courier New" w:hint="default"/>
      </w:rPr>
    </w:lvl>
    <w:lvl w:ilvl="8" w:tplc="71C40AC8">
      <w:start w:val="1"/>
      <w:numFmt w:val="bullet"/>
      <w:lvlText w:val=""/>
      <w:lvlJc w:val="left"/>
      <w:pPr>
        <w:ind w:left="6120" w:hanging="360"/>
      </w:pPr>
      <w:rPr>
        <w:rFonts w:ascii="Wingdings" w:hAnsi="Wingdings" w:hint="default"/>
      </w:rPr>
    </w:lvl>
  </w:abstractNum>
  <w:abstractNum w:abstractNumId="15" w15:restartNumberingAfterBreak="0">
    <w:nsid w:val="08203DF6"/>
    <w:multiLevelType w:val="hybridMultilevel"/>
    <w:tmpl w:val="FFFFFFFF"/>
    <w:lvl w:ilvl="0" w:tplc="E5D81108">
      <w:numFmt w:val="bullet"/>
      <w:lvlText w:val="•"/>
      <w:lvlJc w:val="left"/>
      <w:pPr>
        <w:ind w:left="720" w:hanging="360"/>
      </w:pPr>
      <w:rPr>
        <w:rFonts w:ascii="Times New Roman" w:hAnsi="Times New Roman" w:hint="default"/>
      </w:rPr>
    </w:lvl>
    <w:lvl w:ilvl="1" w:tplc="BC826F22">
      <w:start w:val="1"/>
      <w:numFmt w:val="bullet"/>
      <w:lvlText w:val="o"/>
      <w:lvlJc w:val="left"/>
      <w:pPr>
        <w:ind w:left="1440" w:hanging="360"/>
      </w:pPr>
      <w:rPr>
        <w:rFonts w:ascii="Courier New" w:hAnsi="Courier New" w:hint="default"/>
      </w:rPr>
    </w:lvl>
    <w:lvl w:ilvl="2" w:tplc="08DAE33A">
      <w:start w:val="1"/>
      <w:numFmt w:val="bullet"/>
      <w:lvlText w:val=""/>
      <w:lvlJc w:val="left"/>
      <w:pPr>
        <w:ind w:left="2160" w:hanging="360"/>
      </w:pPr>
      <w:rPr>
        <w:rFonts w:ascii="Wingdings" w:hAnsi="Wingdings" w:hint="default"/>
      </w:rPr>
    </w:lvl>
    <w:lvl w:ilvl="3" w:tplc="BCA47832">
      <w:start w:val="1"/>
      <w:numFmt w:val="bullet"/>
      <w:lvlText w:val=""/>
      <w:lvlJc w:val="left"/>
      <w:pPr>
        <w:ind w:left="2880" w:hanging="360"/>
      </w:pPr>
      <w:rPr>
        <w:rFonts w:ascii="Symbol" w:hAnsi="Symbol" w:hint="default"/>
      </w:rPr>
    </w:lvl>
    <w:lvl w:ilvl="4" w:tplc="A560C7E8">
      <w:start w:val="1"/>
      <w:numFmt w:val="bullet"/>
      <w:lvlText w:val="o"/>
      <w:lvlJc w:val="left"/>
      <w:pPr>
        <w:ind w:left="3600" w:hanging="360"/>
      </w:pPr>
      <w:rPr>
        <w:rFonts w:ascii="Courier New" w:hAnsi="Courier New" w:hint="default"/>
      </w:rPr>
    </w:lvl>
    <w:lvl w:ilvl="5" w:tplc="9CFE5FDA">
      <w:start w:val="1"/>
      <w:numFmt w:val="bullet"/>
      <w:lvlText w:val=""/>
      <w:lvlJc w:val="left"/>
      <w:pPr>
        <w:ind w:left="4320" w:hanging="360"/>
      </w:pPr>
      <w:rPr>
        <w:rFonts w:ascii="Wingdings" w:hAnsi="Wingdings" w:hint="default"/>
      </w:rPr>
    </w:lvl>
    <w:lvl w:ilvl="6" w:tplc="C164CDB8">
      <w:start w:val="1"/>
      <w:numFmt w:val="bullet"/>
      <w:lvlText w:val=""/>
      <w:lvlJc w:val="left"/>
      <w:pPr>
        <w:ind w:left="5040" w:hanging="360"/>
      </w:pPr>
      <w:rPr>
        <w:rFonts w:ascii="Symbol" w:hAnsi="Symbol" w:hint="default"/>
      </w:rPr>
    </w:lvl>
    <w:lvl w:ilvl="7" w:tplc="89CC02C0">
      <w:start w:val="1"/>
      <w:numFmt w:val="bullet"/>
      <w:lvlText w:val="o"/>
      <w:lvlJc w:val="left"/>
      <w:pPr>
        <w:ind w:left="5760" w:hanging="360"/>
      </w:pPr>
      <w:rPr>
        <w:rFonts w:ascii="Courier New" w:hAnsi="Courier New" w:hint="default"/>
      </w:rPr>
    </w:lvl>
    <w:lvl w:ilvl="8" w:tplc="F830F438">
      <w:start w:val="1"/>
      <w:numFmt w:val="bullet"/>
      <w:lvlText w:val=""/>
      <w:lvlJc w:val="left"/>
      <w:pPr>
        <w:ind w:left="6480" w:hanging="360"/>
      </w:pPr>
      <w:rPr>
        <w:rFonts w:ascii="Wingdings" w:hAnsi="Wingdings" w:hint="default"/>
      </w:rPr>
    </w:lvl>
  </w:abstractNum>
  <w:abstractNum w:abstractNumId="16" w15:restartNumberingAfterBreak="0">
    <w:nsid w:val="09A52258"/>
    <w:multiLevelType w:val="hybridMultilevel"/>
    <w:tmpl w:val="97E496B8"/>
    <w:lvl w:ilvl="0" w:tplc="9F54E2B2">
      <w:start w:val="1"/>
      <w:numFmt w:val="lowerLetter"/>
      <w:lvlText w:val="%1."/>
      <w:lvlJc w:val="left"/>
      <w:pPr>
        <w:ind w:left="720" w:hanging="360"/>
      </w:pPr>
    </w:lvl>
    <w:lvl w:ilvl="1" w:tplc="6AC45CAA">
      <w:start w:val="1"/>
      <w:numFmt w:val="lowerLetter"/>
      <w:lvlText w:val="%2."/>
      <w:lvlJc w:val="left"/>
      <w:pPr>
        <w:ind w:left="1440" w:hanging="360"/>
      </w:pPr>
    </w:lvl>
    <w:lvl w:ilvl="2" w:tplc="4ECE9774">
      <w:start w:val="1"/>
      <w:numFmt w:val="lowerRoman"/>
      <w:lvlText w:val="%3."/>
      <w:lvlJc w:val="right"/>
      <w:pPr>
        <w:ind w:left="2160" w:hanging="180"/>
      </w:pPr>
    </w:lvl>
    <w:lvl w:ilvl="3" w:tplc="E7EAA67A">
      <w:start w:val="1"/>
      <w:numFmt w:val="decimal"/>
      <w:lvlText w:val="%4."/>
      <w:lvlJc w:val="left"/>
      <w:pPr>
        <w:ind w:left="2880" w:hanging="360"/>
      </w:pPr>
    </w:lvl>
    <w:lvl w:ilvl="4" w:tplc="0E18063C">
      <w:start w:val="1"/>
      <w:numFmt w:val="lowerLetter"/>
      <w:lvlText w:val="%5."/>
      <w:lvlJc w:val="left"/>
      <w:pPr>
        <w:ind w:left="3600" w:hanging="360"/>
      </w:pPr>
    </w:lvl>
    <w:lvl w:ilvl="5" w:tplc="9356F6C4">
      <w:start w:val="1"/>
      <w:numFmt w:val="lowerRoman"/>
      <w:lvlText w:val="%6."/>
      <w:lvlJc w:val="right"/>
      <w:pPr>
        <w:ind w:left="4320" w:hanging="180"/>
      </w:pPr>
    </w:lvl>
    <w:lvl w:ilvl="6" w:tplc="47BA3094">
      <w:start w:val="1"/>
      <w:numFmt w:val="decimal"/>
      <w:lvlText w:val="%7."/>
      <w:lvlJc w:val="left"/>
      <w:pPr>
        <w:ind w:left="5040" w:hanging="360"/>
      </w:pPr>
    </w:lvl>
    <w:lvl w:ilvl="7" w:tplc="ED9AB3E2">
      <w:start w:val="1"/>
      <w:numFmt w:val="lowerLetter"/>
      <w:lvlText w:val="%8."/>
      <w:lvlJc w:val="left"/>
      <w:pPr>
        <w:ind w:left="5760" w:hanging="360"/>
      </w:pPr>
    </w:lvl>
    <w:lvl w:ilvl="8" w:tplc="8D90701E">
      <w:start w:val="1"/>
      <w:numFmt w:val="lowerRoman"/>
      <w:lvlText w:val="%9."/>
      <w:lvlJc w:val="right"/>
      <w:pPr>
        <w:ind w:left="6480" w:hanging="180"/>
      </w:pPr>
    </w:lvl>
  </w:abstractNum>
  <w:abstractNum w:abstractNumId="17" w15:restartNumberingAfterBreak="0">
    <w:nsid w:val="0AC724F9"/>
    <w:multiLevelType w:val="multilevel"/>
    <w:tmpl w:val="474A49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AFA4125"/>
    <w:multiLevelType w:val="hybridMultilevel"/>
    <w:tmpl w:val="CD76B1FE"/>
    <w:lvl w:ilvl="0" w:tplc="EB20C528">
      <w:start w:val="1"/>
      <w:numFmt w:val="decimal"/>
      <w:lvlText w:val="%1."/>
      <w:lvlJc w:val="left"/>
      <w:pPr>
        <w:ind w:left="1920" w:hanging="360"/>
      </w:pPr>
    </w:lvl>
    <w:lvl w:ilvl="1" w:tplc="2D22FCFC">
      <w:start w:val="1"/>
      <w:numFmt w:val="decimal"/>
      <w:lvlText w:val="%2."/>
      <w:lvlJc w:val="left"/>
      <w:pPr>
        <w:ind w:left="1920" w:hanging="360"/>
      </w:pPr>
    </w:lvl>
    <w:lvl w:ilvl="2" w:tplc="0848F01C">
      <w:start w:val="1"/>
      <w:numFmt w:val="decimal"/>
      <w:lvlText w:val="%3."/>
      <w:lvlJc w:val="left"/>
      <w:pPr>
        <w:ind w:left="1920" w:hanging="360"/>
      </w:pPr>
    </w:lvl>
    <w:lvl w:ilvl="3" w:tplc="23CCD382">
      <w:start w:val="1"/>
      <w:numFmt w:val="decimal"/>
      <w:lvlText w:val="%4."/>
      <w:lvlJc w:val="left"/>
      <w:pPr>
        <w:ind w:left="1920" w:hanging="360"/>
      </w:pPr>
    </w:lvl>
    <w:lvl w:ilvl="4" w:tplc="A832220A">
      <w:start w:val="1"/>
      <w:numFmt w:val="decimal"/>
      <w:lvlText w:val="%5."/>
      <w:lvlJc w:val="left"/>
      <w:pPr>
        <w:ind w:left="1920" w:hanging="360"/>
      </w:pPr>
    </w:lvl>
    <w:lvl w:ilvl="5" w:tplc="63FC37BC">
      <w:start w:val="1"/>
      <w:numFmt w:val="decimal"/>
      <w:lvlText w:val="%6."/>
      <w:lvlJc w:val="left"/>
      <w:pPr>
        <w:ind w:left="1920" w:hanging="360"/>
      </w:pPr>
    </w:lvl>
    <w:lvl w:ilvl="6" w:tplc="70FA9D70">
      <w:start w:val="1"/>
      <w:numFmt w:val="decimal"/>
      <w:lvlText w:val="%7."/>
      <w:lvlJc w:val="left"/>
      <w:pPr>
        <w:ind w:left="1920" w:hanging="360"/>
      </w:pPr>
    </w:lvl>
    <w:lvl w:ilvl="7" w:tplc="501242DC">
      <w:start w:val="1"/>
      <w:numFmt w:val="decimal"/>
      <w:lvlText w:val="%8."/>
      <w:lvlJc w:val="left"/>
      <w:pPr>
        <w:ind w:left="1920" w:hanging="360"/>
      </w:pPr>
    </w:lvl>
    <w:lvl w:ilvl="8" w:tplc="6DCCB4A6">
      <w:start w:val="1"/>
      <w:numFmt w:val="decimal"/>
      <w:lvlText w:val="%9."/>
      <w:lvlJc w:val="left"/>
      <w:pPr>
        <w:ind w:left="1920" w:hanging="360"/>
      </w:pPr>
    </w:lvl>
  </w:abstractNum>
  <w:abstractNum w:abstractNumId="19" w15:restartNumberingAfterBreak="0">
    <w:nsid w:val="0B1A0C62"/>
    <w:multiLevelType w:val="hybridMultilevel"/>
    <w:tmpl w:val="1492A846"/>
    <w:lvl w:ilvl="0" w:tplc="08090001">
      <w:start w:val="1"/>
      <w:numFmt w:val="bullet"/>
      <w:lvlText w:val=""/>
      <w:lvlJc w:val="left"/>
      <w:pPr>
        <w:ind w:left="720" w:hanging="360"/>
      </w:pPr>
      <w:rPr>
        <w:rFonts w:ascii="Symbol" w:hAnsi="Symbol" w:hint="default"/>
      </w:rPr>
    </w:lvl>
    <w:lvl w:ilvl="1" w:tplc="F41A130C">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C234AA8"/>
    <w:multiLevelType w:val="hybridMultilevel"/>
    <w:tmpl w:val="B0B45B92"/>
    <w:lvl w:ilvl="0" w:tplc="671AC97A">
      <w:start w:val="1"/>
      <w:numFmt w:val="decimal"/>
      <w:lvlText w:val="%1."/>
      <w:lvlJc w:val="left"/>
      <w:pPr>
        <w:ind w:left="1920" w:hanging="360"/>
      </w:pPr>
    </w:lvl>
    <w:lvl w:ilvl="1" w:tplc="DFF2E118">
      <w:start w:val="1"/>
      <w:numFmt w:val="decimal"/>
      <w:lvlText w:val="%2."/>
      <w:lvlJc w:val="left"/>
      <w:pPr>
        <w:ind w:left="1920" w:hanging="360"/>
      </w:pPr>
    </w:lvl>
    <w:lvl w:ilvl="2" w:tplc="D0C819D4">
      <w:start w:val="1"/>
      <w:numFmt w:val="decimal"/>
      <w:lvlText w:val="%3."/>
      <w:lvlJc w:val="left"/>
      <w:pPr>
        <w:ind w:left="1920" w:hanging="360"/>
      </w:pPr>
    </w:lvl>
    <w:lvl w:ilvl="3" w:tplc="1FC07ED0">
      <w:start w:val="1"/>
      <w:numFmt w:val="decimal"/>
      <w:lvlText w:val="%4."/>
      <w:lvlJc w:val="left"/>
      <w:pPr>
        <w:ind w:left="1920" w:hanging="360"/>
      </w:pPr>
    </w:lvl>
    <w:lvl w:ilvl="4" w:tplc="5456F45A">
      <w:start w:val="1"/>
      <w:numFmt w:val="decimal"/>
      <w:lvlText w:val="%5."/>
      <w:lvlJc w:val="left"/>
      <w:pPr>
        <w:ind w:left="1920" w:hanging="360"/>
      </w:pPr>
    </w:lvl>
    <w:lvl w:ilvl="5" w:tplc="B9B4AF84">
      <w:start w:val="1"/>
      <w:numFmt w:val="decimal"/>
      <w:lvlText w:val="%6."/>
      <w:lvlJc w:val="left"/>
      <w:pPr>
        <w:ind w:left="1920" w:hanging="360"/>
      </w:pPr>
    </w:lvl>
    <w:lvl w:ilvl="6" w:tplc="004A904C">
      <w:start w:val="1"/>
      <w:numFmt w:val="decimal"/>
      <w:lvlText w:val="%7."/>
      <w:lvlJc w:val="left"/>
      <w:pPr>
        <w:ind w:left="1920" w:hanging="360"/>
      </w:pPr>
    </w:lvl>
    <w:lvl w:ilvl="7" w:tplc="5CF486B8">
      <w:start w:val="1"/>
      <w:numFmt w:val="decimal"/>
      <w:lvlText w:val="%8."/>
      <w:lvlJc w:val="left"/>
      <w:pPr>
        <w:ind w:left="1920" w:hanging="360"/>
      </w:pPr>
    </w:lvl>
    <w:lvl w:ilvl="8" w:tplc="E9DC3712">
      <w:start w:val="1"/>
      <w:numFmt w:val="decimal"/>
      <w:lvlText w:val="%9."/>
      <w:lvlJc w:val="left"/>
      <w:pPr>
        <w:ind w:left="1920" w:hanging="360"/>
      </w:pPr>
    </w:lvl>
  </w:abstractNum>
  <w:abstractNum w:abstractNumId="21" w15:restartNumberingAfterBreak="0">
    <w:nsid w:val="0DF6466B"/>
    <w:multiLevelType w:val="multilevel"/>
    <w:tmpl w:val="7A1E6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2F868EA"/>
    <w:multiLevelType w:val="multilevel"/>
    <w:tmpl w:val="5B460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4509533"/>
    <w:multiLevelType w:val="hybridMultilevel"/>
    <w:tmpl w:val="FFFFFFFF"/>
    <w:lvl w:ilvl="0" w:tplc="93B063C8">
      <w:numFmt w:val="bullet"/>
      <w:lvlText w:val="•"/>
      <w:lvlJc w:val="left"/>
      <w:pPr>
        <w:ind w:left="783" w:hanging="360"/>
      </w:pPr>
      <w:rPr>
        <w:rFonts w:ascii="Times New Roman" w:hAnsi="Times New Roman" w:hint="default"/>
      </w:rPr>
    </w:lvl>
    <w:lvl w:ilvl="1" w:tplc="453448EC">
      <w:start w:val="1"/>
      <w:numFmt w:val="bullet"/>
      <w:lvlText w:val="o"/>
      <w:lvlJc w:val="left"/>
      <w:pPr>
        <w:ind w:left="1440" w:hanging="360"/>
      </w:pPr>
      <w:rPr>
        <w:rFonts w:ascii="Courier New" w:hAnsi="Courier New" w:hint="default"/>
      </w:rPr>
    </w:lvl>
    <w:lvl w:ilvl="2" w:tplc="F510E7E4">
      <w:start w:val="1"/>
      <w:numFmt w:val="bullet"/>
      <w:lvlText w:val=""/>
      <w:lvlJc w:val="left"/>
      <w:pPr>
        <w:ind w:left="2160" w:hanging="360"/>
      </w:pPr>
      <w:rPr>
        <w:rFonts w:ascii="Wingdings" w:hAnsi="Wingdings" w:hint="default"/>
      </w:rPr>
    </w:lvl>
    <w:lvl w:ilvl="3" w:tplc="ACA0F3FE">
      <w:start w:val="1"/>
      <w:numFmt w:val="bullet"/>
      <w:lvlText w:val=""/>
      <w:lvlJc w:val="left"/>
      <w:pPr>
        <w:ind w:left="2880" w:hanging="360"/>
      </w:pPr>
      <w:rPr>
        <w:rFonts w:ascii="Symbol" w:hAnsi="Symbol" w:hint="default"/>
      </w:rPr>
    </w:lvl>
    <w:lvl w:ilvl="4" w:tplc="F54AD6B4">
      <w:start w:val="1"/>
      <w:numFmt w:val="bullet"/>
      <w:lvlText w:val="o"/>
      <w:lvlJc w:val="left"/>
      <w:pPr>
        <w:ind w:left="3600" w:hanging="360"/>
      </w:pPr>
      <w:rPr>
        <w:rFonts w:ascii="Courier New" w:hAnsi="Courier New" w:hint="default"/>
      </w:rPr>
    </w:lvl>
    <w:lvl w:ilvl="5" w:tplc="497C8024">
      <w:start w:val="1"/>
      <w:numFmt w:val="bullet"/>
      <w:lvlText w:val=""/>
      <w:lvlJc w:val="left"/>
      <w:pPr>
        <w:ind w:left="4320" w:hanging="360"/>
      </w:pPr>
      <w:rPr>
        <w:rFonts w:ascii="Wingdings" w:hAnsi="Wingdings" w:hint="default"/>
      </w:rPr>
    </w:lvl>
    <w:lvl w:ilvl="6" w:tplc="898A101C">
      <w:start w:val="1"/>
      <w:numFmt w:val="bullet"/>
      <w:lvlText w:val=""/>
      <w:lvlJc w:val="left"/>
      <w:pPr>
        <w:ind w:left="5040" w:hanging="360"/>
      </w:pPr>
      <w:rPr>
        <w:rFonts w:ascii="Symbol" w:hAnsi="Symbol" w:hint="default"/>
      </w:rPr>
    </w:lvl>
    <w:lvl w:ilvl="7" w:tplc="5FB044C2">
      <w:start w:val="1"/>
      <w:numFmt w:val="bullet"/>
      <w:lvlText w:val="o"/>
      <w:lvlJc w:val="left"/>
      <w:pPr>
        <w:ind w:left="5760" w:hanging="360"/>
      </w:pPr>
      <w:rPr>
        <w:rFonts w:ascii="Courier New" w:hAnsi="Courier New" w:hint="default"/>
      </w:rPr>
    </w:lvl>
    <w:lvl w:ilvl="8" w:tplc="180AAD0A">
      <w:start w:val="1"/>
      <w:numFmt w:val="bullet"/>
      <w:lvlText w:val=""/>
      <w:lvlJc w:val="left"/>
      <w:pPr>
        <w:ind w:left="6480" w:hanging="360"/>
      </w:pPr>
      <w:rPr>
        <w:rFonts w:ascii="Wingdings" w:hAnsi="Wingdings" w:hint="default"/>
      </w:rPr>
    </w:lvl>
  </w:abstractNum>
  <w:abstractNum w:abstractNumId="24" w15:restartNumberingAfterBreak="0">
    <w:nsid w:val="192C32CD"/>
    <w:multiLevelType w:val="hybridMultilevel"/>
    <w:tmpl w:val="FFFFFFFF"/>
    <w:lvl w:ilvl="0" w:tplc="27AEB818">
      <w:start w:val="1"/>
      <w:numFmt w:val="decimal"/>
      <w:lvlText w:val="%1)"/>
      <w:lvlJc w:val="left"/>
      <w:pPr>
        <w:ind w:left="720" w:hanging="360"/>
      </w:pPr>
      <w:rPr>
        <w:rFonts w:ascii="Times New Roman" w:hAnsi="Times New Roman" w:hint="default"/>
      </w:rPr>
    </w:lvl>
    <w:lvl w:ilvl="1" w:tplc="E4A8A928">
      <w:start w:val="1"/>
      <w:numFmt w:val="lowerLetter"/>
      <w:lvlText w:val="%2."/>
      <w:lvlJc w:val="left"/>
      <w:pPr>
        <w:ind w:left="1440" w:hanging="360"/>
      </w:pPr>
    </w:lvl>
    <w:lvl w:ilvl="2" w:tplc="068EF942">
      <w:start w:val="1"/>
      <w:numFmt w:val="lowerRoman"/>
      <w:lvlText w:val="%3."/>
      <w:lvlJc w:val="right"/>
      <w:pPr>
        <w:ind w:left="2160" w:hanging="180"/>
      </w:pPr>
    </w:lvl>
    <w:lvl w:ilvl="3" w:tplc="F21E2D1A">
      <w:start w:val="1"/>
      <w:numFmt w:val="decimal"/>
      <w:lvlText w:val="%4."/>
      <w:lvlJc w:val="left"/>
      <w:pPr>
        <w:ind w:left="2880" w:hanging="360"/>
      </w:pPr>
    </w:lvl>
    <w:lvl w:ilvl="4" w:tplc="C62034B4">
      <w:start w:val="1"/>
      <w:numFmt w:val="lowerLetter"/>
      <w:lvlText w:val="%5."/>
      <w:lvlJc w:val="left"/>
      <w:pPr>
        <w:ind w:left="3600" w:hanging="360"/>
      </w:pPr>
    </w:lvl>
    <w:lvl w:ilvl="5" w:tplc="5DC23848">
      <w:start w:val="1"/>
      <w:numFmt w:val="lowerRoman"/>
      <w:lvlText w:val="%6."/>
      <w:lvlJc w:val="right"/>
      <w:pPr>
        <w:ind w:left="4320" w:hanging="180"/>
      </w:pPr>
    </w:lvl>
    <w:lvl w:ilvl="6" w:tplc="9FA65064">
      <w:start w:val="1"/>
      <w:numFmt w:val="decimal"/>
      <w:lvlText w:val="%7."/>
      <w:lvlJc w:val="left"/>
      <w:pPr>
        <w:ind w:left="5040" w:hanging="360"/>
      </w:pPr>
    </w:lvl>
    <w:lvl w:ilvl="7" w:tplc="924A9306">
      <w:start w:val="1"/>
      <w:numFmt w:val="lowerLetter"/>
      <w:lvlText w:val="%8."/>
      <w:lvlJc w:val="left"/>
      <w:pPr>
        <w:ind w:left="5760" w:hanging="360"/>
      </w:pPr>
    </w:lvl>
    <w:lvl w:ilvl="8" w:tplc="DA962F4C">
      <w:start w:val="1"/>
      <w:numFmt w:val="lowerRoman"/>
      <w:lvlText w:val="%9."/>
      <w:lvlJc w:val="right"/>
      <w:pPr>
        <w:ind w:left="6480" w:hanging="180"/>
      </w:pPr>
    </w:lvl>
  </w:abstractNum>
  <w:abstractNum w:abstractNumId="25" w15:restartNumberingAfterBreak="0">
    <w:nsid w:val="199E6BE7"/>
    <w:multiLevelType w:val="hybridMultilevel"/>
    <w:tmpl w:val="B5947E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7" w15:restartNumberingAfterBreak="0">
    <w:nsid w:val="214641DC"/>
    <w:multiLevelType w:val="hybridMultilevel"/>
    <w:tmpl w:val="667292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22E44180"/>
    <w:multiLevelType w:val="multilevel"/>
    <w:tmpl w:val="544C66BC"/>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82C67BF"/>
    <w:multiLevelType w:val="hybridMultilevel"/>
    <w:tmpl w:val="35EC0AA2"/>
    <w:lvl w:ilvl="0" w:tplc="CCBA7B44">
      <w:start w:val="1"/>
      <w:numFmt w:val="lowerLetter"/>
      <w:lvlText w:val="%1."/>
      <w:lvlJc w:val="left"/>
      <w:pPr>
        <w:ind w:left="1080" w:hanging="360"/>
      </w:pPr>
    </w:lvl>
    <w:lvl w:ilvl="1" w:tplc="77B849B4">
      <w:start w:val="1"/>
      <w:numFmt w:val="bullet"/>
      <w:lvlText w:val="-"/>
      <w:lvlJc w:val="left"/>
      <w:pPr>
        <w:ind w:left="1800" w:hanging="360"/>
      </w:pPr>
      <w:rPr>
        <w:rFonts w:ascii="Calibri" w:hAnsi="Calibri" w:hint="default"/>
      </w:rPr>
    </w:lvl>
    <w:lvl w:ilvl="2" w:tplc="E5EAD53A">
      <w:start w:val="1"/>
      <w:numFmt w:val="bullet"/>
      <w:lvlText w:val=""/>
      <w:lvlJc w:val="left"/>
      <w:pPr>
        <w:ind w:left="2520" w:hanging="360"/>
      </w:pPr>
      <w:rPr>
        <w:rFonts w:ascii="Wingdings" w:hAnsi="Wingdings" w:hint="default"/>
      </w:rPr>
    </w:lvl>
    <w:lvl w:ilvl="3" w:tplc="9E386CEA" w:tentative="1">
      <w:start w:val="1"/>
      <w:numFmt w:val="bullet"/>
      <w:lvlText w:val=""/>
      <w:lvlJc w:val="left"/>
      <w:pPr>
        <w:ind w:left="3240" w:hanging="360"/>
      </w:pPr>
      <w:rPr>
        <w:rFonts w:ascii="Symbol" w:hAnsi="Symbol" w:hint="default"/>
      </w:rPr>
    </w:lvl>
    <w:lvl w:ilvl="4" w:tplc="D472D118" w:tentative="1">
      <w:start w:val="1"/>
      <w:numFmt w:val="bullet"/>
      <w:lvlText w:val="o"/>
      <w:lvlJc w:val="left"/>
      <w:pPr>
        <w:ind w:left="3960" w:hanging="360"/>
      </w:pPr>
      <w:rPr>
        <w:rFonts w:ascii="Courier New" w:hAnsi="Courier New" w:hint="default"/>
      </w:rPr>
    </w:lvl>
    <w:lvl w:ilvl="5" w:tplc="11067FF6" w:tentative="1">
      <w:start w:val="1"/>
      <w:numFmt w:val="bullet"/>
      <w:lvlText w:val=""/>
      <w:lvlJc w:val="left"/>
      <w:pPr>
        <w:ind w:left="4680" w:hanging="360"/>
      </w:pPr>
      <w:rPr>
        <w:rFonts w:ascii="Wingdings" w:hAnsi="Wingdings" w:hint="default"/>
      </w:rPr>
    </w:lvl>
    <w:lvl w:ilvl="6" w:tplc="90D26EB4" w:tentative="1">
      <w:start w:val="1"/>
      <w:numFmt w:val="bullet"/>
      <w:lvlText w:val=""/>
      <w:lvlJc w:val="left"/>
      <w:pPr>
        <w:ind w:left="5400" w:hanging="360"/>
      </w:pPr>
      <w:rPr>
        <w:rFonts w:ascii="Symbol" w:hAnsi="Symbol" w:hint="default"/>
      </w:rPr>
    </w:lvl>
    <w:lvl w:ilvl="7" w:tplc="8196B484" w:tentative="1">
      <w:start w:val="1"/>
      <w:numFmt w:val="bullet"/>
      <w:lvlText w:val="o"/>
      <w:lvlJc w:val="left"/>
      <w:pPr>
        <w:ind w:left="6120" w:hanging="360"/>
      </w:pPr>
      <w:rPr>
        <w:rFonts w:ascii="Courier New" w:hAnsi="Courier New" w:hint="default"/>
      </w:rPr>
    </w:lvl>
    <w:lvl w:ilvl="8" w:tplc="E4CE5368" w:tentative="1">
      <w:start w:val="1"/>
      <w:numFmt w:val="bullet"/>
      <w:lvlText w:val=""/>
      <w:lvlJc w:val="left"/>
      <w:pPr>
        <w:ind w:left="6840" w:hanging="360"/>
      </w:pPr>
      <w:rPr>
        <w:rFonts w:ascii="Wingdings" w:hAnsi="Wingdings" w:hint="default"/>
      </w:rPr>
    </w:lvl>
  </w:abstractNum>
  <w:abstractNum w:abstractNumId="30" w15:restartNumberingAfterBreak="0">
    <w:nsid w:val="29060435"/>
    <w:multiLevelType w:val="multilevel"/>
    <w:tmpl w:val="2A58CF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9640E2E"/>
    <w:multiLevelType w:val="hybridMultilevel"/>
    <w:tmpl w:val="678AA79C"/>
    <w:lvl w:ilvl="0" w:tplc="48EAD02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AB80655"/>
    <w:multiLevelType w:val="multilevel"/>
    <w:tmpl w:val="B0D697B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2B6632CA"/>
    <w:multiLevelType w:val="hybridMultilevel"/>
    <w:tmpl w:val="49BAF6A4"/>
    <w:lvl w:ilvl="0" w:tplc="C1347F28">
      <w:start w:val="4"/>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6" w15:restartNumberingAfterBreak="0">
    <w:nsid w:val="2D0604E0"/>
    <w:multiLevelType w:val="hybridMultilevel"/>
    <w:tmpl w:val="79B23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D072D24"/>
    <w:multiLevelType w:val="hybridMultilevel"/>
    <w:tmpl w:val="3D381EBE"/>
    <w:lvl w:ilvl="0" w:tplc="D5B2CD0E">
      <w:start w:val="1"/>
      <w:numFmt w:val="decimal"/>
      <w:lvlText w:val="%1)"/>
      <w:lvlJc w:val="left"/>
      <w:pPr>
        <w:ind w:left="420" w:hanging="360"/>
      </w:pPr>
    </w:lvl>
    <w:lvl w:ilvl="1" w:tplc="08090019">
      <w:start w:val="1"/>
      <w:numFmt w:val="lowerLetter"/>
      <w:lvlText w:val="%2."/>
      <w:lvlJc w:val="left"/>
      <w:pPr>
        <w:ind w:left="1140" w:hanging="360"/>
      </w:pPr>
    </w:lvl>
    <w:lvl w:ilvl="2" w:tplc="0809001B">
      <w:start w:val="1"/>
      <w:numFmt w:val="lowerRoman"/>
      <w:lvlText w:val="%3."/>
      <w:lvlJc w:val="right"/>
      <w:pPr>
        <w:ind w:left="1860" w:hanging="180"/>
      </w:pPr>
    </w:lvl>
    <w:lvl w:ilvl="3" w:tplc="0809000F">
      <w:start w:val="1"/>
      <w:numFmt w:val="decimal"/>
      <w:lvlText w:val="%4."/>
      <w:lvlJc w:val="left"/>
      <w:pPr>
        <w:ind w:left="2580" w:hanging="360"/>
      </w:pPr>
    </w:lvl>
    <w:lvl w:ilvl="4" w:tplc="08090019">
      <w:start w:val="1"/>
      <w:numFmt w:val="lowerLetter"/>
      <w:lvlText w:val="%5."/>
      <w:lvlJc w:val="left"/>
      <w:pPr>
        <w:ind w:left="3300" w:hanging="360"/>
      </w:pPr>
    </w:lvl>
    <w:lvl w:ilvl="5" w:tplc="0809001B">
      <w:start w:val="1"/>
      <w:numFmt w:val="lowerRoman"/>
      <w:lvlText w:val="%6."/>
      <w:lvlJc w:val="right"/>
      <w:pPr>
        <w:ind w:left="4020" w:hanging="180"/>
      </w:pPr>
    </w:lvl>
    <w:lvl w:ilvl="6" w:tplc="0809000F">
      <w:start w:val="1"/>
      <w:numFmt w:val="decimal"/>
      <w:lvlText w:val="%7."/>
      <w:lvlJc w:val="left"/>
      <w:pPr>
        <w:ind w:left="4740" w:hanging="360"/>
      </w:pPr>
    </w:lvl>
    <w:lvl w:ilvl="7" w:tplc="08090019">
      <w:start w:val="1"/>
      <w:numFmt w:val="lowerLetter"/>
      <w:lvlText w:val="%8."/>
      <w:lvlJc w:val="left"/>
      <w:pPr>
        <w:ind w:left="5460" w:hanging="360"/>
      </w:pPr>
    </w:lvl>
    <w:lvl w:ilvl="8" w:tplc="0809001B">
      <w:start w:val="1"/>
      <w:numFmt w:val="lowerRoman"/>
      <w:lvlText w:val="%9."/>
      <w:lvlJc w:val="right"/>
      <w:pPr>
        <w:ind w:left="6180" w:hanging="180"/>
      </w:pPr>
    </w:lvl>
  </w:abstractNum>
  <w:abstractNum w:abstractNumId="38" w15:restartNumberingAfterBreak="0">
    <w:nsid w:val="2D1AFC8A"/>
    <w:multiLevelType w:val="hybridMultilevel"/>
    <w:tmpl w:val="FFFFFFFF"/>
    <w:lvl w:ilvl="0" w:tplc="E32811DA">
      <w:start w:val="1"/>
      <w:numFmt w:val="lowerLetter"/>
      <w:lvlText w:val="(%1)"/>
      <w:lvlJc w:val="left"/>
      <w:pPr>
        <w:ind w:left="720" w:hanging="360"/>
      </w:pPr>
    </w:lvl>
    <w:lvl w:ilvl="1" w:tplc="27D2FF0C">
      <w:start w:val="1"/>
      <w:numFmt w:val="lowerLetter"/>
      <w:lvlText w:val="%2."/>
      <w:lvlJc w:val="left"/>
      <w:pPr>
        <w:ind w:left="1440" w:hanging="360"/>
      </w:pPr>
    </w:lvl>
    <w:lvl w:ilvl="2" w:tplc="13DA11B8">
      <w:start w:val="1"/>
      <w:numFmt w:val="lowerRoman"/>
      <w:lvlText w:val="%3."/>
      <w:lvlJc w:val="right"/>
      <w:pPr>
        <w:ind w:left="2160" w:hanging="180"/>
      </w:pPr>
    </w:lvl>
    <w:lvl w:ilvl="3" w:tplc="3ACE6CBC">
      <w:start w:val="1"/>
      <w:numFmt w:val="decimal"/>
      <w:lvlText w:val="%4."/>
      <w:lvlJc w:val="left"/>
      <w:pPr>
        <w:ind w:left="2880" w:hanging="360"/>
      </w:pPr>
    </w:lvl>
    <w:lvl w:ilvl="4" w:tplc="C45EDD92">
      <w:start w:val="1"/>
      <w:numFmt w:val="lowerLetter"/>
      <w:lvlText w:val="%5."/>
      <w:lvlJc w:val="left"/>
      <w:pPr>
        <w:ind w:left="3600" w:hanging="360"/>
      </w:pPr>
    </w:lvl>
    <w:lvl w:ilvl="5" w:tplc="C3F66576">
      <w:start w:val="1"/>
      <w:numFmt w:val="lowerRoman"/>
      <w:lvlText w:val="%6."/>
      <w:lvlJc w:val="right"/>
      <w:pPr>
        <w:ind w:left="4320" w:hanging="180"/>
      </w:pPr>
    </w:lvl>
    <w:lvl w:ilvl="6" w:tplc="CA0CB89E">
      <w:start w:val="1"/>
      <w:numFmt w:val="decimal"/>
      <w:lvlText w:val="%7."/>
      <w:lvlJc w:val="left"/>
      <w:pPr>
        <w:ind w:left="5040" w:hanging="360"/>
      </w:pPr>
    </w:lvl>
    <w:lvl w:ilvl="7" w:tplc="FD763DC6">
      <w:start w:val="1"/>
      <w:numFmt w:val="lowerLetter"/>
      <w:lvlText w:val="%8."/>
      <w:lvlJc w:val="left"/>
      <w:pPr>
        <w:ind w:left="5760" w:hanging="360"/>
      </w:pPr>
    </w:lvl>
    <w:lvl w:ilvl="8" w:tplc="4FA2713A">
      <w:start w:val="1"/>
      <w:numFmt w:val="lowerRoman"/>
      <w:lvlText w:val="%9."/>
      <w:lvlJc w:val="right"/>
      <w:pPr>
        <w:ind w:left="6480" w:hanging="180"/>
      </w:pPr>
    </w:lvl>
  </w:abstractNum>
  <w:abstractNum w:abstractNumId="39" w15:restartNumberingAfterBreak="0">
    <w:nsid w:val="2D7B7DD8"/>
    <w:multiLevelType w:val="hybridMultilevel"/>
    <w:tmpl w:val="B1C8EDC6"/>
    <w:lvl w:ilvl="0" w:tplc="0809001B">
      <w:start w:val="1"/>
      <w:numFmt w:val="lowerRoman"/>
      <w:lvlText w:val="%1."/>
      <w:lvlJc w:val="righ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31512E9E"/>
    <w:multiLevelType w:val="multilevel"/>
    <w:tmpl w:val="3A2867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2D87CB0"/>
    <w:multiLevelType w:val="hybridMultilevel"/>
    <w:tmpl w:val="FFFFFFFF"/>
    <w:lvl w:ilvl="0" w:tplc="DF7E8C78">
      <w:start w:val="3"/>
      <w:numFmt w:val="decimal"/>
      <w:lvlText w:val="%1."/>
      <w:lvlJc w:val="left"/>
      <w:pPr>
        <w:ind w:left="720" w:hanging="360"/>
      </w:pPr>
    </w:lvl>
    <w:lvl w:ilvl="1" w:tplc="6914ADA4">
      <w:start w:val="1"/>
      <w:numFmt w:val="lowerLetter"/>
      <w:lvlText w:val="%2."/>
      <w:lvlJc w:val="left"/>
      <w:pPr>
        <w:ind w:left="1440" w:hanging="360"/>
      </w:pPr>
    </w:lvl>
    <w:lvl w:ilvl="2" w:tplc="DDEC5186">
      <w:start w:val="1"/>
      <w:numFmt w:val="lowerRoman"/>
      <w:lvlText w:val="%3."/>
      <w:lvlJc w:val="right"/>
      <w:pPr>
        <w:ind w:left="2160" w:hanging="180"/>
      </w:pPr>
    </w:lvl>
    <w:lvl w:ilvl="3" w:tplc="DF50B366">
      <w:start w:val="1"/>
      <w:numFmt w:val="decimal"/>
      <w:lvlText w:val="%4."/>
      <w:lvlJc w:val="left"/>
      <w:pPr>
        <w:ind w:left="2880" w:hanging="360"/>
      </w:pPr>
    </w:lvl>
    <w:lvl w:ilvl="4" w:tplc="C066C35A">
      <w:start w:val="1"/>
      <w:numFmt w:val="lowerLetter"/>
      <w:lvlText w:val="%5."/>
      <w:lvlJc w:val="left"/>
      <w:pPr>
        <w:ind w:left="3600" w:hanging="360"/>
      </w:pPr>
    </w:lvl>
    <w:lvl w:ilvl="5" w:tplc="F0E4F8A2">
      <w:start w:val="1"/>
      <w:numFmt w:val="lowerRoman"/>
      <w:lvlText w:val="%6."/>
      <w:lvlJc w:val="right"/>
      <w:pPr>
        <w:ind w:left="4320" w:hanging="180"/>
      </w:pPr>
    </w:lvl>
    <w:lvl w:ilvl="6" w:tplc="1EB6B102">
      <w:start w:val="1"/>
      <w:numFmt w:val="decimal"/>
      <w:lvlText w:val="%7."/>
      <w:lvlJc w:val="left"/>
      <w:pPr>
        <w:ind w:left="5040" w:hanging="360"/>
      </w:pPr>
    </w:lvl>
    <w:lvl w:ilvl="7" w:tplc="1236FAC0">
      <w:start w:val="1"/>
      <w:numFmt w:val="lowerLetter"/>
      <w:lvlText w:val="%8."/>
      <w:lvlJc w:val="left"/>
      <w:pPr>
        <w:ind w:left="5760" w:hanging="360"/>
      </w:pPr>
    </w:lvl>
    <w:lvl w:ilvl="8" w:tplc="4DC6311E">
      <w:start w:val="1"/>
      <w:numFmt w:val="lowerRoman"/>
      <w:lvlText w:val="%9."/>
      <w:lvlJc w:val="right"/>
      <w:pPr>
        <w:ind w:left="6480" w:hanging="180"/>
      </w:pPr>
    </w:lvl>
  </w:abstractNum>
  <w:abstractNum w:abstractNumId="42" w15:restartNumberingAfterBreak="0">
    <w:nsid w:val="35DD0C05"/>
    <w:multiLevelType w:val="hybridMultilevel"/>
    <w:tmpl w:val="0D501D7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44" w15:restartNumberingAfterBreak="0">
    <w:nsid w:val="38BE1C63"/>
    <w:multiLevelType w:val="hybridMultilevel"/>
    <w:tmpl w:val="93B40874"/>
    <w:lvl w:ilvl="0" w:tplc="48EAD024">
      <w:numFmt w:val="bullet"/>
      <w:lvlText w:val="•"/>
      <w:lvlJc w:val="left"/>
      <w:pPr>
        <w:ind w:left="783" w:hanging="360"/>
      </w:pPr>
      <w:rPr>
        <w:rFonts w:ascii="Times New Roman" w:eastAsia="Times New Roman" w:hAnsi="Times New Roman" w:cs="Times New Roman"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45" w15:restartNumberingAfterBreak="0">
    <w:nsid w:val="3A5B0681"/>
    <w:multiLevelType w:val="hybridMultilevel"/>
    <w:tmpl w:val="6254C76C"/>
    <w:lvl w:ilvl="0" w:tplc="184EAF02">
      <w:start w:val="1"/>
      <w:numFmt w:val="bullet"/>
      <w:lvlText w:val="-"/>
      <w:lvlJc w:val="left"/>
      <w:pPr>
        <w:ind w:left="720" w:hanging="360"/>
      </w:pPr>
      <w:rPr>
        <w:rFonts w:ascii="Calibri" w:hAnsi="Calibri" w:hint="default"/>
      </w:rPr>
    </w:lvl>
    <w:lvl w:ilvl="1" w:tplc="67DE06D6">
      <w:start w:val="1"/>
      <w:numFmt w:val="bullet"/>
      <w:lvlText w:val="o"/>
      <w:lvlJc w:val="left"/>
      <w:pPr>
        <w:ind w:left="1440" w:hanging="360"/>
      </w:pPr>
      <w:rPr>
        <w:rFonts w:ascii="Courier New" w:hAnsi="Courier New" w:hint="default"/>
      </w:rPr>
    </w:lvl>
    <w:lvl w:ilvl="2" w:tplc="8E2468E0">
      <w:start w:val="1"/>
      <w:numFmt w:val="bullet"/>
      <w:lvlText w:val=""/>
      <w:lvlJc w:val="left"/>
      <w:pPr>
        <w:ind w:left="2160" w:hanging="360"/>
      </w:pPr>
      <w:rPr>
        <w:rFonts w:ascii="Wingdings" w:hAnsi="Wingdings" w:hint="default"/>
      </w:rPr>
    </w:lvl>
    <w:lvl w:ilvl="3" w:tplc="FA10E83A">
      <w:start w:val="1"/>
      <w:numFmt w:val="bullet"/>
      <w:lvlText w:val=""/>
      <w:lvlJc w:val="left"/>
      <w:pPr>
        <w:ind w:left="2880" w:hanging="360"/>
      </w:pPr>
      <w:rPr>
        <w:rFonts w:ascii="Symbol" w:hAnsi="Symbol" w:hint="default"/>
      </w:rPr>
    </w:lvl>
    <w:lvl w:ilvl="4" w:tplc="B40E0E92">
      <w:start w:val="1"/>
      <w:numFmt w:val="bullet"/>
      <w:lvlText w:val="o"/>
      <w:lvlJc w:val="left"/>
      <w:pPr>
        <w:ind w:left="3600" w:hanging="360"/>
      </w:pPr>
      <w:rPr>
        <w:rFonts w:ascii="Courier New" w:hAnsi="Courier New" w:hint="default"/>
      </w:rPr>
    </w:lvl>
    <w:lvl w:ilvl="5" w:tplc="483A4B7E">
      <w:start w:val="1"/>
      <w:numFmt w:val="bullet"/>
      <w:lvlText w:val=""/>
      <w:lvlJc w:val="left"/>
      <w:pPr>
        <w:ind w:left="4320" w:hanging="360"/>
      </w:pPr>
      <w:rPr>
        <w:rFonts w:ascii="Wingdings" w:hAnsi="Wingdings" w:hint="default"/>
      </w:rPr>
    </w:lvl>
    <w:lvl w:ilvl="6" w:tplc="854C1D3E">
      <w:start w:val="1"/>
      <w:numFmt w:val="bullet"/>
      <w:lvlText w:val=""/>
      <w:lvlJc w:val="left"/>
      <w:pPr>
        <w:ind w:left="5040" w:hanging="360"/>
      </w:pPr>
      <w:rPr>
        <w:rFonts w:ascii="Symbol" w:hAnsi="Symbol" w:hint="default"/>
      </w:rPr>
    </w:lvl>
    <w:lvl w:ilvl="7" w:tplc="4228701A">
      <w:start w:val="1"/>
      <w:numFmt w:val="bullet"/>
      <w:lvlText w:val="o"/>
      <w:lvlJc w:val="left"/>
      <w:pPr>
        <w:ind w:left="5760" w:hanging="360"/>
      </w:pPr>
      <w:rPr>
        <w:rFonts w:ascii="Courier New" w:hAnsi="Courier New" w:hint="default"/>
      </w:rPr>
    </w:lvl>
    <w:lvl w:ilvl="8" w:tplc="023E642E">
      <w:start w:val="1"/>
      <w:numFmt w:val="bullet"/>
      <w:lvlText w:val=""/>
      <w:lvlJc w:val="left"/>
      <w:pPr>
        <w:ind w:left="6480" w:hanging="360"/>
      </w:pPr>
      <w:rPr>
        <w:rFonts w:ascii="Wingdings" w:hAnsi="Wingdings" w:hint="default"/>
      </w:rPr>
    </w:lvl>
  </w:abstractNum>
  <w:abstractNum w:abstractNumId="46" w15:restartNumberingAfterBreak="0">
    <w:nsid w:val="3B043C69"/>
    <w:multiLevelType w:val="multilevel"/>
    <w:tmpl w:val="8ECEE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D3B3062"/>
    <w:multiLevelType w:val="hybridMultilevel"/>
    <w:tmpl w:val="A412C844"/>
    <w:lvl w:ilvl="0" w:tplc="6D0E3D2E">
      <w:start w:val="1"/>
      <w:numFmt w:val="bullet"/>
      <w:lvlText w:val=""/>
      <w:lvlJc w:val="left"/>
      <w:pPr>
        <w:ind w:left="1020" w:hanging="360"/>
      </w:pPr>
      <w:rPr>
        <w:rFonts w:ascii="Symbol" w:hAnsi="Symbol"/>
      </w:rPr>
    </w:lvl>
    <w:lvl w:ilvl="1" w:tplc="9D707A5E">
      <w:start w:val="1"/>
      <w:numFmt w:val="bullet"/>
      <w:lvlText w:val=""/>
      <w:lvlJc w:val="left"/>
      <w:pPr>
        <w:ind w:left="1020" w:hanging="360"/>
      </w:pPr>
      <w:rPr>
        <w:rFonts w:ascii="Symbol" w:hAnsi="Symbol"/>
      </w:rPr>
    </w:lvl>
    <w:lvl w:ilvl="2" w:tplc="EE303340">
      <w:start w:val="1"/>
      <w:numFmt w:val="bullet"/>
      <w:lvlText w:val=""/>
      <w:lvlJc w:val="left"/>
      <w:pPr>
        <w:ind w:left="1020" w:hanging="360"/>
      </w:pPr>
      <w:rPr>
        <w:rFonts w:ascii="Symbol" w:hAnsi="Symbol"/>
      </w:rPr>
    </w:lvl>
    <w:lvl w:ilvl="3" w:tplc="882ED38E">
      <w:start w:val="1"/>
      <w:numFmt w:val="bullet"/>
      <w:lvlText w:val=""/>
      <w:lvlJc w:val="left"/>
      <w:pPr>
        <w:ind w:left="1020" w:hanging="360"/>
      </w:pPr>
      <w:rPr>
        <w:rFonts w:ascii="Symbol" w:hAnsi="Symbol"/>
      </w:rPr>
    </w:lvl>
    <w:lvl w:ilvl="4" w:tplc="9B188A30">
      <w:start w:val="1"/>
      <w:numFmt w:val="bullet"/>
      <w:lvlText w:val=""/>
      <w:lvlJc w:val="left"/>
      <w:pPr>
        <w:ind w:left="1020" w:hanging="360"/>
      </w:pPr>
      <w:rPr>
        <w:rFonts w:ascii="Symbol" w:hAnsi="Symbol"/>
      </w:rPr>
    </w:lvl>
    <w:lvl w:ilvl="5" w:tplc="C24ECE1E">
      <w:start w:val="1"/>
      <w:numFmt w:val="bullet"/>
      <w:lvlText w:val=""/>
      <w:lvlJc w:val="left"/>
      <w:pPr>
        <w:ind w:left="1020" w:hanging="360"/>
      </w:pPr>
      <w:rPr>
        <w:rFonts w:ascii="Symbol" w:hAnsi="Symbol"/>
      </w:rPr>
    </w:lvl>
    <w:lvl w:ilvl="6" w:tplc="02F270B8">
      <w:start w:val="1"/>
      <w:numFmt w:val="bullet"/>
      <w:lvlText w:val=""/>
      <w:lvlJc w:val="left"/>
      <w:pPr>
        <w:ind w:left="1020" w:hanging="360"/>
      </w:pPr>
      <w:rPr>
        <w:rFonts w:ascii="Symbol" w:hAnsi="Symbol"/>
      </w:rPr>
    </w:lvl>
    <w:lvl w:ilvl="7" w:tplc="DBFE3746">
      <w:start w:val="1"/>
      <w:numFmt w:val="bullet"/>
      <w:lvlText w:val=""/>
      <w:lvlJc w:val="left"/>
      <w:pPr>
        <w:ind w:left="1020" w:hanging="360"/>
      </w:pPr>
      <w:rPr>
        <w:rFonts w:ascii="Symbol" w:hAnsi="Symbol"/>
      </w:rPr>
    </w:lvl>
    <w:lvl w:ilvl="8" w:tplc="C486D89E">
      <w:start w:val="1"/>
      <w:numFmt w:val="bullet"/>
      <w:lvlText w:val=""/>
      <w:lvlJc w:val="left"/>
      <w:pPr>
        <w:ind w:left="1020" w:hanging="360"/>
      </w:pPr>
      <w:rPr>
        <w:rFonts w:ascii="Symbol" w:hAnsi="Symbol"/>
      </w:rPr>
    </w:lvl>
  </w:abstractNum>
  <w:abstractNum w:abstractNumId="48" w15:restartNumberingAfterBreak="0">
    <w:nsid w:val="3F571B2D"/>
    <w:multiLevelType w:val="multilevel"/>
    <w:tmpl w:val="8236D0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1" w15:restartNumberingAfterBreak="0">
    <w:nsid w:val="431F38D3"/>
    <w:multiLevelType w:val="hybridMultilevel"/>
    <w:tmpl w:val="73FCE5F4"/>
    <w:lvl w:ilvl="0" w:tplc="6980E3D2">
      <w:start w:val="1"/>
      <w:numFmt w:val="lowerLetter"/>
      <w:lvlText w:val="%1."/>
      <w:lvlJc w:val="left"/>
      <w:pPr>
        <w:ind w:left="720" w:hanging="360"/>
      </w:pPr>
    </w:lvl>
    <w:lvl w:ilvl="1" w:tplc="AAE8214C">
      <w:start w:val="1"/>
      <w:numFmt w:val="lowerLetter"/>
      <w:lvlText w:val="%2."/>
      <w:lvlJc w:val="left"/>
      <w:pPr>
        <w:ind w:left="1440" w:hanging="360"/>
      </w:pPr>
    </w:lvl>
    <w:lvl w:ilvl="2" w:tplc="A6B05CA0">
      <w:start w:val="1"/>
      <w:numFmt w:val="lowerRoman"/>
      <w:lvlText w:val="%3."/>
      <w:lvlJc w:val="right"/>
      <w:pPr>
        <w:ind w:left="2160" w:hanging="180"/>
      </w:pPr>
    </w:lvl>
    <w:lvl w:ilvl="3" w:tplc="DE90C750">
      <w:start w:val="1"/>
      <w:numFmt w:val="decimal"/>
      <w:lvlText w:val="%4."/>
      <w:lvlJc w:val="left"/>
      <w:pPr>
        <w:ind w:left="2880" w:hanging="360"/>
      </w:pPr>
    </w:lvl>
    <w:lvl w:ilvl="4" w:tplc="F96C2E4C">
      <w:start w:val="1"/>
      <w:numFmt w:val="lowerLetter"/>
      <w:lvlText w:val="%5."/>
      <w:lvlJc w:val="left"/>
      <w:pPr>
        <w:ind w:left="3600" w:hanging="360"/>
      </w:pPr>
    </w:lvl>
    <w:lvl w:ilvl="5" w:tplc="851AA748">
      <w:start w:val="1"/>
      <w:numFmt w:val="lowerRoman"/>
      <w:lvlText w:val="%6."/>
      <w:lvlJc w:val="right"/>
      <w:pPr>
        <w:ind w:left="4320" w:hanging="180"/>
      </w:pPr>
    </w:lvl>
    <w:lvl w:ilvl="6" w:tplc="1206C472">
      <w:start w:val="1"/>
      <w:numFmt w:val="decimal"/>
      <w:lvlText w:val="%7."/>
      <w:lvlJc w:val="left"/>
      <w:pPr>
        <w:ind w:left="5040" w:hanging="360"/>
      </w:pPr>
    </w:lvl>
    <w:lvl w:ilvl="7" w:tplc="EE20BF32">
      <w:start w:val="1"/>
      <w:numFmt w:val="lowerLetter"/>
      <w:lvlText w:val="%8."/>
      <w:lvlJc w:val="left"/>
      <w:pPr>
        <w:ind w:left="5760" w:hanging="360"/>
      </w:pPr>
    </w:lvl>
    <w:lvl w:ilvl="8" w:tplc="7FDA75E0">
      <w:start w:val="1"/>
      <w:numFmt w:val="lowerRoman"/>
      <w:lvlText w:val="%9."/>
      <w:lvlJc w:val="right"/>
      <w:pPr>
        <w:ind w:left="6480" w:hanging="180"/>
      </w:pPr>
    </w:lvl>
  </w:abstractNum>
  <w:abstractNum w:abstractNumId="5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3" w15:restartNumberingAfterBreak="0">
    <w:nsid w:val="45576905"/>
    <w:multiLevelType w:val="multilevel"/>
    <w:tmpl w:val="687CC48C"/>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4A5014AE"/>
    <w:multiLevelType w:val="hybridMultilevel"/>
    <w:tmpl w:val="04AC8EE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5" w15:restartNumberingAfterBreak="0">
    <w:nsid w:val="4AE33BCE"/>
    <w:multiLevelType w:val="hybridMultilevel"/>
    <w:tmpl w:val="36688A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4B8B626F"/>
    <w:multiLevelType w:val="hybridMultilevel"/>
    <w:tmpl w:val="FFFFFFFF"/>
    <w:lvl w:ilvl="0" w:tplc="8FECD800">
      <w:start w:val="4"/>
      <w:numFmt w:val="decimal"/>
      <w:lvlText w:val="%1."/>
      <w:lvlJc w:val="left"/>
      <w:pPr>
        <w:ind w:left="720" w:hanging="360"/>
      </w:pPr>
    </w:lvl>
    <w:lvl w:ilvl="1" w:tplc="08921906">
      <w:start w:val="1"/>
      <w:numFmt w:val="lowerLetter"/>
      <w:lvlText w:val="%2."/>
      <w:lvlJc w:val="left"/>
      <w:pPr>
        <w:ind w:left="1440" w:hanging="360"/>
      </w:pPr>
    </w:lvl>
    <w:lvl w:ilvl="2" w:tplc="44DACB00">
      <w:start w:val="1"/>
      <w:numFmt w:val="lowerRoman"/>
      <w:lvlText w:val="%3."/>
      <w:lvlJc w:val="right"/>
      <w:pPr>
        <w:ind w:left="2160" w:hanging="180"/>
      </w:pPr>
    </w:lvl>
    <w:lvl w:ilvl="3" w:tplc="4E34864C">
      <w:start w:val="1"/>
      <w:numFmt w:val="decimal"/>
      <w:lvlText w:val="%4."/>
      <w:lvlJc w:val="left"/>
      <w:pPr>
        <w:ind w:left="2880" w:hanging="360"/>
      </w:pPr>
    </w:lvl>
    <w:lvl w:ilvl="4" w:tplc="7D300AB4">
      <w:start w:val="1"/>
      <w:numFmt w:val="lowerLetter"/>
      <w:lvlText w:val="%5."/>
      <w:lvlJc w:val="left"/>
      <w:pPr>
        <w:ind w:left="3600" w:hanging="360"/>
      </w:pPr>
    </w:lvl>
    <w:lvl w:ilvl="5" w:tplc="0A6051D8">
      <w:start w:val="1"/>
      <w:numFmt w:val="lowerRoman"/>
      <w:lvlText w:val="%6."/>
      <w:lvlJc w:val="right"/>
      <w:pPr>
        <w:ind w:left="4320" w:hanging="180"/>
      </w:pPr>
    </w:lvl>
    <w:lvl w:ilvl="6" w:tplc="3B385C1E">
      <w:start w:val="1"/>
      <w:numFmt w:val="decimal"/>
      <w:lvlText w:val="%7."/>
      <w:lvlJc w:val="left"/>
      <w:pPr>
        <w:ind w:left="5040" w:hanging="360"/>
      </w:pPr>
    </w:lvl>
    <w:lvl w:ilvl="7" w:tplc="6E60D33C">
      <w:start w:val="1"/>
      <w:numFmt w:val="lowerLetter"/>
      <w:lvlText w:val="%8."/>
      <w:lvlJc w:val="left"/>
      <w:pPr>
        <w:ind w:left="5760" w:hanging="360"/>
      </w:pPr>
    </w:lvl>
    <w:lvl w:ilvl="8" w:tplc="23606030">
      <w:start w:val="1"/>
      <w:numFmt w:val="lowerRoman"/>
      <w:lvlText w:val="%9."/>
      <w:lvlJc w:val="right"/>
      <w:pPr>
        <w:ind w:left="6480" w:hanging="180"/>
      </w:pPr>
    </w:lvl>
  </w:abstractNum>
  <w:abstractNum w:abstractNumId="57" w15:restartNumberingAfterBreak="0">
    <w:nsid w:val="4E7808BF"/>
    <w:multiLevelType w:val="hybridMultilevel"/>
    <w:tmpl w:val="DCF41042"/>
    <w:lvl w:ilvl="0" w:tplc="28B2943C">
      <w:start w:val="1"/>
      <w:numFmt w:val="decimal"/>
      <w:lvlText w:val="%1."/>
      <w:lvlJc w:val="left"/>
      <w:pPr>
        <w:ind w:left="720" w:hanging="360"/>
      </w:pPr>
      <w:rPr>
        <w:lang w:val="en-G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4F3B5D68"/>
    <w:multiLevelType w:val="hybridMultilevel"/>
    <w:tmpl w:val="73F05592"/>
    <w:lvl w:ilvl="0" w:tplc="72049DA0">
      <w:numFmt w:val="bullet"/>
      <w:lvlText w:val="-"/>
      <w:lvlJc w:val="left"/>
      <w:pPr>
        <w:ind w:left="1080" w:hanging="360"/>
      </w:pPr>
      <w:rPr>
        <w:rFonts w:ascii="Times New Roman" w:eastAsia="Calibr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9" w15:restartNumberingAfterBreak="0">
    <w:nsid w:val="4FB226A4"/>
    <w:multiLevelType w:val="hybridMultilevel"/>
    <w:tmpl w:val="DE08863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509F21BE"/>
    <w:multiLevelType w:val="multilevel"/>
    <w:tmpl w:val="638674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11C64DE"/>
    <w:multiLevelType w:val="hybridMultilevel"/>
    <w:tmpl w:val="CABC02B8"/>
    <w:lvl w:ilvl="0" w:tplc="A3F6BC0A">
      <w:start w:val="1"/>
      <w:numFmt w:val="lowerLetter"/>
      <w:lvlText w:val="%1."/>
      <w:lvlJc w:val="left"/>
      <w:pPr>
        <w:ind w:left="720" w:hanging="360"/>
      </w:pPr>
    </w:lvl>
    <w:lvl w:ilvl="1" w:tplc="4E9640E4">
      <w:start w:val="1"/>
      <w:numFmt w:val="lowerLetter"/>
      <w:lvlText w:val="%2."/>
      <w:lvlJc w:val="left"/>
      <w:pPr>
        <w:ind w:left="1440" w:hanging="360"/>
      </w:pPr>
    </w:lvl>
    <w:lvl w:ilvl="2" w:tplc="B8BEF65C">
      <w:start w:val="1"/>
      <w:numFmt w:val="lowerRoman"/>
      <w:lvlText w:val="%3."/>
      <w:lvlJc w:val="right"/>
      <w:pPr>
        <w:ind w:left="2160" w:hanging="180"/>
      </w:pPr>
    </w:lvl>
    <w:lvl w:ilvl="3" w:tplc="DC3C961E">
      <w:start w:val="1"/>
      <w:numFmt w:val="decimal"/>
      <w:lvlText w:val="%4."/>
      <w:lvlJc w:val="left"/>
      <w:pPr>
        <w:ind w:left="2880" w:hanging="360"/>
      </w:pPr>
    </w:lvl>
    <w:lvl w:ilvl="4" w:tplc="8C10B900">
      <w:start w:val="1"/>
      <w:numFmt w:val="lowerLetter"/>
      <w:lvlText w:val="%5."/>
      <w:lvlJc w:val="left"/>
      <w:pPr>
        <w:ind w:left="3600" w:hanging="360"/>
      </w:pPr>
    </w:lvl>
    <w:lvl w:ilvl="5" w:tplc="CEFC2D8A">
      <w:start w:val="1"/>
      <w:numFmt w:val="lowerRoman"/>
      <w:lvlText w:val="%6."/>
      <w:lvlJc w:val="right"/>
      <w:pPr>
        <w:ind w:left="4320" w:hanging="180"/>
      </w:pPr>
    </w:lvl>
    <w:lvl w:ilvl="6" w:tplc="825200A0">
      <w:start w:val="1"/>
      <w:numFmt w:val="decimal"/>
      <w:lvlText w:val="%7."/>
      <w:lvlJc w:val="left"/>
      <w:pPr>
        <w:ind w:left="5040" w:hanging="360"/>
      </w:pPr>
    </w:lvl>
    <w:lvl w:ilvl="7" w:tplc="33AE1CEA">
      <w:start w:val="1"/>
      <w:numFmt w:val="lowerLetter"/>
      <w:lvlText w:val="%8."/>
      <w:lvlJc w:val="left"/>
      <w:pPr>
        <w:ind w:left="5760" w:hanging="360"/>
      </w:pPr>
    </w:lvl>
    <w:lvl w:ilvl="8" w:tplc="AC9EC84E">
      <w:start w:val="1"/>
      <w:numFmt w:val="lowerRoman"/>
      <w:lvlText w:val="%9."/>
      <w:lvlJc w:val="right"/>
      <w:pPr>
        <w:ind w:left="6480" w:hanging="180"/>
      </w:pPr>
    </w:lvl>
  </w:abstractNum>
  <w:abstractNum w:abstractNumId="62" w15:restartNumberingAfterBreak="0">
    <w:nsid w:val="515907F3"/>
    <w:multiLevelType w:val="hybridMultilevel"/>
    <w:tmpl w:val="FFFFFFFF"/>
    <w:lvl w:ilvl="0" w:tplc="006EBFF4">
      <w:start w:val="1"/>
      <w:numFmt w:val="bullet"/>
      <w:lvlText w:val=""/>
      <w:lvlJc w:val="left"/>
      <w:pPr>
        <w:ind w:left="720" w:hanging="360"/>
      </w:pPr>
      <w:rPr>
        <w:rFonts w:ascii="Symbol" w:hAnsi="Symbol" w:hint="default"/>
      </w:rPr>
    </w:lvl>
    <w:lvl w:ilvl="1" w:tplc="78DCED66">
      <w:start w:val="1"/>
      <w:numFmt w:val="bullet"/>
      <w:lvlText w:val="o"/>
      <w:lvlJc w:val="left"/>
      <w:pPr>
        <w:ind w:left="1440" w:hanging="360"/>
      </w:pPr>
      <w:rPr>
        <w:rFonts w:ascii="Courier New" w:hAnsi="Courier New" w:hint="default"/>
      </w:rPr>
    </w:lvl>
    <w:lvl w:ilvl="2" w:tplc="1EB0BAF2">
      <w:start w:val="1"/>
      <w:numFmt w:val="bullet"/>
      <w:lvlText w:val=""/>
      <w:lvlJc w:val="left"/>
      <w:pPr>
        <w:ind w:left="2160" w:hanging="360"/>
      </w:pPr>
      <w:rPr>
        <w:rFonts w:ascii="Wingdings" w:hAnsi="Wingdings" w:hint="default"/>
      </w:rPr>
    </w:lvl>
    <w:lvl w:ilvl="3" w:tplc="79F8C284">
      <w:start w:val="1"/>
      <w:numFmt w:val="bullet"/>
      <w:lvlText w:val=""/>
      <w:lvlJc w:val="left"/>
      <w:pPr>
        <w:ind w:left="2880" w:hanging="360"/>
      </w:pPr>
      <w:rPr>
        <w:rFonts w:ascii="Symbol" w:hAnsi="Symbol" w:hint="default"/>
      </w:rPr>
    </w:lvl>
    <w:lvl w:ilvl="4" w:tplc="CE02D1CA">
      <w:start w:val="1"/>
      <w:numFmt w:val="bullet"/>
      <w:lvlText w:val="o"/>
      <w:lvlJc w:val="left"/>
      <w:pPr>
        <w:ind w:left="3600" w:hanging="360"/>
      </w:pPr>
      <w:rPr>
        <w:rFonts w:ascii="Courier New" w:hAnsi="Courier New" w:hint="default"/>
      </w:rPr>
    </w:lvl>
    <w:lvl w:ilvl="5" w:tplc="AAF03E7E">
      <w:start w:val="1"/>
      <w:numFmt w:val="bullet"/>
      <w:lvlText w:val=""/>
      <w:lvlJc w:val="left"/>
      <w:pPr>
        <w:ind w:left="4320" w:hanging="360"/>
      </w:pPr>
      <w:rPr>
        <w:rFonts w:ascii="Wingdings" w:hAnsi="Wingdings" w:hint="default"/>
      </w:rPr>
    </w:lvl>
    <w:lvl w:ilvl="6" w:tplc="CEF66598">
      <w:start w:val="1"/>
      <w:numFmt w:val="bullet"/>
      <w:lvlText w:val=""/>
      <w:lvlJc w:val="left"/>
      <w:pPr>
        <w:ind w:left="5040" w:hanging="360"/>
      </w:pPr>
      <w:rPr>
        <w:rFonts w:ascii="Symbol" w:hAnsi="Symbol" w:hint="default"/>
      </w:rPr>
    </w:lvl>
    <w:lvl w:ilvl="7" w:tplc="0F84AF68">
      <w:start w:val="1"/>
      <w:numFmt w:val="bullet"/>
      <w:lvlText w:val="o"/>
      <w:lvlJc w:val="left"/>
      <w:pPr>
        <w:ind w:left="5760" w:hanging="360"/>
      </w:pPr>
      <w:rPr>
        <w:rFonts w:ascii="Courier New" w:hAnsi="Courier New" w:hint="default"/>
      </w:rPr>
    </w:lvl>
    <w:lvl w:ilvl="8" w:tplc="96B05C10">
      <w:start w:val="1"/>
      <w:numFmt w:val="bullet"/>
      <w:lvlText w:val=""/>
      <w:lvlJc w:val="left"/>
      <w:pPr>
        <w:ind w:left="6480" w:hanging="360"/>
      </w:pPr>
      <w:rPr>
        <w:rFonts w:ascii="Wingdings" w:hAnsi="Wingdings" w:hint="default"/>
      </w:rPr>
    </w:lvl>
  </w:abstractNum>
  <w:abstractNum w:abstractNumId="63" w15:restartNumberingAfterBreak="0">
    <w:nsid w:val="53576600"/>
    <w:multiLevelType w:val="hybridMultilevel"/>
    <w:tmpl w:val="CF28A5F0"/>
    <w:lvl w:ilvl="0" w:tplc="0360C0F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35F1F63"/>
    <w:multiLevelType w:val="hybridMultilevel"/>
    <w:tmpl w:val="9876721A"/>
    <w:lvl w:ilvl="0" w:tplc="FFFFFFFF">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54127786"/>
    <w:multiLevelType w:val="hybridMultilevel"/>
    <w:tmpl w:val="54E42694"/>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7" w15:restartNumberingAfterBreak="0">
    <w:nsid w:val="567D43B1"/>
    <w:multiLevelType w:val="multilevel"/>
    <w:tmpl w:val="61A2DB8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6C536AF"/>
    <w:multiLevelType w:val="hybridMultilevel"/>
    <w:tmpl w:val="FFFFFFFF"/>
    <w:lvl w:ilvl="0" w:tplc="6F3845F0">
      <w:start w:val="1"/>
      <w:numFmt w:val="bullet"/>
      <w:lvlText w:val=""/>
      <w:lvlJc w:val="left"/>
      <w:pPr>
        <w:ind w:left="720" w:hanging="360"/>
      </w:pPr>
      <w:rPr>
        <w:rFonts w:ascii="Symbol" w:hAnsi="Symbol" w:hint="default"/>
      </w:rPr>
    </w:lvl>
    <w:lvl w:ilvl="1" w:tplc="81BC6F16">
      <w:start w:val="1"/>
      <w:numFmt w:val="bullet"/>
      <w:lvlText w:val="o"/>
      <w:lvlJc w:val="left"/>
      <w:pPr>
        <w:ind w:left="1440" w:hanging="360"/>
      </w:pPr>
      <w:rPr>
        <w:rFonts w:ascii="Courier New" w:hAnsi="Courier New" w:hint="default"/>
      </w:rPr>
    </w:lvl>
    <w:lvl w:ilvl="2" w:tplc="23889B10">
      <w:start w:val="1"/>
      <w:numFmt w:val="bullet"/>
      <w:lvlText w:val=""/>
      <w:lvlJc w:val="left"/>
      <w:pPr>
        <w:ind w:left="2160" w:hanging="360"/>
      </w:pPr>
      <w:rPr>
        <w:rFonts w:ascii="Wingdings" w:hAnsi="Wingdings" w:hint="default"/>
      </w:rPr>
    </w:lvl>
    <w:lvl w:ilvl="3" w:tplc="1C9AB6A2">
      <w:start w:val="1"/>
      <w:numFmt w:val="bullet"/>
      <w:lvlText w:val=""/>
      <w:lvlJc w:val="left"/>
      <w:pPr>
        <w:ind w:left="2880" w:hanging="360"/>
      </w:pPr>
      <w:rPr>
        <w:rFonts w:ascii="Symbol" w:hAnsi="Symbol" w:hint="default"/>
      </w:rPr>
    </w:lvl>
    <w:lvl w:ilvl="4" w:tplc="00F6448E">
      <w:start w:val="1"/>
      <w:numFmt w:val="bullet"/>
      <w:lvlText w:val="o"/>
      <w:lvlJc w:val="left"/>
      <w:pPr>
        <w:ind w:left="3600" w:hanging="360"/>
      </w:pPr>
      <w:rPr>
        <w:rFonts w:ascii="Courier New" w:hAnsi="Courier New" w:hint="default"/>
      </w:rPr>
    </w:lvl>
    <w:lvl w:ilvl="5" w:tplc="5344F1D4">
      <w:start w:val="1"/>
      <w:numFmt w:val="bullet"/>
      <w:lvlText w:val=""/>
      <w:lvlJc w:val="left"/>
      <w:pPr>
        <w:ind w:left="4320" w:hanging="360"/>
      </w:pPr>
      <w:rPr>
        <w:rFonts w:ascii="Wingdings" w:hAnsi="Wingdings" w:hint="default"/>
      </w:rPr>
    </w:lvl>
    <w:lvl w:ilvl="6" w:tplc="DAF233BA">
      <w:start w:val="1"/>
      <w:numFmt w:val="bullet"/>
      <w:lvlText w:val=""/>
      <w:lvlJc w:val="left"/>
      <w:pPr>
        <w:ind w:left="5040" w:hanging="360"/>
      </w:pPr>
      <w:rPr>
        <w:rFonts w:ascii="Symbol" w:hAnsi="Symbol" w:hint="default"/>
      </w:rPr>
    </w:lvl>
    <w:lvl w:ilvl="7" w:tplc="B9186092">
      <w:start w:val="1"/>
      <w:numFmt w:val="bullet"/>
      <w:lvlText w:val="o"/>
      <w:lvlJc w:val="left"/>
      <w:pPr>
        <w:ind w:left="5760" w:hanging="360"/>
      </w:pPr>
      <w:rPr>
        <w:rFonts w:ascii="Courier New" w:hAnsi="Courier New" w:hint="default"/>
      </w:rPr>
    </w:lvl>
    <w:lvl w:ilvl="8" w:tplc="5F1E7BB2">
      <w:start w:val="1"/>
      <w:numFmt w:val="bullet"/>
      <w:lvlText w:val=""/>
      <w:lvlJc w:val="left"/>
      <w:pPr>
        <w:ind w:left="6480" w:hanging="360"/>
      </w:pPr>
      <w:rPr>
        <w:rFonts w:ascii="Wingdings" w:hAnsi="Wingdings" w:hint="default"/>
      </w:rPr>
    </w:lvl>
  </w:abstractNum>
  <w:abstractNum w:abstractNumId="69" w15:restartNumberingAfterBreak="0">
    <w:nsid w:val="59E86F90"/>
    <w:multiLevelType w:val="hybridMultilevel"/>
    <w:tmpl w:val="DC1232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3" w15:restartNumberingAfterBreak="0">
    <w:nsid w:val="5F22596D"/>
    <w:multiLevelType w:val="hybridMultilevel"/>
    <w:tmpl w:val="880CA95C"/>
    <w:lvl w:ilvl="0" w:tplc="C1347F28">
      <w:start w:val="4"/>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60586764"/>
    <w:multiLevelType w:val="hybridMultilevel"/>
    <w:tmpl w:val="649AFA08"/>
    <w:lvl w:ilvl="0" w:tplc="BA32C386">
      <w:start w:val="1"/>
      <w:numFmt w:val="bullet"/>
      <w:lvlText w:val="-"/>
      <w:lvlJc w:val="left"/>
      <w:pPr>
        <w:ind w:left="360" w:hanging="360"/>
      </w:pPr>
      <w:rPr>
        <w:rFonts w:ascii="Calibri" w:hAnsi="Calibri" w:hint="default"/>
      </w:rPr>
    </w:lvl>
    <w:lvl w:ilvl="1" w:tplc="6BEA513E">
      <w:start w:val="1"/>
      <w:numFmt w:val="bullet"/>
      <w:lvlText w:val="o"/>
      <w:lvlJc w:val="left"/>
      <w:pPr>
        <w:ind w:left="1080" w:hanging="360"/>
      </w:pPr>
      <w:rPr>
        <w:rFonts w:ascii="Courier New" w:hAnsi="Courier New" w:hint="default"/>
      </w:rPr>
    </w:lvl>
    <w:lvl w:ilvl="2" w:tplc="2AD8EAF0">
      <w:start w:val="1"/>
      <w:numFmt w:val="bullet"/>
      <w:lvlText w:val=""/>
      <w:lvlJc w:val="left"/>
      <w:pPr>
        <w:ind w:left="1800" w:hanging="360"/>
      </w:pPr>
      <w:rPr>
        <w:rFonts w:ascii="Wingdings" w:hAnsi="Wingdings" w:hint="default"/>
      </w:rPr>
    </w:lvl>
    <w:lvl w:ilvl="3" w:tplc="8600303C">
      <w:start w:val="1"/>
      <w:numFmt w:val="bullet"/>
      <w:lvlText w:val=""/>
      <w:lvlJc w:val="left"/>
      <w:pPr>
        <w:ind w:left="2520" w:hanging="360"/>
      </w:pPr>
      <w:rPr>
        <w:rFonts w:ascii="Symbol" w:hAnsi="Symbol" w:hint="default"/>
      </w:rPr>
    </w:lvl>
    <w:lvl w:ilvl="4" w:tplc="D9E23B9A">
      <w:start w:val="1"/>
      <w:numFmt w:val="bullet"/>
      <w:lvlText w:val="o"/>
      <w:lvlJc w:val="left"/>
      <w:pPr>
        <w:ind w:left="3240" w:hanging="360"/>
      </w:pPr>
      <w:rPr>
        <w:rFonts w:ascii="Courier New" w:hAnsi="Courier New" w:hint="default"/>
      </w:rPr>
    </w:lvl>
    <w:lvl w:ilvl="5" w:tplc="CCBA9910">
      <w:start w:val="1"/>
      <w:numFmt w:val="bullet"/>
      <w:lvlText w:val=""/>
      <w:lvlJc w:val="left"/>
      <w:pPr>
        <w:ind w:left="3960" w:hanging="360"/>
      </w:pPr>
      <w:rPr>
        <w:rFonts w:ascii="Wingdings" w:hAnsi="Wingdings" w:hint="default"/>
      </w:rPr>
    </w:lvl>
    <w:lvl w:ilvl="6" w:tplc="912CC7D4">
      <w:start w:val="1"/>
      <w:numFmt w:val="bullet"/>
      <w:lvlText w:val=""/>
      <w:lvlJc w:val="left"/>
      <w:pPr>
        <w:ind w:left="4680" w:hanging="360"/>
      </w:pPr>
      <w:rPr>
        <w:rFonts w:ascii="Symbol" w:hAnsi="Symbol" w:hint="default"/>
      </w:rPr>
    </w:lvl>
    <w:lvl w:ilvl="7" w:tplc="B16028F4">
      <w:start w:val="1"/>
      <w:numFmt w:val="bullet"/>
      <w:lvlText w:val="o"/>
      <w:lvlJc w:val="left"/>
      <w:pPr>
        <w:ind w:left="5400" w:hanging="360"/>
      </w:pPr>
      <w:rPr>
        <w:rFonts w:ascii="Courier New" w:hAnsi="Courier New" w:hint="default"/>
      </w:rPr>
    </w:lvl>
    <w:lvl w:ilvl="8" w:tplc="5B821FAC">
      <w:start w:val="1"/>
      <w:numFmt w:val="bullet"/>
      <w:lvlText w:val=""/>
      <w:lvlJc w:val="left"/>
      <w:pPr>
        <w:ind w:left="6120" w:hanging="360"/>
      </w:pPr>
      <w:rPr>
        <w:rFonts w:ascii="Wingdings" w:hAnsi="Wingdings" w:hint="default"/>
      </w:rPr>
    </w:lvl>
  </w:abstractNum>
  <w:abstractNum w:abstractNumId="75" w15:restartNumberingAfterBreak="0">
    <w:nsid w:val="6122C8C6"/>
    <w:multiLevelType w:val="hybridMultilevel"/>
    <w:tmpl w:val="AE9E5DB8"/>
    <w:lvl w:ilvl="0" w:tplc="CC44E55C">
      <w:start w:val="1"/>
      <w:numFmt w:val="bullet"/>
      <w:lvlText w:val="·"/>
      <w:lvlJc w:val="left"/>
      <w:pPr>
        <w:ind w:left="720" w:hanging="360"/>
      </w:pPr>
      <w:rPr>
        <w:rFonts w:ascii="Symbol" w:hAnsi="Symbol" w:hint="default"/>
      </w:rPr>
    </w:lvl>
    <w:lvl w:ilvl="1" w:tplc="9760C02A">
      <w:start w:val="1"/>
      <w:numFmt w:val="bullet"/>
      <w:lvlText w:val="o"/>
      <w:lvlJc w:val="left"/>
      <w:pPr>
        <w:ind w:left="1440" w:hanging="360"/>
      </w:pPr>
      <w:rPr>
        <w:rFonts w:ascii="Courier New" w:hAnsi="Courier New" w:hint="default"/>
      </w:rPr>
    </w:lvl>
    <w:lvl w:ilvl="2" w:tplc="AE5C8294">
      <w:start w:val="1"/>
      <w:numFmt w:val="bullet"/>
      <w:lvlText w:val=""/>
      <w:lvlJc w:val="left"/>
      <w:pPr>
        <w:ind w:left="2160" w:hanging="360"/>
      </w:pPr>
      <w:rPr>
        <w:rFonts w:ascii="Wingdings" w:hAnsi="Wingdings" w:hint="default"/>
      </w:rPr>
    </w:lvl>
    <w:lvl w:ilvl="3" w:tplc="F77281B6">
      <w:start w:val="1"/>
      <w:numFmt w:val="bullet"/>
      <w:lvlText w:val=""/>
      <w:lvlJc w:val="left"/>
      <w:pPr>
        <w:ind w:left="2880" w:hanging="360"/>
      </w:pPr>
      <w:rPr>
        <w:rFonts w:ascii="Symbol" w:hAnsi="Symbol" w:hint="default"/>
      </w:rPr>
    </w:lvl>
    <w:lvl w:ilvl="4" w:tplc="8F3C946E">
      <w:start w:val="1"/>
      <w:numFmt w:val="bullet"/>
      <w:lvlText w:val="o"/>
      <w:lvlJc w:val="left"/>
      <w:pPr>
        <w:ind w:left="3600" w:hanging="360"/>
      </w:pPr>
      <w:rPr>
        <w:rFonts w:ascii="Courier New" w:hAnsi="Courier New" w:hint="default"/>
      </w:rPr>
    </w:lvl>
    <w:lvl w:ilvl="5" w:tplc="DEF27A16">
      <w:start w:val="1"/>
      <w:numFmt w:val="bullet"/>
      <w:lvlText w:val=""/>
      <w:lvlJc w:val="left"/>
      <w:pPr>
        <w:ind w:left="4320" w:hanging="360"/>
      </w:pPr>
      <w:rPr>
        <w:rFonts w:ascii="Wingdings" w:hAnsi="Wingdings" w:hint="default"/>
      </w:rPr>
    </w:lvl>
    <w:lvl w:ilvl="6" w:tplc="02167216">
      <w:start w:val="1"/>
      <w:numFmt w:val="bullet"/>
      <w:lvlText w:val=""/>
      <w:lvlJc w:val="left"/>
      <w:pPr>
        <w:ind w:left="5040" w:hanging="360"/>
      </w:pPr>
      <w:rPr>
        <w:rFonts w:ascii="Symbol" w:hAnsi="Symbol" w:hint="default"/>
      </w:rPr>
    </w:lvl>
    <w:lvl w:ilvl="7" w:tplc="0FAEC2BA">
      <w:start w:val="1"/>
      <w:numFmt w:val="bullet"/>
      <w:lvlText w:val="o"/>
      <w:lvlJc w:val="left"/>
      <w:pPr>
        <w:ind w:left="5760" w:hanging="360"/>
      </w:pPr>
      <w:rPr>
        <w:rFonts w:ascii="Courier New" w:hAnsi="Courier New" w:hint="default"/>
      </w:rPr>
    </w:lvl>
    <w:lvl w:ilvl="8" w:tplc="F796DD5C">
      <w:start w:val="1"/>
      <w:numFmt w:val="bullet"/>
      <w:lvlText w:val=""/>
      <w:lvlJc w:val="left"/>
      <w:pPr>
        <w:ind w:left="6480" w:hanging="360"/>
      </w:pPr>
      <w:rPr>
        <w:rFonts w:ascii="Wingdings" w:hAnsi="Wingdings" w:hint="default"/>
      </w:rPr>
    </w:lvl>
  </w:abstractNum>
  <w:abstractNum w:abstractNumId="76" w15:restartNumberingAfterBreak="0">
    <w:nsid w:val="615D751C"/>
    <w:multiLevelType w:val="hybridMultilevel"/>
    <w:tmpl w:val="DC12325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61873230"/>
    <w:multiLevelType w:val="multilevel"/>
    <w:tmpl w:val="1B6416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2994388"/>
    <w:multiLevelType w:val="hybridMultilevel"/>
    <w:tmpl w:val="F51853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79" w15:restartNumberingAfterBreak="0">
    <w:nsid w:val="62B4658B"/>
    <w:multiLevelType w:val="hybridMultilevel"/>
    <w:tmpl w:val="C6B4A1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635F095A"/>
    <w:multiLevelType w:val="hybridMultilevel"/>
    <w:tmpl w:val="0420856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3B425A9"/>
    <w:multiLevelType w:val="hybridMultilevel"/>
    <w:tmpl w:val="FFFFFFFF"/>
    <w:lvl w:ilvl="0" w:tplc="37BA2236">
      <w:start w:val="1"/>
      <w:numFmt w:val="bullet"/>
      <w:lvlText w:val="-"/>
      <w:lvlJc w:val="left"/>
      <w:pPr>
        <w:ind w:left="720" w:hanging="360"/>
      </w:pPr>
      <w:rPr>
        <w:rFonts w:ascii="Calibri" w:hAnsi="Calibri" w:hint="default"/>
      </w:rPr>
    </w:lvl>
    <w:lvl w:ilvl="1" w:tplc="F4DE8998">
      <w:start w:val="1"/>
      <w:numFmt w:val="bullet"/>
      <w:lvlText w:val="o"/>
      <w:lvlJc w:val="left"/>
      <w:pPr>
        <w:ind w:left="1440" w:hanging="360"/>
      </w:pPr>
      <w:rPr>
        <w:rFonts w:ascii="Courier New" w:hAnsi="Courier New" w:hint="default"/>
      </w:rPr>
    </w:lvl>
    <w:lvl w:ilvl="2" w:tplc="35D2103E">
      <w:start w:val="1"/>
      <w:numFmt w:val="bullet"/>
      <w:lvlText w:val=""/>
      <w:lvlJc w:val="left"/>
      <w:pPr>
        <w:ind w:left="2160" w:hanging="360"/>
      </w:pPr>
      <w:rPr>
        <w:rFonts w:ascii="Wingdings" w:hAnsi="Wingdings" w:hint="default"/>
      </w:rPr>
    </w:lvl>
    <w:lvl w:ilvl="3" w:tplc="8ADA590A">
      <w:start w:val="1"/>
      <w:numFmt w:val="bullet"/>
      <w:lvlText w:val=""/>
      <w:lvlJc w:val="left"/>
      <w:pPr>
        <w:ind w:left="2880" w:hanging="360"/>
      </w:pPr>
      <w:rPr>
        <w:rFonts w:ascii="Symbol" w:hAnsi="Symbol" w:hint="default"/>
      </w:rPr>
    </w:lvl>
    <w:lvl w:ilvl="4" w:tplc="38104DA2">
      <w:start w:val="1"/>
      <w:numFmt w:val="bullet"/>
      <w:lvlText w:val="o"/>
      <w:lvlJc w:val="left"/>
      <w:pPr>
        <w:ind w:left="3600" w:hanging="360"/>
      </w:pPr>
      <w:rPr>
        <w:rFonts w:ascii="Courier New" w:hAnsi="Courier New" w:hint="default"/>
      </w:rPr>
    </w:lvl>
    <w:lvl w:ilvl="5" w:tplc="B8AC1A26">
      <w:start w:val="1"/>
      <w:numFmt w:val="bullet"/>
      <w:lvlText w:val=""/>
      <w:lvlJc w:val="left"/>
      <w:pPr>
        <w:ind w:left="4320" w:hanging="360"/>
      </w:pPr>
      <w:rPr>
        <w:rFonts w:ascii="Wingdings" w:hAnsi="Wingdings" w:hint="default"/>
      </w:rPr>
    </w:lvl>
    <w:lvl w:ilvl="6" w:tplc="70C47BDE">
      <w:start w:val="1"/>
      <w:numFmt w:val="bullet"/>
      <w:lvlText w:val=""/>
      <w:lvlJc w:val="left"/>
      <w:pPr>
        <w:ind w:left="5040" w:hanging="360"/>
      </w:pPr>
      <w:rPr>
        <w:rFonts w:ascii="Symbol" w:hAnsi="Symbol" w:hint="default"/>
      </w:rPr>
    </w:lvl>
    <w:lvl w:ilvl="7" w:tplc="7FE86624">
      <w:start w:val="1"/>
      <w:numFmt w:val="bullet"/>
      <w:lvlText w:val="o"/>
      <w:lvlJc w:val="left"/>
      <w:pPr>
        <w:ind w:left="5760" w:hanging="360"/>
      </w:pPr>
      <w:rPr>
        <w:rFonts w:ascii="Courier New" w:hAnsi="Courier New" w:hint="default"/>
      </w:rPr>
    </w:lvl>
    <w:lvl w:ilvl="8" w:tplc="CBAE565C">
      <w:start w:val="1"/>
      <w:numFmt w:val="bullet"/>
      <w:lvlText w:val=""/>
      <w:lvlJc w:val="left"/>
      <w:pPr>
        <w:ind w:left="6480" w:hanging="360"/>
      </w:pPr>
      <w:rPr>
        <w:rFonts w:ascii="Wingdings" w:hAnsi="Wingdings" w:hint="default"/>
      </w:rPr>
    </w:lvl>
  </w:abstractNum>
  <w:abstractNum w:abstractNumId="82" w15:restartNumberingAfterBreak="0">
    <w:nsid w:val="64A12FA4"/>
    <w:multiLevelType w:val="multilevel"/>
    <w:tmpl w:val="BC1C158C"/>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64BD7E39"/>
    <w:multiLevelType w:val="hybridMultilevel"/>
    <w:tmpl w:val="6010C0C6"/>
    <w:lvl w:ilvl="0" w:tplc="B2945C9A">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66E8322C"/>
    <w:multiLevelType w:val="hybridMultilevel"/>
    <w:tmpl w:val="2B48F81C"/>
    <w:lvl w:ilvl="0" w:tplc="FC5027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675A2A41"/>
    <w:multiLevelType w:val="multilevel"/>
    <w:tmpl w:val="770C83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677C56C3"/>
    <w:multiLevelType w:val="hybridMultilevel"/>
    <w:tmpl w:val="6AA0F88C"/>
    <w:lvl w:ilvl="0" w:tplc="9BD60EE0">
      <w:start w:val="1"/>
      <w:numFmt w:val="bullet"/>
      <w:lvlText w:val="-"/>
      <w:lvlJc w:val="left"/>
      <w:pPr>
        <w:ind w:left="720" w:hanging="360"/>
      </w:pPr>
      <w:rPr>
        <w:rFonts w:ascii="Calibri" w:hAnsi="Calibri" w:hint="default"/>
      </w:rPr>
    </w:lvl>
    <w:lvl w:ilvl="1" w:tplc="11A409A8">
      <w:start w:val="1"/>
      <w:numFmt w:val="bullet"/>
      <w:lvlText w:val="o"/>
      <w:lvlJc w:val="left"/>
      <w:pPr>
        <w:ind w:left="1440" w:hanging="360"/>
      </w:pPr>
      <w:rPr>
        <w:rFonts w:ascii="Courier New" w:hAnsi="Courier New" w:hint="default"/>
      </w:rPr>
    </w:lvl>
    <w:lvl w:ilvl="2" w:tplc="C23AC772">
      <w:start w:val="1"/>
      <w:numFmt w:val="bullet"/>
      <w:lvlText w:val=""/>
      <w:lvlJc w:val="left"/>
      <w:pPr>
        <w:ind w:left="2160" w:hanging="360"/>
      </w:pPr>
      <w:rPr>
        <w:rFonts w:ascii="Wingdings" w:hAnsi="Wingdings" w:hint="default"/>
      </w:rPr>
    </w:lvl>
    <w:lvl w:ilvl="3" w:tplc="D8B2D6FE">
      <w:start w:val="1"/>
      <w:numFmt w:val="bullet"/>
      <w:lvlText w:val=""/>
      <w:lvlJc w:val="left"/>
      <w:pPr>
        <w:ind w:left="2880" w:hanging="360"/>
      </w:pPr>
      <w:rPr>
        <w:rFonts w:ascii="Symbol" w:hAnsi="Symbol" w:hint="default"/>
      </w:rPr>
    </w:lvl>
    <w:lvl w:ilvl="4" w:tplc="53EC0940">
      <w:start w:val="1"/>
      <w:numFmt w:val="bullet"/>
      <w:lvlText w:val="o"/>
      <w:lvlJc w:val="left"/>
      <w:pPr>
        <w:ind w:left="3600" w:hanging="360"/>
      </w:pPr>
      <w:rPr>
        <w:rFonts w:ascii="Courier New" w:hAnsi="Courier New" w:hint="default"/>
      </w:rPr>
    </w:lvl>
    <w:lvl w:ilvl="5" w:tplc="39D8A282">
      <w:start w:val="1"/>
      <w:numFmt w:val="bullet"/>
      <w:lvlText w:val=""/>
      <w:lvlJc w:val="left"/>
      <w:pPr>
        <w:ind w:left="4320" w:hanging="360"/>
      </w:pPr>
      <w:rPr>
        <w:rFonts w:ascii="Wingdings" w:hAnsi="Wingdings" w:hint="default"/>
      </w:rPr>
    </w:lvl>
    <w:lvl w:ilvl="6" w:tplc="049AC9DC">
      <w:start w:val="1"/>
      <w:numFmt w:val="bullet"/>
      <w:lvlText w:val=""/>
      <w:lvlJc w:val="left"/>
      <w:pPr>
        <w:ind w:left="5040" w:hanging="360"/>
      </w:pPr>
      <w:rPr>
        <w:rFonts w:ascii="Symbol" w:hAnsi="Symbol" w:hint="default"/>
      </w:rPr>
    </w:lvl>
    <w:lvl w:ilvl="7" w:tplc="9A5671AA">
      <w:start w:val="1"/>
      <w:numFmt w:val="bullet"/>
      <w:lvlText w:val="o"/>
      <w:lvlJc w:val="left"/>
      <w:pPr>
        <w:ind w:left="5760" w:hanging="360"/>
      </w:pPr>
      <w:rPr>
        <w:rFonts w:ascii="Courier New" w:hAnsi="Courier New" w:hint="default"/>
      </w:rPr>
    </w:lvl>
    <w:lvl w:ilvl="8" w:tplc="19FC244E">
      <w:start w:val="1"/>
      <w:numFmt w:val="bullet"/>
      <w:lvlText w:val=""/>
      <w:lvlJc w:val="left"/>
      <w:pPr>
        <w:ind w:left="6480" w:hanging="360"/>
      </w:pPr>
      <w:rPr>
        <w:rFonts w:ascii="Wingdings" w:hAnsi="Wingdings" w:hint="default"/>
      </w:rPr>
    </w:lvl>
  </w:abstractNum>
  <w:abstractNum w:abstractNumId="8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8" w15:restartNumberingAfterBreak="0">
    <w:nsid w:val="6A336813"/>
    <w:multiLevelType w:val="hybridMultilevel"/>
    <w:tmpl w:val="C3063C78"/>
    <w:lvl w:ilvl="0" w:tplc="04F811E2">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9" w15:restartNumberingAfterBreak="0">
    <w:nsid w:val="6B101945"/>
    <w:multiLevelType w:val="hybridMultilevel"/>
    <w:tmpl w:val="C9EAB23E"/>
    <w:lvl w:ilvl="0" w:tplc="FFECB1E2">
      <w:start w:val="1"/>
      <w:numFmt w:val="decimal"/>
      <w:lvlText w:val="%1."/>
      <w:lvlJc w:val="left"/>
      <w:pPr>
        <w:ind w:left="720" w:hanging="360"/>
      </w:pPr>
      <w:rPr>
        <w:rFonts w:eastAsia="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0" w15:restartNumberingAfterBreak="0">
    <w:nsid w:val="6BE044C1"/>
    <w:multiLevelType w:val="hybridMultilevel"/>
    <w:tmpl w:val="A1BAF6B8"/>
    <w:lvl w:ilvl="0" w:tplc="6F3845F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71312283"/>
    <w:multiLevelType w:val="hybridMultilevel"/>
    <w:tmpl w:val="8142414E"/>
    <w:lvl w:ilvl="0" w:tplc="535EC3BC">
      <w:start w:val="1"/>
      <w:numFmt w:val="lowerLetter"/>
      <w:lvlText w:val="%1."/>
      <w:lvlJc w:val="left"/>
      <w:pPr>
        <w:ind w:left="836" w:hanging="360"/>
      </w:pPr>
      <w:rPr>
        <w:rFonts w:ascii="Times New Roman" w:hAnsi="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2" w15:restartNumberingAfterBreak="0">
    <w:nsid w:val="73956375"/>
    <w:multiLevelType w:val="multilevel"/>
    <w:tmpl w:val="84AA12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9E62EB7"/>
    <w:multiLevelType w:val="hybridMultilevel"/>
    <w:tmpl w:val="9E7209E6"/>
    <w:lvl w:ilvl="0" w:tplc="F9B2C2BC">
      <w:start w:val="1"/>
      <w:numFmt w:val="decimal"/>
      <w:lvlText w:val="%1."/>
      <w:lvlJc w:val="left"/>
      <w:pPr>
        <w:ind w:left="1020" w:hanging="360"/>
      </w:pPr>
    </w:lvl>
    <w:lvl w:ilvl="1" w:tplc="42CAB732">
      <w:start w:val="1"/>
      <w:numFmt w:val="decimal"/>
      <w:lvlText w:val="%2."/>
      <w:lvlJc w:val="left"/>
      <w:pPr>
        <w:ind w:left="1020" w:hanging="360"/>
      </w:pPr>
    </w:lvl>
    <w:lvl w:ilvl="2" w:tplc="8E640212">
      <w:start w:val="1"/>
      <w:numFmt w:val="decimal"/>
      <w:lvlText w:val="%3."/>
      <w:lvlJc w:val="left"/>
      <w:pPr>
        <w:ind w:left="1020" w:hanging="360"/>
      </w:pPr>
    </w:lvl>
    <w:lvl w:ilvl="3" w:tplc="BD46A8E0">
      <w:start w:val="1"/>
      <w:numFmt w:val="decimal"/>
      <w:lvlText w:val="%4."/>
      <w:lvlJc w:val="left"/>
      <w:pPr>
        <w:ind w:left="1020" w:hanging="360"/>
      </w:pPr>
    </w:lvl>
    <w:lvl w:ilvl="4" w:tplc="40D0DF8E">
      <w:start w:val="1"/>
      <w:numFmt w:val="decimal"/>
      <w:lvlText w:val="%5."/>
      <w:lvlJc w:val="left"/>
      <w:pPr>
        <w:ind w:left="1020" w:hanging="360"/>
      </w:pPr>
    </w:lvl>
    <w:lvl w:ilvl="5" w:tplc="E6D4E77C">
      <w:start w:val="1"/>
      <w:numFmt w:val="decimal"/>
      <w:lvlText w:val="%6."/>
      <w:lvlJc w:val="left"/>
      <w:pPr>
        <w:ind w:left="1020" w:hanging="360"/>
      </w:pPr>
    </w:lvl>
    <w:lvl w:ilvl="6" w:tplc="38BCD766">
      <w:start w:val="1"/>
      <w:numFmt w:val="decimal"/>
      <w:lvlText w:val="%7."/>
      <w:lvlJc w:val="left"/>
      <w:pPr>
        <w:ind w:left="1020" w:hanging="360"/>
      </w:pPr>
    </w:lvl>
    <w:lvl w:ilvl="7" w:tplc="0952D592">
      <w:start w:val="1"/>
      <w:numFmt w:val="decimal"/>
      <w:lvlText w:val="%8."/>
      <w:lvlJc w:val="left"/>
      <w:pPr>
        <w:ind w:left="1020" w:hanging="360"/>
      </w:pPr>
    </w:lvl>
    <w:lvl w:ilvl="8" w:tplc="F8B2586E">
      <w:start w:val="1"/>
      <w:numFmt w:val="decimal"/>
      <w:lvlText w:val="%9."/>
      <w:lvlJc w:val="left"/>
      <w:pPr>
        <w:ind w:left="1020" w:hanging="360"/>
      </w:pPr>
    </w:lvl>
  </w:abstractNum>
  <w:abstractNum w:abstractNumId="94" w15:restartNumberingAfterBreak="0">
    <w:nsid w:val="7BE13B5C"/>
    <w:multiLevelType w:val="multilevel"/>
    <w:tmpl w:val="CAD047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C0D5804"/>
    <w:multiLevelType w:val="hybridMultilevel"/>
    <w:tmpl w:val="0A525564"/>
    <w:lvl w:ilvl="0" w:tplc="4FFCFE9A">
      <w:start w:val="1"/>
      <w:numFmt w:val="lowerLetter"/>
      <w:lvlText w:val="%1."/>
      <w:lvlJc w:val="left"/>
      <w:pPr>
        <w:ind w:left="836" w:hanging="360"/>
      </w:pPr>
      <w:rPr>
        <w:rFonts w:ascii="Times New Roman" w:hAnsi="Times New Roman" w:hint="default"/>
        <w:sz w:val="24"/>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9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97" w15:restartNumberingAfterBreak="0">
    <w:nsid w:val="7E2F292B"/>
    <w:multiLevelType w:val="hybridMultilevel"/>
    <w:tmpl w:val="09E621FE"/>
    <w:lvl w:ilvl="0" w:tplc="57688BD4">
      <w:start w:val="1"/>
      <w:numFmt w:val="decimal"/>
      <w:lvlText w:val="%1."/>
      <w:lvlJc w:val="left"/>
      <w:pPr>
        <w:ind w:left="1020" w:hanging="360"/>
      </w:pPr>
    </w:lvl>
    <w:lvl w:ilvl="1" w:tplc="A6965EEA">
      <w:start w:val="1"/>
      <w:numFmt w:val="decimal"/>
      <w:lvlText w:val="%2."/>
      <w:lvlJc w:val="left"/>
      <w:pPr>
        <w:ind w:left="1020" w:hanging="360"/>
      </w:pPr>
    </w:lvl>
    <w:lvl w:ilvl="2" w:tplc="C002BBC8">
      <w:start w:val="1"/>
      <w:numFmt w:val="decimal"/>
      <w:lvlText w:val="%3."/>
      <w:lvlJc w:val="left"/>
      <w:pPr>
        <w:ind w:left="1020" w:hanging="360"/>
      </w:pPr>
    </w:lvl>
    <w:lvl w:ilvl="3" w:tplc="7292DEC2">
      <w:start w:val="1"/>
      <w:numFmt w:val="decimal"/>
      <w:lvlText w:val="%4."/>
      <w:lvlJc w:val="left"/>
      <w:pPr>
        <w:ind w:left="1020" w:hanging="360"/>
      </w:pPr>
    </w:lvl>
    <w:lvl w:ilvl="4" w:tplc="6972D9C2">
      <w:start w:val="1"/>
      <w:numFmt w:val="decimal"/>
      <w:lvlText w:val="%5."/>
      <w:lvlJc w:val="left"/>
      <w:pPr>
        <w:ind w:left="1020" w:hanging="360"/>
      </w:pPr>
    </w:lvl>
    <w:lvl w:ilvl="5" w:tplc="A52646A0">
      <w:start w:val="1"/>
      <w:numFmt w:val="decimal"/>
      <w:lvlText w:val="%6."/>
      <w:lvlJc w:val="left"/>
      <w:pPr>
        <w:ind w:left="1020" w:hanging="360"/>
      </w:pPr>
    </w:lvl>
    <w:lvl w:ilvl="6" w:tplc="B6FEE50E">
      <w:start w:val="1"/>
      <w:numFmt w:val="decimal"/>
      <w:lvlText w:val="%7."/>
      <w:lvlJc w:val="left"/>
      <w:pPr>
        <w:ind w:left="1020" w:hanging="360"/>
      </w:pPr>
    </w:lvl>
    <w:lvl w:ilvl="7" w:tplc="EE7E01EA">
      <w:start w:val="1"/>
      <w:numFmt w:val="decimal"/>
      <w:lvlText w:val="%8."/>
      <w:lvlJc w:val="left"/>
      <w:pPr>
        <w:ind w:left="1020" w:hanging="360"/>
      </w:pPr>
    </w:lvl>
    <w:lvl w:ilvl="8" w:tplc="CE44AC86">
      <w:start w:val="1"/>
      <w:numFmt w:val="decimal"/>
      <w:lvlText w:val="%9."/>
      <w:lvlJc w:val="left"/>
      <w:pPr>
        <w:ind w:left="1020" w:hanging="360"/>
      </w:pPr>
    </w:lvl>
  </w:abstractNum>
  <w:abstractNum w:abstractNumId="98" w15:restartNumberingAfterBreak="0">
    <w:nsid w:val="7E8A506A"/>
    <w:multiLevelType w:val="hybridMultilevel"/>
    <w:tmpl w:val="14C08DE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7EB40F1B"/>
    <w:multiLevelType w:val="multilevel"/>
    <w:tmpl w:val="5C549E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1"/>
  </w:num>
  <w:num w:numId="2">
    <w:abstractNumId w:val="16"/>
  </w:num>
  <w:num w:numId="3">
    <w:abstractNumId w:val="61"/>
  </w:num>
  <w:num w:numId="4">
    <w:abstractNumId w:val="72"/>
  </w:num>
  <w:num w:numId="5">
    <w:abstractNumId w:val="49"/>
  </w:num>
  <w:num w:numId="6">
    <w:abstractNumId w:val="87"/>
  </w:num>
  <w:num w:numId="7">
    <w:abstractNumId w:val="35"/>
  </w:num>
  <w:num w:numId="8">
    <w:abstractNumId w:val="50"/>
  </w:num>
  <w:num w:numId="9">
    <w:abstractNumId w:val="28"/>
  </w:num>
  <w:num w:numId="10">
    <w:abstractNumId w:val="82"/>
  </w:num>
  <w:num w:numId="11">
    <w:abstractNumId w:val="26"/>
  </w:num>
  <w:num w:numId="12">
    <w:abstractNumId w:val="52"/>
  </w:num>
  <w:num w:numId="13">
    <w:abstractNumId w:val="70"/>
  </w:num>
  <w:num w:numId="14">
    <w:abstractNumId w:val="71"/>
  </w:num>
  <w:num w:numId="15">
    <w:abstractNumId w:val="34"/>
  </w:num>
  <w:num w:numId="16">
    <w:abstractNumId w:val="66"/>
  </w:num>
  <w:num w:numId="17">
    <w:abstractNumId w:val="96"/>
  </w:num>
  <w:num w:numId="18">
    <w:abstractNumId w:val="9"/>
  </w:num>
  <w:num w:numId="19">
    <w:abstractNumId w:val="7"/>
  </w:num>
  <w:num w:numId="20">
    <w:abstractNumId w:val="6"/>
  </w:num>
  <w:num w:numId="21">
    <w:abstractNumId w:val="5"/>
  </w:num>
  <w:num w:numId="22">
    <w:abstractNumId w:val="28"/>
  </w:num>
  <w:num w:numId="23">
    <w:abstractNumId w:val="8"/>
  </w:num>
  <w:num w:numId="24">
    <w:abstractNumId w:val="3"/>
  </w:num>
  <w:num w:numId="25">
    <w:abstractNumId w:val="2"/>
  </w:num>
  <w:num w:numId="26">
    <w:abstractNumId w:val="1"/>
  </w:num>
  <w:num w:numId="27">
    <w:abstractNumId w:val="74"/>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6"/>
  </w:num>
  <w:num w:numId="30">
    <w:abstractNumId w:val="45"/>
  </w:num>
  <w:num w:numId="31">
    <w:abstractNumId w:val="39"/>
  </w:num>
  <w:num w:numId="32">
    <w:abstractNumId w:val="19"/>
  </w:num>
  <w:num w:numId="33">
    <w:abstractNumId w:val="65"/>
  </w:num>
  <w:num w:numId="34">
    <w:abstractNumId w:val="80"/>
  </w:num>
  <w:num w:numId="35">
    <w:abstractNumId w:val="31"/>
  </w:num>
  <w:num w:numId="36">
    <w:abstractNumId w:val="44"/>
  </w:num>
  <w:num w:numId="37">
    <w:abstractNumId w:val="43"/>
  </w:num>
  <w:num w:numId="38">
    <w:abstractNumId w:val="29"/>
  </w:num>
  <w:num w:numId="39">
    <w:abstractNumId w:val="83"/>
  </w:num>
  <w:num w:numId="40">
    <w:abstractNumId w:val="27"/>
  </w:num>
  <w:num w:numId="41">
    <w:abstractNumId w:val="63"/>
  </w:num>
  <w:num w:numId="42">
    <w:abstractNumId w:val="62"/>
  </w:num>
  <w:num w:numId="43">
    <w:abstractNumId w:val="88"/>
  </w:num>
  <w:num w:numId="44">
    <w:abstractNumId w:val="57"/>
  </w:num>
  <w:num w:numId="45">
    <w:abstractNumId w:val="95"/>
  </w:num>
  <w:num w:numId="46">
    <w:abstractNumId w:val="75"/>
  </w:num>
  <w:num w:numId="47">
    <w:abstractNumId w:val="68"/>
  </w:num>
  <w:num w:numId="48">
    <w:abstractNumId w:val="89"/>
  </w:num>
  <w:num w:numId="49">
    <w:abstractNumId w:val="81"/>
  </w:num>
  <w:num w:numId="50">
    <w:abstractNumId w:val="42"/>
  </w:num>
  <w:num w:numId="51">
    <w:abstractNumId w:val="78"/>
  </w:num>
  <w:num w:numId="52">
    <w:abstractNumId w:val="78"/>
  </w:num>
  <w:num w:numId="53">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9"/>
    <w:lvlOverride w:ilvl="0">
      <w:startOverride w:val="1"/>
    </w:lvlOverride>
    <w:lvlOverride w:ilvl="1">
      <w:startOverride w:val="1"/>
    </w:lvlOverride>
    <w:lvlOverride w:ilvl="2"/>
    <w:lvlOverride w:ilvl="3"/>
    <w:lvlOverride w:ilvl="4"/>
    <w:lvlOverride w:ilvl="5"/>
    <w:lvlOverride w:ilvl="6"/>
    <w:lvlOverride w:ilvl="7"/>
    <w:lvlOverride w:ilvl="8"/>
  </w:num>
  <w:num w:numId="56">
    <w:abstractNumId w:val="64"/>
  </w:num>
  <w:num w:numId="57">
    <w:abstractNumId w:val="98"/>
  </w:num>
  <w:num w:numId="58">
    <w:abstractNumId w:val="54"/>
  </w:num>
  <w:num w:numId="59">
    <w:abstractNumId w:val="73"/>
  </w:num>
  <w:num w:numId="60">
    <w:abstractNumId w:val="33"/>
  </w:num>
  <w:num w:numId="61">
    <w:abstractNumId w:val="59"/>
  </w:num>
  <w:num w:numId="62">
    <w:abstractNumId w:val="90"/>
  </w:num>
  <w:num w:numId="63">
    <w:abstractNumId w:val="91"/>
  </w:num>
  <w:num w:numId="64">
    <w:abstractNumId w:val="25"/>
  </w:num>
  <w:num w:numId="65">
    <w:abstractNumId w:val="58"/>
  </w:num>
  <w:num w:numId="66">
    <w:abstractNumId w:val="94"/>
  </w:num>
  <w:num w:numId="67">
    <w:abstractNumId w:val="82"/>
  </w:num>
  <w:num w:numId="68">
    <w:abstractNumId w:val="55"/>
  </w:num>
  <w:num w:numId="69">
    <w:abstractNumId w:val="82"/>
  </w:num>
  <w:num w:numId="70">
    <w:abstractNumId w:val="28"/>
  </w:num>
  <w:num w:numId="71">
    <w:abstractNumId w:val="21"/>
  </w:num>
  <w:num w:numId="72">
    <w:abstractNumId w:val="22"/>
  </w:num>
  <w:num w:numId="73">
    <w:abstractNumId w:val="32"/>
  </w:num>
  <w:num w:numId="74">
    <w:abstractNumId w:val="99"/>
  </w:num>
  <w:num w:numId="75">
    <w:abstractNumId w:val="12"/>
  </w:num>
  <w:num w:numId="76">
    <w:abstractNumId w:val="30"/>
  </w:num>
  <w:num w:numId="77">
    <w:abstractNumId w:val="17"/>
  </w:num>
  <w:num w:numId="78">
    <w:abstractNumId w:val="60"/>
  </w:num>
  <w:num w:numId="79">
    <w:abstractNumId w:val="67"/>
  </w:num>
  <w:num w:numId="80">
    <w:abstractNumId w:val="40"/>
  </w:num>
  <w:num w:numId="81">
    <w:abstractNumId w:val="46"/>
  </w:num>
  <w:num w:numId="82">
    <w:abstractNumId w:val="77"/>
  </w:num>
  <w:num w:numId="83">
    <w:abstractNumId w:val="48"/>
  </w:num>
  <w:num w:numId="84">
    <w:abstractNumId w:val="92"/>
  </w:num>
  <w:num w:numId="85">
    <w:abstractNumId w:val="56"/>
  </w:num>
  <w:num w:numId="86">
    <w:abstractNumId w:val="41"/>
  </w:num>
  <w:num w:numId="87">
    <w:abstractNumId w:val="10"/>
  </w:num>
  <w:num w:numId="88">
    <w:abstractNumId w:val="28"/>
  </w:num>
  <w:num w:numId="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
  </w:num>
  <w:num w:numId="91">
    <w:abstractNumId w:val="0"/>
  </w:num>
  <w:num w:numId="92">
    <w:abstractNumId w:val="28"/>
  </w:num>
  <w:num w:numId="93">
    <w:abstractNumId w:val="28"/>
  </w:num>
  <w:num w:numId="94">
    <w:abstractNumId w:val="28"/>
  </w:num>
  <w:num w:numId="95">
    <w:abstractNumId w:val="28"/>
  </w:num>
  <w:num w:numId="96">
    <w:abstractNumId w:val="28"/>
  </w:num>
  <w:num w:numId="97">
    <w:abstractNumId w:val="28"/>
  </w:num>
  <w:num w:numId="98">
    <w:abstractNumId w:val="28"/>
  </w:num>
  <w:num w:numId="99">
    <w:abstractNumId w:val="28"/>
  </w:num>
  <w:num w:numId="100">
    <w:abstractNumId w:val="28"/>
  </w:num>
  <w:num w:numId="101">
    <w:abstractNumId w:val="28"/>
  </w:num>
  <w:num w:numId="102">
    <w:abstractNumId w:val="28"/>
  </w:num>
  <w:num w:numId="103">
    <w:abstractNumId w:val="28"/>
  </w:num>
  <w:num w:numId="104">
    <w:abstractNumId w:val="28"/>
  </w:num>
  <w:num w:numId="105">
    <w:abstractNumId w:val="37"/>
  </w:num>
  <w:num w:numId="106">
    <w:abstractNumId w:val="36"/>
  </w:num>
  <w:num w:numId="107">
    <w:abstractNumId w:val="76"/>
  </w:num>
  <w:num w:numId="108">
    <w:abstractNumId w:val="69"/>
  </w:num>
  <w:num w:numId="109">
    <w:abstractNumId w:val="47"/>
  </w:num>
  <w:num w:numId="110">
    <w:abstractNumId w:val="11"/>
  </w:num>
  <w:num w:numId="111">
    <w:abstractNumId w:val="53"/>
  </w:num>
  <w:num w:numId="112">
    <w:abstractNumId w:val="85"/>
  </w:num>
  <w:num w:numId="113">
    <w:abstractNumId w:val="93"/>
  </w:num>
  <w:num w:numId="114">
    <w:abstractNumId w:val="84"/>
  </w:num>
  <w:num w:numId="115">
    <w:abstractNumId w:val="20"/>
  </w:num>
  <w:num w:numId="116">
    <w:abstractNumId w:val="18"/>
  </w:num>
  <w:num w:numId="117">
    <w:abstractNumId w:val="13"/>
  </w:num>
  <w:num w:numId="118">
    <w:abstractNumId w:val="38"/>
  </w:num>
  <w:num w:numId="119">
    <w:abstractNumId w:val="23"/>
  </w:num>
  <w:num w:numId="120">
    <w:abstractNumId w:val="15"/>
  </w:num>
  <w:num w:numId="121">
    <w:abstractNumId w:val="24"/>
  </w:num>
  <w:num w:numId="122">
    <w:abstractNumId w:val="97"/>
  </w:num>
  <w:num w:numId="123">
    <w:abstractNumId w:val="14"/>
  </w:num>
  <w:num w:numId="124">
    <w:abstractNumId w:val="79"/>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overPageOnWordDoc" w:val="false"/>
    <w:docVar w:name="DocStatus" w:val="Green"/>
    <w:docVar w:name="DocuWriteMetaData" w:val="&lt;metadataset docuwriteversion=&quot;4.8.5&quot; technicalblockguid=&quot;526600607900457604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0-27&lt;/text&gt;_x000d__x000a_  &lt;/metadata&gt;_x000d__x000a_  &lt;metadata key=&quot;md_Prefix&quot;&gt;_x000d__x000a_    &lt;text&gt;&lt;/text&gt;_x000d__x000a_  &lt;/metadata&gt;_x000d__x000a_  &lt;metadata key=&quot;md_DocumentNumber&quot;&gt;_x000d__x000a_    &lt;text&gt;14637&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087&lt;/text&gt;_x000d__x000a_      &lt;text&gt;FIN 1092&lt;/text&gt;_x000d__x000a_      &lt;text&gt;UEM 338&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387(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20 July 2021 on the approval of the assessment of the recovery and resilience plan for Lithuania&quot;&gt;&amp;lt;FlowDocument FontFamily=&quot;Segoe UI&quot; FontSize=&quot;12&quot; LineHeight=&quot;6&quot; PageWidth=&quot;329&quot; PagePadding=&quot;2,2,2,2&quot; AllowDrop=&quot;False&quot; xmlns=&quot;http://schemas.microsoft.com/winfx/2006/xaml/presentation&quot;&amp;gt;&amp;lt;Paragraph&amp;gt;ANNEX to the COUNCIL IMPLEMENTING DECISION amending Implementing Decision of 20 July 2021 on the approval of the assessment of the recovery and resilience plan for Lithuania&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b}amending Implementing Decision (EU) (ST 10477/21 INIT; ST 10477/21 ADD 1) of 20 July 2021 on the approval of the assessment of the recovery and resilience plan for Lithuania{/b}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ocuWriteMetaDataSource1" w:val="&lt;metadataset docuwriteversion=&quot;4.8.5&quot; technicalblockguid=&quot;549215267191923567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0-24&lt;/text&gt;_x000d__x000a_  &lt;/metadata&gt;_x000d__x000a_  &lt;metadata key=&quot;md_Prefix&quot;&gt;_x000d__x000a_    &lt;text&gt;&lt;/text&gt;_x000d__x000a_  &lt;/metadata&gt;_x000d__x000a_  &lt;metadata key=&quot;md_DocumentNumber&quot;&gt;_x000d__x000a_    &lt;text&gt;14635&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086&lt;/text&gt;_x000d__x000a_      &lt;text&gt;FIN 1091&lt;/text&gt;_x000d__x000a_      &lt;text&gt;UEM 337&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387(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3-10-24&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685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10477/21 INIT; ST 10477/21 ADD 1) of 20 July 2021 on the approval of the assessment of the recovery and resilience plan for Lithuania&quot;&gt;&amp;lt;FlowDocument FontFamily=&quot;Segoe UI&quot; FontSize=&quot;12&quot; LineHeight=&quot;6&quot; PageWidth=&quot;329&quot; PagePadding=&quot;2,2,2,2&quot; AllowDrop=&quot;False&quot; xmlns=&quot;http://schemas.microsoft.com/winfx/2006/xaml/presentation&quot;&amp;gt;&amp;lt;Paragraph&amp;gt;ANNEX to the Proposal for a COUNCIL IMPLEMENTING DECISION amending Implementing Decision (EU) (ST 10477/21 INIT; ST 10477/21 ADD 1) of 20 July 2021 on the approval of the assessment of the recovery and resilience plan for Lithuania&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b}amending Implementing Decision (EU) (ST 10477/21 INIT; ST 10477/21 ADD 1) of 20 July 2021 on the approval of the assessment of the recovery and resilience plan for Lithuania{/b}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de la "/>
    <w:docVar w:name="LW_ANNEX_NBR_FIRST" w:val="1"/>
    <w:docVar w:name="LW_ANNEX_NBR_LAST" w:val="1"/>
    <w:docVar w:name="LW_ANNEX_UNIQUE" w:val="1"/>
    <w:docVar w:name="LW_CORRIGENDUM" w:val="&lt;UNUSED&gt;"/>
    <w:docVar w:name="LW_COVERPAGE_EXISTS" w:val="True"/>
    <w:docVar w:name="LW_COVERPAGE_GUID" w:val="7647A406-6A2D-448F-A143-1169B79A23D6"/>
    <w:docVar w:name="LW_COVERPAGE_TYPE" w:val="1"/>
    <w:docVar w:name="LW_CROSSREFERENCE" w:val="{SWD(2026) 21 final}"/>
    <w:docVar w:name="LW_DocType" w:val="NORMAL"/>
    <w:docVar w:name="LW_EMISSION" w:val="23.1.2026"/>
    <w:docVar w:name="LW_EMISSION_ISODATE" w:val="2026-01-23"/>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modifiant la décision d'exécution du 28 juillet 2021 relative à l'approbation de l'évaluation du plan pour la reprise et la résilience pour la Lituanie&lt;/FMT&gt;_x000d__x000d__x000d__x000d__x000d__x000d__x000d__x000d__x000b_"/>
    <w:docVar w:name="LW_PART_NBR" w:val="1"/>
    <w:docVar w:name="LW_PART_NBR_TOTAL" w:val="1"/>
    <w:docVar w:name="LW_REF.INST.NEW" w:val="COM"/>
    <w:docVar w:name="LW_REF.INST.NEW_ADOPTED" w:val="final"/>
    <w:docVar w:name="LW_REF.INST.NEW_TEXT" w:val="(2026) 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2502B1"/>
    <w:rsid w:val="0000012C"/>
    <w:rsid w:val="00000236"/>
    <w:rsid w:val="0000029B"/>
    <w:rsid w:val="000004DE"/>
    <w:rsid w:val="000005A2"/>
    <w:rsid w:val="00000671"/>
    <w:rsid w:val="0000068C"/>
    <w:rsid w:val="000006DA"/>
    <w:rsid w:val="000006E9"/>
    <w:rsid w:val="0000088D"/>
    <w:rsid w:val="0000094E"/>
    <w:rsid w:val="00000A1C"/>
    <w:rsid w:val="00000A9C"/>
    <w:rsid w:val="00000B6C"/>
    <w:rsid w:val="00000BB0"/>
    <w:rsid w:val="00000BE1"/>
    <w:rsid w:val="00000CB9"/>
    <w:rsid w:val="00000E19"/>
    <w:rsid w:val="00000F74"/>
    <w:rsid w:val="00000F92"/>
    <w:rsid w:val="00000FC2"/>
    <w:rsid w:val="00001388"/>
    <w:rsid w:val="000013EE"/>
    <w:rsid w:val="000014B5"/>
    <w:rsid w:val="00001694"/>
    <w:rsid w:val="000016D2"/>
    <w:rsid w:val="0000176F"/>
    <w:rsid w:val="0000178A"/>
    <w:rsid w:val="0000179F"/>
    <w:rsid w:val="000018D1"/>
    <w:rsid w:val="000019DD"/>
    <w:rsid w:val="000019FF"/>
    <w:rsid w:val="00001B6D"/>
    <w:rsid w:val="00001BD8"/>
    <w:rsid w:val="00001C91"/>
    <w:rsid w:val="00001CF3"/>
    <w:rsid w:val="00001D10"/>
    <w:rsid w:val="00001DCA"/>
    <w:rsid w:val="00001DEF"/>
    <w:rsid w:val="00001E63"/>
    <w:rsid w:val="00002020"/>
    <w:rsid w:val="00002066"/>
    <w:rsid w:val="00002119"/>
    <w:rsid w:val="00002280"/>
    <w:rsid w:val="000023BD"/>
    <w:rsid w:val="00002436"/>
    <w:rsid w:val="000024E0"/>
    <w:rsid w:val="00002618"/>
    <w:rsid w:val="00002646"/>
    <w:rsid w:val="00002686"/>
    <w:rsid w:val="000026A4"/>
    <w:rsid w:val="000026BC"/>
    <w:rsid w:val="00002751"/>
    <w:rsid w:val="000028FC"/>
    <w:rsid w:val="00002978"/>
    <w:rsid w:val="00002986"/>
    <w:rsid w:val="00002A9B"/>
    <w:rsid w:val="00002BAB"/>
    <w:rsid w:val="00002BD6"/>
    <w:rsid w:val="00002BF0"/>
    <w:rsid w:val="00002CB8"/>
    <w:rsid w:val="00002CC1"/>
    <w:rsid w:val="00002CD5"/>
    <w:rsid w:val="00002E05"/>
    <w:rsid w:val="00002EF6"/>
    <w:rsid w:val="00002F62"/>
    <w:rsid w:val="00003040"/>
    <w:rsid w:val="0000309B"/>
    <w:rsid w:val="000030AD"/>
    <w:rsid w:val="00003107"/>
    <w:rsid w:val="00003241"/>
    <w:rsid w:val="000033DA"/>
    <w:rsid w:val="00003439"/>
    <w:rsid w:val="00003458"/>
    <w:rsid w:val="0000352B"/>
    <w:rsid w:val="0000395B"/>
    <w:rsid w:val="00003A01"/>
    <w:rsid w:val="00003A07"/>
    <w:rsid w:val="00003B35"/>
    <w:rsid w:val="00003C0F"/>
    <w:rsid w:val="00003CEC"/>
    <w:rsid w:val="00003D6A"/>
    <w:rsid w:val="00003D71"/>
    <w:rsid w:val="00003D76"/>
    <w:rsid w:val="00003ECC"/>
    <w:rsid w:val="00003FEE"/>
    <w:rsid w:val="00004097"/>
    <w:rsid w:val="000040E6"/>
    <w:rsid w:val="0000414E"/>
    <w:rsid w:val="00004173"/>
    <w:rsid w:val="0000418D"/>
    <w:rsid w:val="000042F3"/>
    <w:rsid w:val="0000435B"/>
    <w:rsid w:val="00004434"/>
    <w:rsid w:val="00004556"/>
    <w:rsid w:val="00004583"/>
    <w:rsid w:val="000045FF"/>
    <w:rsid w:val="00004707"/>
    <w:rsid w:val="0000470B"/>
    <w:rsid w:val="0000471F"/>
    <w:rsid w:val="00004767"/>
    <w:rsid w:val="0000483E"/>
    <w:rsid w:val="00004B4B"/>
    <w:rsid w:val="00004BE6"/>
    <w:rsid w:val="00004C43"/>
    <w:rsid w:val="000053B4"/>
    <w:rsid w:val="000054C2"/>
    <w:rsid w:val="000054C6"/>
    <w:rsid w:val="0000550B"/>
    <w:rsid w:val="000055F3"/>
    <w:rsid w:val="000055F6"/>
    <w:rsid w:val="000056D1"/>
    <w:rsid w:val="000056E8"/>
    <w:rsid w:val="000057AF"/>
    <w:rsid w:val="000057DC"/>
    <w:rsid w:val="000057E2"/>
    <w:rsid w:val="0000580F"/>
    <w:rsid w:val="000058EE"/>
    <w:rsid w:val="000058FE"/>
    <w:rsid w:val="00005A0B"/>
    <w:rsid w:val="00005AEA"/>
    <w:rsid w:val="00005B13"/>
    <w:rsid w:val="00005D0A"/>
    <w:rsid w:val="00005F1E"/>
    <w:rsid w:val="000061B0"/>
    <w:rsid w:val="000062C3"/>
    <w:rsid w:val="00006322"/>
    <w:rsid w:val="000063BC"/>
    <w:rsid w:val="0000641B"/>
    <w:rsid w:val="000065BD"/>
    <w:rsid w:val="000067CE"/>
    <w:rsid w:val="000067F4"/>
    <w:rsid w:val="0000690D"/>
    <w:rsid w:val="00006A0C"/>
    <w:rsid w:val="00006A61"/>
    <w:rsid w:val="00006B4B"/>
    <w:rsid w:val="00006BE6"/>
    <w:rsid w:val="00006BEA"/>
    <w:rsid w:val="00006D87"/>
    <w:rsid w:val="00006E5A"/>
    <w:rsid w:val="00006E79"/>
    <w:rsid w:val="00006EE1"/>
    <w:rsid w:val="00006F6F"/>
    <w:rsid w:val="00006FDC"/>
    <w:rsid w:val="00007006"/>
    <w:rsid w:val="000070C9"/>
    <w:rsid w:val="00007356"/>
    <w:rsid w:val="0000754E"/>
    <w:rsid w:val="000075D0"/>
    <w:rsid w:val="00007607"/>
    <w:rsid w:val="000076D5"/>
    <w:rsid w:val="00007713"/>
    <w:rsid w:val="0000774A"/>
    <w:rsid w:val="00007838"/>
    <w:rsid w:val="00007848"/>
    <w:rsid w:val="0000792C"/>
    <w:rsid w:val="0000799A"/>
    <w:rsid w:val="000079B5"/>
    <w:rsid w:val="00007A54"/>
    <w:rsid w:val="00007B21"/>
    <w:rsid w:val="00007C0B"/>
    <w:rsid w:val="00007C49"/>
    <w:rsid w:val="00007C67"/>
    <w:rsid w:val="00007C99"/>
    <w:rsid w:val="00007CF5"/>
    <w:rsid w:val="00007DA4"/>
    <w:rsid w:val="00007E0C"/>
    <w:rsid w:val="00007E28"/>
    <w:rsid w:val="00007F51"/>
    <w:rsid w:val="00007F7C"/>
    <w:rsid w:val="00007FE6"/>
    <w:rsid w:val="00010019"/>
    <w:rsid w:val="0001003E"/>
    <w:rsid w:val="00010081"/>
    <w:rsid w:val="000100C2"/>
    <w:rsid w:val="00010169"/>
    <w:rsid w:val="00010194"/>
    <w:rsid w:val="000101E3"/>
    <w:rsid w:val="0001028C"/>
    <w:rsid w:val="00010321"/>
    <w:rsid w:val="0001036A"/>
    <w:rsid w:val="0001048E"/>
    <w:rsid w:val="000104F9"/>
    <w:rsid w:val="00010B66"/>
    <w:rsid w:val="00010C0A"/>
    <w:rsid w:val="00010CC3"/>
    <w:rsid w:val="00010CE9"/>
    <w:rsid w:val="00010D68"/>
    <w:rsid w:val="00010E7C"/>
    <w:rsid w:val="00011021"/>
    <w:rsid w:val="00011086"/>
    <w:rsid w:val="000112D0"/>
    <w:rsid w:val="0001134A"/>
    <w:rsid w:val="0001146D"/>
    <w:rsid w:val="00011495"/>
    <w:rsid w:val="0001149A"/>
    <w:rsid w:val="0001151D"/>
    <w:rsid w:val="00011757"/>
    <w:rsid w:val="0001176B"/>
    <w:rsid w:val="00011A20"/>
    <w:rsid w:val="00011A6A"/>
    <w:rsid w:val="00011A6B"/>
    <w:rsid w:val="00011BAA"/>
    <w:rsid w:val="00011BEC"/>
    <w:rsid w:val="00011BF1"/>
    <w:rsid w:val="00011CE4"/>
    <w:rsid w:val="00011F08"/>
    <w:rsid w:val="000120B7"/>
    <w:rsid w:val="00012150"/>
    <w:rsid w:val="00012233"/>
    <w:rsid w:val="00012258"/>
    <w:rsid w:val="0001228D"/>
    <w:rsid w:val="000123D4"/>
    <w:rsid w:val="00012400"/>
    <w:rsid w:val="000125FF"/>
    <w:rsid w:val="000126BE"/>
    <w:rsid w:val="000126D6"/>
    <w:rsid w:val="0001273A"/>
    <w:rsid w:val="00012789"/>
    <w:rsid w:val="0001286F"/>
    <w:rsid w:val="00012903"/>
    <w:rsid w:val="00012948"/>
    <w:rsid w:val="000129D9"/>
    <w:rsid w:val="00012B93"/>
    <w:rsid w:val="00012C8C"/>
    <w:rsid w:val="00012C99"/>
    <w:rsid w:val="00012E21"/>
    <w:rsid w:val="00012EF9"/>
    <w:rsid w:val="00012F6C"/>
    <w:rsid w:val="0001306D"/>
    <w:rsid w:val="00013081"/>
    <w:rsid w:val="00013083"/>
    <w:rsid w:val="00013344"/>
    <w:rsid w:val="00013363"/>
    <w:rsid w:val="00013401"/>
    <w:rsid w:val="00013431"/>
    <w:rsid w:val="0001373C"/>
    <w:rsid w:val="000137BA"/>
    <w:rsid w:val="0001382F"/>
    <w:rsid w:val="000138C2"/>
    <w:rsid w:val="0001395A"/>
    <w:rsid w:val="00013AB9"/>
    <w:rsid w:val="00013C8B"/>
    <w:rsid w:val="00013F04"/>
    <w:rsid w:val="000140AC"/>
    <w:rsid w:val="00014323"/>
    <w:rsid w:val="00014424"/>
    <w:rsid w:val="000144A5"/>
    <w:rsid w:val="000145DE"/>
    <w:rsid w:val="00014619"/>
    <w:rsid w:val="00014623"/>
    <w:rsid w:val="0001469D"/>
    <w:rsid w:val="00014752"/>
    <w:rsid w:val="0001480B"/>
    <w:rsid w:val="00014843"/>
    <w:rsid w:val="0001489C"/>
    <w:rsid w:val="000148FE"/>
    <w:rsid w:val="00014AD8"/>
    <w:rsid w:val="00014B03"/>
    <w:rsid w:val="00014BBF"/>
    <w:rsid w:val="00014CE6"/>
    <w:rsid w:val="00014D11"/>
    <w:rsid w:val="00014D13"/>
    <w:rsid w:val="00014EE1"/>
    <w:rsid w:val="00014FA3"/>
    <w:rsid w:val="00014FB3"/>
    <w:rsid w:val="0001506C"/>
    <w:rsid w:val="000151F7"/>
    <w:rsid w:val="00015337"/>
    <w:rsid w:val="00015418"/>
    <w:rsid w:val="0001541E"/>
    <w:rsid w:val="00015470"/>
    <w:rsid w:val="00015516"/>
    <w:rsid w:val="00015692"/>
    <w:rsid w:val="0001574D"/>
    <w:rsid w:val="00015A6E"/>
    <w:rsid w:val="00015B9B"/>
    <w:rsid w:val="00015D39"/>
    <w:rsid w:val="00015F2B"/>
    <w:rsid w:val="00015F67"/>
    <w:rsid w:val="00015F70"/>
    <w:rsid w:val="00015FE7"/>
    <w:rsid w:val="00016262"/>
    <w:rsid w:val="0001626E"/>
    <w:rsid w:val="0001630D"/>
    <w:rsid w:val="00016316"/>
    <w:rsid w:val="000163CC"/>
    <w:rsid w:val="00016519"/>
    <w:rsid w:val="00016679"/>
    <w:rsid w:val="0001669F"/>
    <w:rsid w:val="000166AA"/>
    <w:rsid w:val="00016744"/>
    <w:rsid w:val="0001681D"/>
    <w:rsid w:val="000168E4"/>
    <w:rsid w:val="0001699B"/>
    <w:rsid w:val="00016A16"/>
    <w:rsid w:val="00016AF4"/>
    <w:rsid w:val="00016AFB"/>
    <w:rsid w:val="00016B1D"/>
    <w:rsid w:val="00016B1E"/>
    <w:rsid w:val="00016BB2"/>
    <w:rsid w:val="00016BE1"/>
    <w:rsid w:val="00016C0F"/>
    <w:rsid w:val="00016C99"/>
    <w:rsid w:val="00016DED"/>
    <w:rsid w:val="00016F84"/>
    <w:rsid w:val="00016FB8"/>
    <w:rsid w:val="00016FBD"/>
    <w:rsid w:val="00017176"/>
    <w:rsid w:val="000171E0"/>
    <w:rsid w:val="00017370"/>
    <w:rsid w:val="000173E1"/>
    <w:rsid w:val="00017424"/>
    <w:rsid w:val="00017468"/>
    <w:rsid w:val="0001747D"/>
    <w:rsid w:val="000175A4"/>
    <w:rsid w:val="000175B0"/>
    <w:rsid w:val="0001784F"/>
    <w:rsid w:val="00017925"/>
    <w:rsid w:val="00017A0F"/>
    <w:rsid w:val="00017B08"/>
    <w:rsid w:val="00017D29"/>
    <w:rsid w:val="00017E44"/>
    <w:rsid w:val="00017EF7"/>
    <w:rsid w:val="00020137"/>
    <w:rsid w:val="000201B8"/>
    <w:rsid w:val="000201BA"/>
    <w:rsid w:val="000203C8"/>
    <w:rsid w:val="000204A4"/>
    <w:rsid w:val="000206E7"/>
    <w:rsid w:val="000206F9"/>
    <w:rsid w:val="000206FF"/>
    <w:rsid w:val="000207A9"/>
    <w:rsid w:val="000209A0"/>
    <w:rsid w:val="000209CF"/>
    <w:rsid w:val="00020C6A"/>
    <w:rsid w:val="00020D69"/>
    <w:rsid w:val="00020E49"/>
    <w:rsid w:val="000212EE"/>
    <w:rsid w:val="000212EF"/>
    <w:rsid w:val="000212FA"/>
    <w:rsid w:val="000212FE"/>
    <w:rsid w:val="00021307"/>
    <w:rsid w:val="000214DE"/>
    <w:rsid w:val="00021615"/>
    <w:rsid w:val="00021725"/>
    <w:rsid w:val="00021850"/>
    <w:rsid w:val="00021A2D"/>
    <w:rsid w:val="00021AA7"/>
    <w:rsid w:val="00021ABE"/>
    <w:rsid w:val="00021AFC"/>
    <w:rsid w:val="00021B18"/>
    <w:rsid w:val="00021C69"/>
    <w:rsid w:val="00021CB1"/>
    <w:rsid w:val="00021DE5"/>
    <w:rsid w:val="00021E49"/>
    <w:rsid w:val="00021ECD"/>
    <w:rsid w:val="000221DC"/>
    <w:rsid w:val="000221F4"/>
    <w:rsid w:val="000221F5"/>
    <w:rsid w:val="000222F8"/>
    <w:rsid w:val="000223FD"/>
    <w:rsid w:val="000224DF"/>
    <w:rsid w:val="000226AC"/>
    <w:rsid w:val="000226CA"/>
    <w:rsid w:val="00022883"/>
    <w:rsid w:val="0002288E"/>
    <w:rsid w:val="0002289E"/>
    <w:rsid w:val="000228C6"/>
    <w:rsid w:val="000228D4"/>
    <w:rsid w:val="00022914"/>
    <w:rsid w:val="00022A0E"/>
    <w:rsid w:val="00022A94"/>
    <w:rsid w:val="00022C00"/>
    <w:rsid w:val="00022DF6"/>
    <w:rsid w:val="00022E26"/>
    <w:rsid w:val="000231CD"/>
    <w:rsid w:val="00023273"/>
    <w:rsid w:val="00023403"/>
    <w:rsid w:val="00023451"/>
    <w:rsid w:val="0002350A"/>
    <w:rsid w:val="000236D5"/>
    <w:rsid w:val="000237C7"/>
    <w:rsid w:val="00023850"/>
    <w:rsid w:val="0002385A"/>
    <w:rsid w:val="0002392E"/>
    <w:rsid w:val="0002394F"/>
    <w:rsid w:val="00023985"/>
    <w:rsid w:val="00023B10"/>
    <w:rsid w:val="00023D93"/>
    <w:rsid w:val="00023F0A"/>
    <w:rsid w:val="000241A5"/>
    <w:rsid w:val="000241DC"/>
    <w:rsid w:val="00024393"/>
    <w:rsid w:val="00024443"/>
    <w:rsid w:val="0002458F"/>
    <w:rsid w:val="000245F0"/>
    <w:rsid w:val="00024654"/>
    <w:rsid w:val="000247B2"/>
    <w:rsid w:val="00024892"/>
    <w:rsid w:val="000248F4"/>
    <w:rsid w:val="0002490B"/>
    <w:rsid w:val="00024949"/>
    <w:rsid w:val="00024987"/>
    <w:rsid w:val="000249D1"/>
    <w:rsid w:val="00024B1C"/>
    <w:rsid w:val="00024B2F"/>
    <w:rsid w:val="00024B54"/>
    <w:rsid w:val="00024C03"/>
    <w:rsid w:val="00024C4B"/>
    <w:rsid w:val="00025023"/>
    <w:rsid w:val="00025089"/>
    <w:rsid w:val="000250C0"/>
    <w:rsid w:val="000250EE"/>
    <w:rsid w:val="000251A8"/>
    <w:rsid w:val="000251B8"/>
    <w:rsid w:val="00025330"/>
    <w:rsid w:val="000253D0"/>
    <w:rsid w:val="0002547F"/>
    <w:rsid w:val="000254B6"/>
    <w:rsid w:val="0002550E"/>
    <w:rsid w:val="00025535"/>
    <w:rsid w:val="00025613"/>
    <w:rsid w:val="00025643"/>
    <w:rsid w:val="000256E0"/>
    <w:rsid w:val="00025704"/>
    <w:rsid w:val="000257C4"/>
    <w:rsid w:val="000257D8"/>
    <w:rsid w:val="00025A30"/>
    <w:rsid w:val="00025AAC"/>
    <w:rsid w:val="00025C21"/>
    <w:rsid w:val="00025CE7"/>
    <w:rsid w:val="00025D83"/>
    <w:rsid w:val="00025F87"/>
    <w:rsid w:val="00025FEF"/>
    <w:rsid w:val="00026160"/>
    <w:rsid w:val="0002616F"/>
    <w:rsid w:val="00026291"/>
    <w:rsid w:val="000262B1"/>
    <w:rsid w:val="000262C3"/>
    <w:rsid w:val="000262FD"/>
    <w:rsid w:val="00026388"/>
    <w:rsid w:val="000263AE"/>
    <w:rsid w:val="000263D4"/>
    <w:rsid w:val="0002655D"/>
    <w:rsid w:val="00026802"/>
    <w:rsid w:val="00026844"/>
    <w:rsid w:val="0002689B"/>
    <w:rsid w:val="00026915"/>
    <w:rsid w:val="000269A8"/>
    <w:rsid w:val="000269E0"/>
    <w:rsid w:val="00026A4C"/>
    <w:rsid w:val="00026B27"/>
    <w:rsid w:val="00026C09"/>
    <w:rsid w:val="00026C28"/>
    <w:rsid w:val="00026C87"/>
    <w:rsid w:val="00026DAD"/>
    <w:rsid w:val="00026E35"/>
    <w:rsid w:val="00026E7E"/>
    <w:rsid w:val="00026F81"/>
    <w:rsid w:val="00026FCA"/>
    <w:rsid w:val="0002708E"/>
    <w:rsid w:val="000270C8"/>
    <w:rsid w:val="00027194"/>
    <w:rsid w:val="0002723D"/>
    <w:rsid w:val="00027386"/>
    <w:rsid w:val="0002742C"/>
    <w:rsid w:val="0002759F"/>
    <w:rsid w:val="00027646"/>
    <w:rsid w:val="000278BC"/>
    <w:rsid w:val="000278C5"/>
    <w:rsid w:val="00027B0E"/>
    <w:rsid w:val="00027B1E"/>
    <w:rsid w:val="00027BEC"/>
    <w:rsid w:val="00027E8D"/>
    <w:rsid w:val="0002FCF1"/>
    <w:rsid w:val="00030204"/>
    <w:rsid w:val="00030215"/>
    <w:rsid w:val="00030279"/>
    <w:rsid w:val="00030375"/>
    <w:rsid w:val="0003047F"/>
    <w:rsid w:val="00030534"/>
    <w:rsid w:val="00030571"/>
    <w:rsid w:val="0003064F"/>
    <w:rsid w:val="000306AB"/>
    <w:rsid w:val="000306BD"/>
    <w:rsid w:val="0003084E"/>
    <w:rsid w:val="00030857"/>
    <w:rsid w:val="00030974"/>
    <w:rsid w:val="00030B7B"/>
    <w:rsid w:val="00030BAD"/>
    <w:rsid w:val="00030C62"/>
    <w:rsid w:val="00030CA1"/>
    <w:rsid w:val="00030D9A"/>
    <w:rsid w:val="00030E8F"/>
    <w:rsid w:val="00030EBE"/>
    <w:rsid w:val="00030F6F"/>
    <w:rsid w:val="00030F96"/>
    <w:rsid w:val="00030FB4"/>
    <w:rsid w:val="00031032"/>
    <w:rsid w:val="0003109E"/>
    <w:rsid w:val="00031170"/>
    <w:rsid w:val="00031240"/>
    <w:rsid w:val="00031385"/>
    <w:rsid w:val="000313CD"/>
    <w:rsid w:val="00031573"/>
    <w:rsid w:val="0003161A"/>
    <w:rsid w:val="0003190F"/>
    <w:rsid w:val="0003197A"/>
    <w:rsid w:val="00031A00"/>
    <w:rsid w:val="00031F54"/>
    <w:rsid w:val="00031FF6"/>
    <w:rsid w:val="00032027"/>
    <w:rsid w:val="000320B7"/>
    <w:rsid w:val="00032198"/>
    <w:rsid w:val="00032216"/>
    <w:rsid w:val="00032331"/>
    <w:rsid w:val="00032486"/>
    <w:rsid w:val="00032578"/>
    <w:rsid w:val="0003257D"/>
    <w:rsid w:val="00032592"/>
    <w:rsid w:val="000325A0"/>
    <w:rsid w:val="000326A0"/>
    <w:rsid w:val="000326E4"/>
    <w:rsid w:val="00032753"/>
    <w:rsid w:val="00032761"/>
    <w:rsid w:val="000327CA"/>
    <w:rsid w:val="000327D4"/>
    <w:rsid w:val="000327F2"/>
    <w:rsid w:val="00032996"/>
    <w:rsid w:val="00032B5D"/>
    <w:rsid w:val="00032B63"/>
    <w:rsid w:val="00032BB5"/>
    <w:rsid w:val="00032D06"/>
    <w:rsid w:val="00032D2C"/>
    <w:rsid w:val="00032DD3"/>
    <w:rsid w:val="00032F20"/>
    <w:rsid w:val="00032FB1"/>
    <w:rsid w:val="000330BB"/>
    <w:rsid w:val="00033140"/>
    <w:rsid w:val="0003321E"/>
    <w:rsid w:val="00033286"/>
    <w:rsid w:val="000333EE"/>
    <w:rsid w:val="00033471"/>
    <w:rsid w:val="0003349F"/>
    <w:rsid w:val="000334C4"/>
    <w:rsid w:val="00033557"/>
    <w:rsid w:val="00033594"/>
    <w:rsid w:val="0003359D"/>
    <w:rsid w:val="00033871"/>
    <w:rsid w:val="00033950"/>
    <w:rsid w:val="00033A63"/>
    <w:rsid w:val="00033A74"/>
    <w:rsid w:val="00033AC8"/>
    <w:rsid w:val="00033B77"/>
    <w:rsid w:val="00033B7C"/>
    <w:rsid w:val="00033CF7"/>
    <w:rsid w:val="00033EE0"/>
    <w:rsid w:val="00034020"/>
    <w:rsid w:val="00034183"/>
    <w:rsid w:val="000341E1"/>
    <w:rsid w:val="00034216"/>
    <w:rsid w:val="000342C0"/>
    <w:rsid w:val="00034322"/>
    <w:rsid w:val="00034353"/>
    <w:rsid w:val="00034442"/>
    <w:rsid w:val="00034491"/>
    <w:rsid w:val="00034515"/>
    <w:rsid w:val="0003462F"/>
    <w:rsid w:val="000346BD"/>
    <w:rsid w:val="000346E5"/>
    <w:rsid w:val="00034700"/>
    <w:rsid w:val="00034774"/>
    <w:rsid w:val="00034871"/>
    <w:rsid w:val="00034872"/>
    <w:rsid w:val="000348FA"/>
    <w:rsid w:val="00034A5F"/>
    <w:rsid w:val="00034BC3"/>
    <w:rsid w:val="00034BC8"/>
    <w:rsid w:val="00034C63"/>
    <w:rsid w:val="00034C83"/>
    <w:rsid w:val="00034CCB"/>
    <w:rsid w:val="00034DCF"/>
    <w:rsid w:val="00034EC3"/>
    <w:rsid w:val="00034F07"/>
    <w:rsid w:val="00034F6F"/>
    <w:rsid w:val="00034FB3"/>
    <w:rsid w:val="0003503D"/>
    <w:rsid w:val="00035074"/>
    <w:rsid w:val="0003507B"/>
    <w:rsid w:val="00035148"/>
    <w:rsid w:val="0003516A"/>
    <w:rsid w:val="00035261"/>
    <w:rsid w:val="00035289"/>
    <w:rsid w:val="000352A4"/>
    <w:rsid w:val="0003530E"/>
    <w:rsid w:val="0003548B"/>
    <w:rsid w:val="000354DD"/>
    <w:rsid w:val="0003550A"/>
    <w:rsid w:val="00035A29"/>
    <w:rsid w:val="00035A46"/>
    <w:rsid w:val="00035C06"/>
    <w:rsid w:val="00035C70"/>
    <w:rsid w:val="00035D6D"/>
    <w:rsid w:val="00035DB6"/>
    <w:rsid w:val="00035E4A"/>
    <w:rsid w:val="00036154"/>
    <w:rsid w:val="00036205"/>
    <w:rsid w:val="00036233"/>
    <w:rsid w:val="00036378"/>
    <w:rsid w:val="00036405"/>
    <w:rsid w:val="0003645A"/>
    <w:rsid w:val="0003647D"/>
    <w:rsid w:val="000364A1"/>
    <w:rsid w:val="000366BF"/>
    <w:rsid w:val="000366CB"/>
    <w:rsid w:val="0003677D"/>
    <w:rsid w:val="000368BE"/>
    <w:rsid w:val="00036A31"/>
    <w:rsid w:val="00036ADE"/>
    <w:rsid w:val="00036C06"/>
    <w:rsid w:val="00036C5F"/>
    <w:rsid w:val="00036CB7"/>
    <w:rsid w:val="00036DD0"/>
    <w:rsid w:val="000372B7"/>
    <w:rsid w:val="00037305"/>
    <w:rsid w:val="00037311"/>
    <w:rsid w:val="000373CB"/>
    <w:rsid w:val="00037444"/>
    <w:rsid w:val="000374B9"/>
    <w:rsid w:val="0003759C"/>
    <w:rsid w:val="00037606"/>
    <w:rsid w:val="0003761A"/>
    <w:rsid w:val="000376CC"/>
    <w:rsid w:val="0003798A"/>
    <w:rsid w:val="00037A6C"/>
    <w:rsid w:val="00037B58"/>
    <w:rsid w:val="00037C3F"/>
    <w:rsid w:val="00037E9B"/>
    <w:rsid w:val="00037EF1"/>
    <w:rsid w:val="00037FC3"/>
    <w:rsid w:val="000400A1"/>
    <w:rsid w:val="0004039E"/>
    <w:rsid w:val="000404B2"/>
    <w:rsid w:val="000406AE"/>
    <w:rsid w:val="000406AF"/>
    <w:rsid w:val="000406E4"/>
    <w:rsid w:val="00040751"/>
    <w:rsid w:val="000407F6"/>
    <w:rsid w:val="0004083A"/>
    <w:rsid w:val="00040903"/>
    <w:rsid w:val="00040A2A"/>
    <w:rsid w:val="00040C9F"/>
    <w:rsid w:val="00040FCE"/>
    <w:rsid w:val="000410AC"/>
    <w:rsid w:val="00041165"/>
    <w:rsid w:val="00041386"/>
    <w:rsid w:val="000413F7"/>
    <w:rsid w:val="00041441"/>
    <w:rsid w:val="00041444"/>
    <w:rsid w:val="00041526"/>
    <w:rsid w:val="000416F8"/>
    <w:rsid w:val="0004181F"/>
    <w:rsid w:val="0004186D"/>
    <w:rsid w:val="000418A3"/>
    <w:rsid w:val="0004197F"/>
    <w:rsid w:val="000419D1"/>
    <w:rsid w:val="00041A4F"/>
    <w:rsid w:val="00041BF4"/>
    <w:rsid w:val="00041C26"/>
    <w:rsid w:val="00041C2B"/>
    <w:rsid w:val="00041C59"/>
    <w:rsid w:val="00041E49"/>
    <w:rsid w:val="00041EB3"/>
    <w:rsid w:val="000421DF"/>
    <w:rsid w:val="000422F7"/>
    <w:rsid w:val="0004249C"/>
    <w:rsid w:val="0004257E"/>
    <w:rsid w:val="000426DC"/>
    <w:rsid w:val="000427DC"/>
    <w:rsid w:val="000427F8"/>
    <w:rsid w:val="0004285E"/>
    <w:rsid w:val="0004289A"/>
    <w:rsid w:val="000428AD"/>
    <w:rsid w:val="00042907"/>
    <w:rsid w:val="0004296C"/>
    <w:rsid w:val="000429CE"/>
    <w:rsid w:val="00042B0E"/>
    <w:rsid w:val="00042C1D"/>
    <w:rsid w:val="00042D5D"/>
    <w:rsid w:val="00042EBF"/>
    <w:rsid w:val="00042EDC"/>
    <w:rsid w:val="0004302B"/>
    <w:rsid w:val="00043052"/>
    <w:rsid w:val="00043133"/>
    <w:rsid w:val="000433BB"/>
    <w:rsid w:val="000434D4"/>
    <w:rsid w:val="000434F4"/>
    <w:rsid w:val="00043568"/>
    <w:rsid w:val="0004360C"/>
    <w:rsid w:val="000436E9"/>
    <w:rsid w:val="000437CF"/>
    <w:rsid w:val="00043800"/>
    <w:rsid w:val="0004381E"/>
    <w:rsid w:val="0004389E"/>
    <w:rsid w:val="000438DD"/>
    <w:rsid w:val="00043997"/>
    <w:rsid w:val="00043A0C"/>
    <w:rsid w:val="00043A2F"/>
    <w:rsid w:val="00043CA9"/>
    <w:rsid w:val="00043D28"/>
    <w:rsid w:val="00043E7C"/>
    <w:rsid w:val="00043E82"/>
    <w:rsid w:val="00043EAB"/>
    <w:rsid w:val="00044061"/>
    <w:rsid w:val="000440B1"/>
    <w:rsid w:val="000441BB"/>
    <w:rsid w:val="000441BC"/>
    <w:rsid w:val="00044207"/>
    <w:rsid w:val="0004426E"/>
    <w:rsid w:val="000442A1"/>
    <w:rsid w:val="000443D9"/>
    <w:rsid w:val="000444CB"/>
    <w:rsid w:val="00044587"/>
    <w:rsid w:val="000445D7"/>
    <w:rsid w:val="0004462D"/>
    <w:rsid w:val="00044683"/>
    <w:rsid w:val="000446D3"/>
    <w:rsid w:val="00044782"/>
    <w:rsid w:val="00044791"/>
    <w:rsid w:val="000448A3"/>
    <w:rsid w:val="000448AE"/>
    <w:rsid w:val="00044924"/>
    <w:rsid w:val="000449A3"/>
    <w:rsid w:val="00044B04"/>
    <w:rsid w:val="00044B1B"/>
    <w:rsid w:val="00044BAB"/>
    <w:rsid w:val="00044CE9"/>
    <w:rsid w:val="00045151"/>
    <w:rsid w:val="00045209"/>
    <w:rsid w:val="0004535C"/>
    <w:rsid w:val="00045373"/>
    <w:rsid w:val="00045396"/>
    <w:rsid w:val="000456B3"/>
    <w:rsid w:val="00045878"/>
    <w:rsid w:val="000458BF"/>
    <w:rsid w:val="00045A82"/>
    <w:rsid w:val="00045A91"/>
    <w:rsid w:val="00045B66"/>
    <w:rsid w:val="00045B69"/>
    <w:rsid w:val="00045C67"/>
    <w:rsid w:val="00045CB0"/>
    <w:rsid w:val="00045CE4"/>
    <w:rsid w:val="00045D32"/>
    <w:rsid w:val="00045D40"/>
    <w:rsid w:val="00045DA0"/>
    <w:rsid w:val="00045E46"/>
    <w:rsid w:val="00045E76"/>
    <w:rsid w:val="00045EFE"/>
    <w:rsid w:val="00045F01"/>
    <w:rsid w:val="00045F5D"/>
    <w:rsid w:val="00045FF4"/>
    <w:rsid w:val="00046053"/>
    <w:rsid w:val="00046062"/>
    <w:rsid w:val="00046092"/>
    <w:rsid w:val="00046093"/>
    <w:rsid w:val="000461AB"/>
    <w:rsid w:val="00046352"/>
    <w:rsid w:val="000463B6"/>
    <w:rsid w:val="00046439"/>
    <w:rsid w:val="00046583"/>
    <w:rsid w:val="000465DB"/>
    <w:rsid w:val="000465EE"/>
    <w:rsid w:val="00046601"/>
    <w:rsid w:val="00046619"/>
    <w:rsid w:val="0004669E"/>
    <w:rsid w:val="000466CB"/>
    <w:rsid w:val="0004673B"/>
    <w:rsid w:val="000467C8"/>
    <w:rsid w:val="000467DB"/>
    <w:rsid w:val="0004690A"/>
    <w:rsid w:val="00046911"/>
    <w:rsid w:val="00046A52"/>
    <w:rsid w:val="00046A55"/>
    <w:rsid w:val="00046B69"/>
    <w:rsid w:val="00046BB6"/>
    <w:rsid w:val="00046BD3"/>
    <w:rsid w:val="00046C5C"/>
    <w:rsid w:val="00046CE6"/>
    <w:rsid w:val="00046D9D"/>
    <w:rsid w:val="00046E30"/>
    <w:rsid w:val="00046EE7"/>
    <w:rsid w:val="00046FED"/>
    <w:rsid w:val="000470D0"/>
    <w:rsid w:val="00047126"/>
    <w:rsid w:val="0004716F"/>
    <w:rsid w:val="00047181"/>
    <w:rsid w:val="0004718F"/>
    <w:rsid w:val="00047235"/>
    <w:rsid w:val="000472D3"/>
    <w:rsid w:val="00047375"/>
    <w:rsid w:val="00047438"/>
    <w:rsid w:val="0004750D"/>
    <w:rsid w:val="000475A2"/>
    <w:rsid w:val="00047618"/>
    <w:rsid w:val="0004766E"/>
    <w:rsid w:val="0004784D"/>
    <w:rsid w:val="00047902"/>
    <w:rsid w:val="00047979"/>
    <w:rsid w:val="00047B26"/>
    <w:rsid w:val="00047B39"/>
    <w:rsid w:val="00047BFA"/>
    <w:rsid w:val="00047CD5"/>
    <w:rsid w:val="00047D69"/>
    <w:rsid w:val="00047D95"/>
    <w:rsid w:val="00047ED7"/>
    <w:rsid w:val="00050087"/>
    <w:rsid w:val="00050188"/>
    <w:rsid w:val="00050255"/>
    <w:rsid w:val="00050334"/>
    <w:rsid w:val="00050486"/>
    <w:rsid w:val="0005061D"/>
    <w:rsid w:val="00050628"/>
    <w:rsid w:val="000508A7"/>
    <w:rsid w:val="00050B27"/>
    <w:rsid w:val="00050B92"/>
    <w:rsid w:val="00050BB7"/>
    <w:rsid w:val="00050CED"/>
    <w:rsid w:val="00050D8A"/>
    <w:rsid w:val="00050DDE"/>
    <w:rsid w:val="00050DEC"/>
    <w:rsid w:val="00050E42"/>
    <w:rsid w:val="00050F12"/>
    <w:rsid w:val="000510D0"/>
    <w:rsid w:val="000510E8"/>
    <w:rsid w:val="000511F7"/>
    <w:rsid w:val="00051209"/>
    <w:rsid w:val="0005159E"/>
    <w:rsid w:val="00051669"/>
    <w:rsid w:val="000516AE"/>
    <w:rsid w:val="00051755"/>
    <w:rsid w:val="0005196B"/>
    <w:rsid w:val="00051970"/>
    <w:rsid w:val="000519E2"/>
    <w:rsid w:val="00051A7D"/>
    <w:rsid w:val="00051B4D"/>
    <w:rsid w:val="00051BF1"/>
    <w:rsid w:val="00051DD2"/>
    <w:rsid w:val="000520FA"/>
    <w:rsid w:val="00052153"/>
    <w:rsid w:val="000523E5"/>
    <w:rsid w:val="000524A6"/>
    <w:rsid w:val="00052546"/>
    <w:rsid w:val="0005257B"/>
    <w:rsid w:val="000525B1"/>
    <w:rsid w:val="0005260D"/>
    <w:rsid w:val="0005267F"/>
    <w:rsid w:val="000526BE"/>
    <w:rsid w:val="000526FC"/>
    <w:rsid w:val="00052791"/>
    <w:rsid w:val="000527BF"/>
    <w:rsid w:val="000528FB"/>
    <w:rsid w:val="000529A2"/>
    <w:rsid w:val="000529A9"/>
    <w:rsid w:val="00052CD7"/>
    <w:rsid w:val="00052D21"/>
    <w:rsid w:val="00052E9D"/>
    <w:rsid w:val="00052F46"/>
    <w:rsid w:val="00052F83"/>
    <w:rsid w:val="00052F86"/>
    <w:rsid w:val="00052FCA"/>
    <w:rsid w:val="00053087"/>
    <w:rsid w:val="00053089"/>
    <w:rsid w:val="0005308B"/>
    <w:rsid w:val="00053097"/>
    <w:rsid w:val="00053144"/>
    <w:rsid w:val="00053237"/>
    <w:rsid w:val="000532E2"/>
    <w:rsid w:val="0005335C"/>
    <w:rsid w:val="000533E0"/>
    <w:rsid w:val="00053514"/>
    <w:rsid w:val="00053517"/>
    <w:rsid w:val="000535C0"/>
    <w:rsid w:val="00053770"/>
    <w:rsid w:val="000537C0"/>
    <w:rsid w:val="00053806"/>
    <w:rsid w:val="0005385D"/>
    <w:rsid w:val="0005387F"/>
    <w:rsid w:val="00053938"/>
    <w:rsid w:val="00053AA0"/>
    <w:rsid w:val="00053AC2"/>
    <w:rsid w:val="00053BAA"/>
    <w:rsid w:val="00053C29"/>
    <w:rsid w:val="00053C3C"/>
    <w:rsid w:val="00053CB0"/>
    <w:rsid w:val="00053E87"/>
    <w:rsid w:val="00053EA2"/>
    <w:rsid w:val="000542B0"/>
    <w:rsid w:val="00054364"/>
    <w:rsid w:val="00054381"/>
    <w:rsid w:val="000543B9"/>
    <w:rsid w:val="000543CC"/>
    <w:rsid w:val="000543ED"/>
    <w:rsid w:val="00054406"/>
    <w:rsid w:val="000544F1"/>
    <w:rsid w:val="000545D5"/>
    <w:rsid w:val="000547D1"/>
    <w:rsid w:val="000547F7"/>
    <w:rsid w:val="0005482B"/>
    <w:rsid w:val="000548EC"/>
    <w:rsid w:val="00054A69"/>
    <w:rsid w:val="00054AE7"/>
    <w:rsid w:val="00054C21"/>
    <w:rsid w:val="00054C38"/>
    <w:rsid w:val="00054C56"/>
    <w:rsid w:val="00054C6A"/>
    <w:rsid w:val="00054C84"/>
    <w:rsid w:val="00054DBF"/>
    <w:rsid w:val="00054DD3"/>
    <w:rsid w:val="00054E0F"/>
    <w:rsid w:val="00054F33"/>
    <w:rsid w:val="00054F3A"/>
    <w:rsid w:val="0005527A"/>
    <w:rsid w:val="000553BA"/>
    <w:rsid w:val="000554A2"/>
    <w:rsid w:val="000554C5"/>
    <w:rsid w:val="000554DD"/>
    <w:rsid w:val="000555B2"/>
    <w:rsid w:val="00055620"/>
    <w:rsid w:val="000556F6"/>
    <w:rsid w:val="0005577F"/>
    <w:rsid w:val="000557B8"/>
    <w:rsid w:val="000557F8"/>
    <w:rsid w:val="00055805"/>
    <w:rsid w:val="0005590B"/>
    <w:rsid w:val="00055933"/>
    <w:rsid w:val="000559A1"/>
    <w:rsid w:val="000559C4"/>
    <w:rsid w:val="00055A1C"/>
    <w:rsid w:val="00055A68"/>
    <w:rsid w:val="00055A9B"/>
    <w:rsid w:val="00055AB7"/>
    <w:rsid w:val="00055C28"/>
    <w:rsid w:val="00055C81"/>
    <w:rsid w:val="00055D0C"/>
    <w:rsid w:val="00055D1D"/>
    <w:rsid w:val="00055E6C"/>
    <w:rsid w:val="00055FD7"/>
    <w:rsid w:val="0005604C"/>
    <w:rsid w:val="00056071"/>
    <w:rsid w:val="000560E9"/>
    <w:rsid w:val="00056103"/>
    <w:rsid w:val="000561CA"/>
    <w:rsid w:val="000561DD"/>
    <w:rsid w:val="000562A5"/>
    <w:rsid w:val="000562E1"/>
    <w:rsid w:val="000562E3"/>
    <w:rsid w:val="000562EC"/>
    <w:rsid w:val="000562FE"/>
    <w:rsid w:val="00056B8F"/>
    <w:rsid w:val="00056C4F"/>
    <w:rsid w:val="00056C6E"/>
    <w:rsid w:val="00056CA2"/>
    <w:rsid w:val="00056D0D"/>
    <w:rsid w:val="00056DCA"/>
    <w:rsid w:val="0005736F"/>
    <w:rsid w:val="00057382"/>
    <w:rsid w:val="0005755F"/>
    <w:rsid w:val="0005759C"/>
    <w:rsid w:val="00057619"/>
    <w:rsid w:val="00057643"/>
    <w:rsid w:val="00057848"/>
    <w:rsid w:val="00057851"/>
    <w:rsid w:val="00057886"/>
    <w:rsid w:val="000578DD"/>
    <w:rsid w:val="00057920"/>
    <w:rsid w:val="0005794B"/>
    <w:rsid w:val="000579A8"/>
    <w:rsid w:val="000579F9"/>
    <w:rsid w:val="000579FD"/>
    <w:rsid w:val="00057B31"/>
    <w:rsid w:val="00057B3C"/>
    <w:rsid w:val="00057BEF"/>
    <w:rsid w:val="00057BFC"/>
    <w:rsid w:val="00057C80"/>
    <w:rsid w:val="00057C86"/>
    <w:rsid w:val="00057CB4"/>
    <w:rsid w:val="00057E56"/>
    <w:rsid w:val="00057FD8"/>
    <w:rsid w:val="0005CA18"/>
    <w:rsid w:val="00060055"/>
    <w:rsid w:val="00060138"/>
    <w:rsid w:val="000601B4"/>
    <w:rsid w:val="000601CA"/>
    <w:rsid w:val="0006022C"/>
    <w:rsid w:val="0006025B"/>
    <w:rsid w:val="0006026A"/>
    <w:rsid w:val="00060287"/>
    <w:rsid w:val="0006030E"/>
    <w:rsid w:val="00060355"/>
    <w:rsid w:val="000603A6"/>
    <w:rsid w:val="00060630"/>
    <w:rsid w:val="00060680"/>
    <w:rsid w:val="00060712"/>
    <w:rsid w:val="00060954"/>
    <w:rsid w:val="000609A5"/>
    <w:rsid w:val="00060ABE"/>
    <w:rsid w:val="00060CEA"/>
    <w:rsid w:val="00060D8E"/>
    <w:rsid w:val="00060DC2"/>
    <w:rsid w:val="00061132"/>
    <w:rsid w:val="0006116D"/>
    <w:rsid w:val="0006117E"/>
    <w:rsid w:val="0006118A"/>
    <w:rsid w:val="000611FA"/>
    <w:rsid w:val="00061324"/>
    <w:rsid w:val="000613E1"/>
    <w:rsid w:val="00061452"/>
    <w:rsid w:val="00061618"/>
    <w:rsid w:val="0006163B"/>
    <w:rsid w:val="0006166F"/>
    <w:rsid w:val="00061694"/>
    <w:rsid w:val="00061744"/>
    <w:rsid w:val="0006186A"/>
    <w:rsid w:val="000619B2"/>
    <w:rsid w:val="000619CB"/>
    <w:rsid w:val="00061B2C"/>
    <w:rsid w:val="00061C17"/>
    <w:rsid w:val="00061C19"/>
    <w:rsid w:val="00061CFD"/>
    <w:rsid w:val="00061DCE"/>
    <w:rsid w:val="00061FAF"/>
    <w:rsid w:val="00061FFD"/>
    <w:rsid w:val="00062058"/>
    <w:rsid w:val="00062073"/>
    <w:rsid w:val="00062096"/>
    <w:rsid w:val="00062105"/>
    <w:rsid w:val="00062120"/>
    <w:rsid w:val="0006220F"/>
    <w:rsid w:val="0006228D"/>
    <w:rsid w:val="000622EF"/>
    <w:rsid w:val="0006233A"/>
    <w:rsid w:val="00062457"/>
    <w:rsid w:val="00062531"/>
    <w:rsid w:val="000625FE"/>
    <w:rsid w:val="0006283E"/>
    <w:rsid w:val="000628AD"/>
    <w:rsid w:val="00062959"/>
    <w:rsid w:val="0006298A"/>
    <w:rsid w:val="00062C2A"/>
    <w:rsid w:val="00062CF5"/>
    <w:rsid w:val="00062D4F"/>
    <w:rsid w:val="00062EBA"/>
    <w:rsid w:val="00062F4F"/>
    <w:rsid w:val="00062F7C"/>
    <w:rsid w:val="00063019"/>
    <w:rsid w:val="000632AE"/>
    <w:rsid w:val="000632D5"/>
    <w:rsid w:val="00063317"/>
    <w:rsid w:val="0006334B"/>
    <w:rsid w:val="000633F1"/>
    <w:rsid w:val="000633F5"/>
    <w:rsid w:val="00063438"/>
    <w:rsid w:val="00063473"/>
    <w:rsid w:val="00063482"/>
    <w:rsid w:val="000634DD"/>
    <w:rsid w:val="000638D8"/>
    <w:rsid w:val="00063A1E"/>
    <w:rsid w:val="00063A2C"/>
    <w:rsid w:val="00063ACC"/>
    <w:rsid w:val="00063AE5"/>
    <w:rsid w:val="00063C1D"/>
    <w:rsid w:val="00063C2C"/>
    <w:rsid w:val="00063D20"/>
    <w:rsid w:val="00063F6B"/>
    <w:rsid w:val="00064038"/>
    <w:rsid w:val="00064089"/>
    <w:rsid w:val="0006424F"/>
    <w:rsid w:val="0006427C"/>
    <w:rsid w:val="0006440C"/>
    <w:rsid w:val="0006441C"/>
    <w:rsid w:val="0006445F"/>
    <w:rsid w:val="00064460"/>
    <w:rsid w:val="00064779"/>
    <w:rsid w:val="00064819"/>
    <w:rsid w:val="0006499B"/>
    <w:rsid w:val="000649AD"/>
    <w:rsid w:val="00064AB2"/>
    <w:rsid w:val="00064AB9"/>
    <w:rsid w:val="00064AE7"/>
    <w:rsid w:val="00064B10"/>
    <w:rsid w:val="00064B30"/>
    <w:rsid w:val="00064B84"/>
    <w:rsid w:val="00064C0F"/>
    <w:rsid w:val="00064E3A"/>
    <w:rsid w:val="00064F6B"/>
    <w:rsid w:val="00065118"/>
    <w:rsid w:val="00065123"/>
    <w:rsid w:val="00065191"/>
    <w:rsid w:val="0006519F"/>
    <w:rsid w:val="0006537E"/>
    <w:rsid w:val="0006546B"/>
    <w:rsid w:val="000654E5"/>
    <w:rsid w:val="000655A1"/>
    <w:rsid w:val="000655EC"/>
    <w:rsid w:val="00065669"/>
    <w:rsid w:val="000656EB"/>
    <w:rsid w:val="0006574D"/>
    <w:rsid w:val="0006583F"/>
    <w:rsid w:val="00065844"/>
    <w:rsid w:val="0006588F"/>
    <w:rsid w:val="000658A4"/>
    <w:rsid w:val="00065ACF"/>
    <w:rsid w:val="00065B41"/>
    <w:rsid w:val="00065D0F"/>
    <w:rsid w:val="00065D1A"/>
    <w:rsid w:val="00065D50"/>
    <w:rsid w:val="00065DDB"/>
    <w:rsid w:val="00065FB5"/>
    <w:rsid w:val="00065FF5"/>
    <w:rsid w:val="00066097"/>
    <w:rsid w:val="0006612C"/>
    <w:rsid w:val="000661C3"/>
    <w:rsid w:val="0006639B"/>
    <w:rsid w:val="000663ED"/>
    <w:rsid w:val="00066459"/>
    <w:rsid w:val="0006657C"/>
    <w:rsid w:val="00066602"/>
    <w:rsid w:val="00066644"/>
    <w:rsid w:val="00066650"/>
    <w:rsid w:val="0006665D"/>
    <w:rsid w:val="000666BE"/>
    <w:rsid w:val="00066705"/>
    <w:rsid w:val="0006696A"/>
    <w:rsid w:val="00066A7D"/>
    <w:rsid w:val="00066ADB"/>
    <w:rsid w:val="00066BED"/>
    <w:rsid w:val="00066D00"/>
    <w:rsid w:val="00066E5D"/>
    <w:rsid w:val="00066E8D"/>
    <w:rsid w:val="00066ED7"/>
    <w:rsid w:val="00066F0D"/>
    <w:rsid w:val="00066FAF"/>
    <w:rsid w:val="00066FBD"/>
    <w:rsid w:val="00067071"/>
    <w:rsid w:val="0006728E"/>
    <w:rsid w:val="0006734B"/>
    <w:rsid w:val="00067374"/>
    <w:rsid w:val="000673F9"/>
    <w:rsid w:val="000675ED"/>
    <w:rsid w:val="000676D7"/>
    <w:rsid w:val="00067723"/>
    <w:rsid w:val="00067795"/>
    <w:rsid w:val="00067818"/>
    <w:rsid w:val="00067856"/>
    <w:rsid w:val="000678FF"/>
    <w:rsid w:val="00067923"/>
    <w:rsid w:val="00067937"/>
    <w:rsid w:val="000679DE"/>
    <w:rsid w:val="000679F1"/>
    <w:rsid w:val="000679FF"/>
    <w:rsid w:val="00067A57"/>
    <w:rsid w:val="00067A81"/>
    <w:rsid w:val="00067ABE"/>
    <w:rsid w:val="00067AFF"/>
    <w:rsid w:val="00067B8F"/>
    <w:rsid w:val="00067B97"/>
    <w:rsid w:val="00067CA4"/>
    <w:rsid w:val="00067D0E"/>
    <w:rsid w:val="00067D6B"/>
    <w:rsid w:val="00070039"/>
    <w:rsid w:val="0007015A"/>
    <w:rsid w:val="00070223"/>
    <w:rsid w:val="000702DA"/>
    <w:rsid w:val="0007036F"/>
    <w:rsid w:val="00070497"/>
    <w:rsid w:val="00070502"/>
    <w:rsid w:val="00070577"/>
    <w:rsid w:val="0007061B"/>
    <w:rsid w:val="000707DF"/>
    <w:rsid w:val="0007090E"/>
    <w:rsid w:val="0007093B"/>
    <w:rsid w:val="00070A23"/>
    <w:rsid w:val="00070ABB"/>
    <w:rsid w:val="00070C7F"/>
    <w:rsid w:val="00070CE9"/>
    <w:rsid w:val="00070D4C"/>
    <w:rsid w:val="00070D79"/>
    <w:rsid w:val="00070ED1"/>
    <w:rsid w:val="00070FB9"/>
    <w:rsid w:val="000710A1"/>
    <w:rsid w:val="000710B4"/>
    <w:rsid w:val="00071192"/>
    <w:rsid w:val="0007121A"/>
    <w:rsid w:val="000714BA"/>
    <w:rsid w:val="000715D4"/>
    <w:rsid w:val="00071623"/>
    <w:rsid w:val="0007163B"/>
    <w:rsid w:val="00071706"/>
    <w:rsid w:val="0007175B"/>
    <w:rsid w:val="000717A2"/>
    <w:rsid w:val="0007187E"/>
    <w:rsid w:val="000718C9"/>
    <w:rsid w:val="00071A38"/>
    <w:rsid w:val="00071A9B"/>
    <w:rsid w:val="00071BB9"/>
    <w:rsid w:val="00071DCA"/>
    <w:rsid w:val="00071E95"/>
    <w:rsid w:val="00071ECF"/>
    <w:rsid w:val="00071F74"/>
    <w:rsid w:val="000720C8"/>
    <w:rsid w:val="00072337"/>
    <w:rsid w:val="000723E5"/>
    <w:rsid w:val="00072521"/>
    <w:rsid w:val="000727FD"/>
    <w:rsid w:val="0007285F"/>
    <w:rsid w:val="000728FC"/>
    <w:rsid w:val="00072AF2"/>
    <w:rsid w:val="00072B55"/>
    <w:rsid w:val="00072BD3"/>
    <w:rsid w:val="00072D75"/>
    <w:rsid w:val="00072E83"/>
    <w:rsid w:val="00073007"/>
    <w:rsid w:val="00073250"/>
    <w:rsid w:val="00073288"/>
    <w:rsid w:val="0007329A"/>
    <w:rsid w:val="0007330D"/>
    <w:rsid w:val="00073345"/>
    <w:rsid w:val="00073373"/>
    <w:rsid w:val="000733A3"/>
    <w:rsid w:val="0007347B"/>
    <w:rsid w:val="0007347F"/>
    <w:rsid w:val="000735F6"/>
    <w:rsid w:val="00073846"/>
    <w:rsid w:val="000738AA"/>
    <w:rsid w:val="000738E4"/>
    <w:rsid w:val="00073962"/>
    <w:rsid w:val="0007396A"/>
    <w:rsid w:val="00073A58"/>
    <w:rsid w:val="00073A63"/>
    <w:rsid w:val="00073B10"/>
    <w:rsid w:val="00073CDA"/>
    <w:rsid w:val="00073E38"/>
    <w:rsid w:val="00073EF5"/>
    <w:rsid w:val="00073F19"/>
    <w:rsid w:val="0007400F"/>
    <w:rsid w:val="00074084"/>
    <w:rsid w:val="00074288"/>
    <w:rsid w:val="0007437A"/>
    <w:rsid w:val="000743D0"/>
    <w:rsid w:val="00074480"/>
    <w:rsid w:val="000744A7"/>
    <w:rsid w:val="000744B1"/>
    <w:rsid w:val="00074609"/>
    <w:rsid w:val="00074624"/>
    <w:rsid w:val="000746F8"/>
    <w:rsid w:val="0007470C"/>
    <w:rsid w:val="0007471D"/>
    <w:rsid w:val="0007498C"/>
    <w:rsid w:val="00074A1D"/>
    <w:rsid w:val="00074A7B"/>
    <w:rsid w:val="00074B1D"/>
    <w:rsid w:val="00074B66"/>
    <w:rsid w:val="00074C2E"/>
    <w:rsid w:val="00074D2B"/>
    <w:rsid w:val="00074D8A"/>
    <w:rsid w:val="00074E3A"/>
    <w:rsid w:val="00074E7F"/>
    <w:rsid w:val="00075038"/>
    <w:rsid w:val="00075088"/>
    <w:rsid w:val="000751E8"/>
    <w:rsid w:val="000752D5"/>
    <w:rsid w:val="000752F7"/>
    <w:rsid w:val="000753A5"/>
    <w:rsid w:val="000754DA"/>
    <w:rsid w:val="000754F7"/>
    <w:rsid w:val="00075574"/>
    <w:rsid w:val="000759A1"/>
    <w:rsid w:val="000759B8"/>
    <w:rsid w:val="00075B2D"/>
    <w:rsid w:val="00075C78"/>
    <w:rsid w:val="00075EA1"/>
    <w:rsid w:val="00075EC1"/>
    <w:rsid w:val="00075F20"/>
    <w:rsid w:val="0007603F"/>
    <w:rsid w:val="000760FD"/>
    <w:rsid w:val="00076351"/>
    <w:rsid w:val="0007638D"/>
    <w:rsid w:val="00076492"/>
    <w:rsid w:val="00076661"/>
    <w:rsid w:val="00076679"/>
    <w:rsid w:val="0007669F"/>
    <w:rsid w:val="0007673F"/>
    <w:rsid w:val="00076819"/>
    <w:rsid w:val="00076847"/>
    <w:rsid w:val="00076917"/>
    <w:rsid w:val="00076D10"/>
    <w:rsid w:val="00076D4F"/>
    <w:rsid w:val="00076DAA"/>
    <w:rsid w:val="00076ECE"/>
    <w:rsid w:val="00076F05"/>
    <w:rsid w:val="00076F27"/>
    <w:rsid w:val="00076F2D"/>
    <w:rsid w:val="00076F74"/>
    <w:rsid w:val="00076F7B"/>
    <w:rsid w:val="00077014"/>
    <w:rsid w:val="00077016"/>
    <w:rsid w:val="00077017"/>
    <w:rsid w:val="000771CB"/>
    <w:rsid w:val="00077258"/>
    <w:rsid w:val="000772F7"/>
    <w:rsid w:val="00077303"/>
    <w:rsid w:val="000773EF"/>
    <w:rsid w:val="0007742D"/>
    <w:rsid w:val="00077433"/>
    <w:rsid w:val="000774A0"/>
    <w:rsid w:val="00077504"/>
    <w:rsid w:val="00077530"/>
    <w:rsid w:val="00077570"/>
    <w:rsid w:val="0007764A"/>
    <w:rsid w:val="000776A6"/>
    <w:rsid w:val="00077700"/>
    <w:rsid w:val="00077846"/>
    <w:rsid w:val="0007787A"/>
    <w:rsid w:val="000778E0"/>
    <w:rsid w:val="00077961"/>
    <w:rsid w:val="00077A6D"/>
    <w:rsid w:val="00077B1E"/>
    <w:rsid w:val="00077C71"/>
    <w:rsid w:val="00077C81"/>
    <w:rsid w:val="00077CFC"/>
    <w:rsid w:val="00077D1F"/>
    <w:rsid w:val="00077D78"/>
    <w:rsid w:val="00077DB8"/>
    <w:rsid w:val="00077E9B"/>
    <w:rsid w:val="00077FA5"/>
    <w:rsid w:val="00077FC1"/>
    <w:rsid w:val="0008008F"/>
    <w:rsid w:val="000800BC"/>
    <w:rsid w:val="0008014D"/>
    <w:rsid w:val="00080296"/>
    <w:rsid w:val="0008029B"/>
    <w:rsid w:val="0008034C"/>
    <w:rsid w:val="000803E9"/>
    <w:rsid w:val="000805E8"/>
    <w:rsid w:val="00080673"/>
    <w:rsid w:val="00080712"/>
    <w:rsid w:val="000807F0"/>
    <w:rsid w:val="0008091F"/>
    <w:rsid w:val="00080B2D"/>
    <w:rsid w:val="00080BAE"/>
    <w:rsid w:val="00080BEC"/>
    <w:rsid w:val="00080C46"/>
    <w:rsid w:val="00080C49"/>
    <w:rsid w:val="00080D57"/>
    <w:rsid w:val="00080E64"/>
    <w:rsid w:val="00080EB6"/>
    <w:rsid w:val="000810F7"/>
    <w:rsid w:val="000811CD"/>
    <w:rsid w:val="00081236"/>
    <w:rsid w:val="0008134C"/>
    <w:rsid w:val="000815CB"/>
    <w:rsid w:val="00081A6E"/>
    <w:rsid w:val="00081BA1"/>
    <w:rsid w:val="00081D87"/>
    <w:rsid w:val="00081E6A"/>
    <w:rsid w:val="00081EA4"/>
    <w:rsid w:val="00081F66"/>
    <w:rsid w:val="00082098"/>
    <w:rsid w:val="000822C7"/>
    <w:rsid w:val="00082304"/>
    <w:rsid w:val="00082345"/>
    <w:rsid w:val="0008242A"/>
    <w:rsid w:val="0008243A"/>
    <w:rsid w:val="000824E8"/>
    <w:rsid w:val="000826AE"/>
    <w:rsid w:val="000827B0"/>
    <w:rsid w:val="00082839"/>
    <w:rsid w:val="00082850"/>
    <w:rsid w:val="00082A33"/>
    <w:rsid w:val="00082A7C"/>
    <w:rsid w:val="00082B19"/>
    <w:rsid w:val="00082C3E"/>
    <w:rsid w:val="00082C4E"/>
    <w:rsid w:val="00082CE2"/>
    <w:rsid w:val="00082D7B"/>
    <w:rsid w:val="00082F78"/>
    <w:rsid w:val="00082FB4"/>
    <w:rsid w:val="00082FFA"/>
    <w:rsid w:val="0008301C"/>
    <w:rsid w:val="00083130"/>
    <w:rsid w:val="0008319C"/>
    <w:rsid w:val="000832B7"/>
    <w:rsid w:val="00083359"/>
    <w:rsid w:val="00083395"/>
    <w:rsid w:val="00083397"/>
    <w:rsid w:val="0008345D"/>
    <w:rsid w:val="00083575"/>
    <w:rsid w:val="0008358B"/>
    <w:rsid w:val="0008364B"/>
    <w:rsid w:val="0008371E"/>
    <w:rsid w:val="0008387B"/>
    <w:rsid w:val="000838A7"/>
    <w:rsid w:val="00083A51"/>
    <w:rsid w:val="00083A64"/>
    <w:rsid w:val="00083A67"/>
    <w:rsid w:val="00083B43"/>
    <w:rsid w:val="00083B7A"/>
    <w:rsid w:val="00083D8D"/>
    <w:rsid w:val="00083E59"/>
    <w:rsid w:val="0008417F"/>
    <w:rsid w:val="00084199"/>
    <w:rsid w:val="000842BD"/>
    <w:rsid w:val="000842FC"/>
    <w:rsid w:val="000843D1"/>
    <w:rsid w:val="00084411"/>
    <w:rsid w:val="00084462"/>
    <w:rsid w:val="000844A4"/>
    <w:rsid w:val="0008470B"/>
    <w:rsid w:val="000847BC"/>
    <w:rsid w:val="00084909"/>
    <w:rsid w:val="00084D41"/>
    <w:rsid w:val="00084D4E"/>
    <w:rsid w:val="00084DC3"/>
    <w:rsid w:val="00084DD2"/>
    <w:rsid w:val="00084E00"/>
    <w:rsid w:val="00084EBF"/>
    <w:rsid w:val="00084F46"/>
    <w:rsid w:val="00084F73"/>
    <w:rsid w:val="00084FF7"/>
    <w:rsid w:val="0008526D"/>
    <w:rsid w:val="000854F7"/>
    <w:rsid w:val="0008578A"/>
    <w:rsid w:val="000857CC"/>
    <w:rsid w:val="00085AAB"/>
    <w:rsid w:val="00085B18"/>
    <w:rsid w:val="00085B4D"/>
    <w:rsid w:val="00085BCE"/>
    <w:rsid w:val="00085BE5"/>
    <w:rsid w:val="00085C3E"/>
    <w:rsid w:val="00085C6A"/>
    <w:rsid w:val="00085DD7"/>
    <w:rsid w:val="00085E14"/>
    <w:rsid w:val="00085E8A"/>
    <w:rsid w:val="00085F52"/>
    <w:rsid w:val="00086009"/>
    <w:rsid w:val="00086059"/>
    <w:rsid w:val="0008610B"/>
    <w:rsid w:val="0008614D"/>
    <w:rsid w:val="0008645A"/>
    <w:rsid w:val="000864E6"/>
    <w:rsid w:val="0008677C"/>
    <w:rsid w:val="000867A6"/>
    <w:rsid w:val="000867C6"/>
    <w:rsid w:val="0008682C"/>
    <w:rsid w:val="00086923"/>
    <w:rsid w:val="00086A06"/>
    <w:rsid w:val="00086A95"/>
    <w:rsid w:val="00086AF7"/>
    <w:rsid w:val="00086B40"/>
    <w:rsid w:val="00086B7E"/>
    <w:rsid w:val="00086B93"/>
    <w:rsid w:val="00086BA0"/>
    <w:rsid w:val="00086C7C"/>
    <w:rsid w:val="00086E31"/>
    <w:rsid w:val="00086EAC"/>
    <w:rsid w:val="00086F2C"/>
    <w:rsid w:val="00086F3A"/>
    <w:rsid w:val="00086F80"/>
    <w:rsid w:val="00086FD2"/>
    <w:rsid w:val="00086FE0"/>
    <w:rsid w:val="00087055"/>
    <w:rsid w:val="000870BA"/>
    <w:rsid w:val="00087139"/>
    <w:rsid w:val="000871EC"/>
    <w:rsid w:val="00087332"/>
    <w:rsid w:val="00087347"/>
    <w:rsid w:val="00087425"/>
    <w:rsid w:val="00087484"/>
    <w:rsid w:val="00087510"/>
    <w:rsid w:val="0008755E"/>
    <w:rsid w:val="000875E1"/>
    <w:rsid w:val="00087668"/>
    <w:rsid w:val="0008771C"/>
    <w:rsid w:val="00087787"/>
    <w:rsid w:val="00087A14"/>
    <w:rsid w:val="00087ACF"/>
    <w:rsid w:val="00087C97"/>
    <w:rsid w:val="00087CF2"/>
    <w:rsid w:val="00087D27"/>
    <w:rsid w:val="00087D36"/>
    <w:rsid w:val="00087DBF"/>
    <w:rsid w:val="00087DC9"/>
    <w:rsid w:val="00087ED7"/>
    <w:rsid w:val="00087F69"/>
    <w:rsid w:val="00087FC8"/>
    <w:rsid w:val="00090008"/>
    <w:rsid w:val="00090047"/>
    <w:rsid w:val="00090085"/>
    <w:rsid w:val="0009023F"/>
    <w:rsid w:val="000902A3"/>
    <w:rsid w:val="000904B8"/>
    <w:rsid w:val="000904E6"/>
    <w:rsid w:val="0009050D"/>
    <w:rsid w:val="0009052C"/>
    <w:rsid w:val="000905A4"/>
    <w:rsid w:val="00090604"/>
    <w:rsid w:val="00090712"/>
    <w:rsid w:val="000908DB"/>
    <w:rsid w:val="0009092C"/>
    <w:rsid w:val="0009097F"/>
    <w:rsid w:val="00090AE2"/>
    <w:rsid w:val="00090BA3"/>
    <w:rsid w:val="00090C2C"/>
    <w:rsid w:val="00090CAD"/>
    <w:rsid w:val="00090D21"/>
    <w:rsid w:val="00090E2D"/>
    <w:rsid w:val="00090FAF"/>
    <w:rsid w:val="0009108A"/>
    <w:rsid w:val="0009121C"/>
    <w:rsid w:val="0009126F"/>
    <w:rsid w:val="000912E9"/>
    <w:rsid w:val="0009142E"/>
    <w:rsid w:val="0009148C"/>
    <w:rsid w:val="00091547"/>
    <w:rsid w:val="000915BD"/>
    <w:rsid w:val="000915ED"/>
    <w:rsid w:val="00091753"/>
    <w:rsid w:val="000917A7"/>
    <w:rsid w:val="000917B1"/>
    <w:rsid w:val="000917C3"/>
    <w:rsid w:val="00091882"/>
    <w:rsid w:val="000919AE"/>
    <w:rsid w:val="000919D1"/>
    <w:rsid w:val="00091A0C"/>
    <w:rsid w:val="00091CF7"/>
    <w:rsid w:val="00091DC4"/>
    <w:rsid w:val="00091DD6"/>
    <w:rsid w:val="00091E04"/>
    <w:rsid w:val="00091E2E"/>
    <w:rsid w:val="00091E34"/>
    <w:rsid w:val="00091E8B"/>
    <w:rsid w:val="00091F1B"/>
    <w:rsid w:val="00091F77"/>
    <w:rsid w:val="0009208A"/>
    <w:rsid w:val="00092214"/>
    <w:rsid w:val="00092241"/>
    <w:rsid w:val="000922A5"/>
    <w:rsid w:val="0009240B"/>
    <w:rsid w:val="00092430"/>
    <w:rsid w:val="00092477"/>
    <w:rsid w:val="000924B3"/>
    <w:rsid w:val="00092542"/>
    <w:rsid w:val="000926A3"/>
    <w:rsid w:val="0009279E"/>
    <w:rsid w:val="00092837"/>
    <w:rsid w:val="000928C2"/>
    <w:rsid w:val="00092A77"/>
    <w:rsid w:val="00092B16"/>
    <w:rsid w:val="00092BDF"/>
    <w:rsid w:val="00092C1C"/>
    <w:rsid w:val="00092CD2"/>
    <w:rsid w:val="00092D6E"/>
    <w:rsid w:val="00093030"/>
    <w:rsid w:val="00093034"/>
    <w:rsid w:val="0009313D"/>
    <w:rsid w:val="0009348D"/>
    <w:rsid w:val="000937B5"/>
    <w:rsid w:val="00093855"/>
    <w:rsid w:val="00093991"/>
    <w:rsid w:val="000939B7"/>
    <w:rsid w:val="00093AE5"/>
    <w:rsid w:val="00093B06"/>
    <w:rsid w:val="00093DAD"/>
    <w:rsid w:val="00094020"/>
    <w:rsid w:val="000940CD"/>
    <w:rsid w:val="0009412C"/>
    <w:rsid w:val="00094411"/>
    <w:rsid w:val="000944E8"/>
    <w:rsid w:val="00094618"/>
    <w:rsid w:val="0009468B"/>
    <w:rsid w:val="000948A4"/>
    <w:rsid w:val="0009495B"/>
    <w:rsid w:val="00094997"/>
    <w:rsid w:val="00094B02"/>
    <w:rsid w:val="00094B81"/>
    <w:rsid w:val="00094BD7"/>
    <w:rsid w:val="00094ED0"/>
    <w:rsid w:val="00094EE1"/>
    <w:rsid w:val="00094FA7"/>
    <w:rsid w:val="00094FC9"/>
    <w:rsid w:val="00094FE5"/>
    <w:rsid w:val="000950B6"/>
    <w:rsid w:val="000951F7"/>
    <w:rsid w:val="00095297"/>
    <w:rsid w:val="000952E6"/>
    <w:rsid w:val="00095549"/>
    <w:rsid w:val="00095564"/>
    <w:rsid w:val="00095637"/>
    <w:rsid w:val="000956AE"/>
    <w:rsid w:val="000956EC"/>
    <w:rsid w:val="000957EB"/>
    <w:rsid w:val="000957EC"/>
    <w:rsid w:val="00095889"/>
    <w:rsid w:val="000958A1"/>
    <w:rsid w:val="00095966"/>
    <w:rsid w:val="000959BC"/>
    <w:rsid w:val="00095A09"/>
    <w:rsid w:val="00095A35"/>
    <w:rsid w:val="00095A7D"/>
    <w:rsid w:val="00095B54"/>
    <w:rsid w:val="00095B8B"/>
    <w:rsid w:val="00095C91"/>
    <w:rsid w:val="00095CF0"/>
    <w:rsid w:val="00095CFF"/>
    <w:rsid w:val="00095E4D"/>
    <w:rsid w:val="00095F7B"/>
    <w:rsid w:val="0009604B"/>
    <w:rsid w:val="00096150"/>
    <w:rsid w:val="000961E3"/>
    <w:rsid w:val="0009620F"/>
    <w:rsid w:val="00096302"/>
    <w:rsid w:val="00096329"/>
    <w:rsid w:val="00096331"/>
    <w:rsid w:val="000963C9"/>
    <w:rsid w:val="000964EC"/>
    <w:rsid w:val="0009650E"/>
    <w:rsid w:val="00096511"/>
    <w:rsid w:val="0009655B"/>
    <w:rsid w:val="00096657"/>
    <w:rsid w:val="00096695"/>
    <w:rsid w:val="000966A6"/>
    <w:rsid w:val="000966F6"/>
    <w:rsid w:val="0009684F"/>
    <w:rsid w:val="00096899"/>
    <w:rsid w:val="00096A96"/>
    <w:rsid w:val="00096C71"/>
    <w:rsid w:val="00096CDB"/>
    <w:rsid w:val="00096D42"/>
    <w:rsid w:val="00096D64"/>
    <w:rsid w:val="00096DBA"/>
    <w:rsid w:val="00096E2B"/>
    <w:rsid w:val="00096E56"/>
    <w:rsid w:val="00096ED1"/>
    <w:rsid w:val="00096FC8"/>
    <w:rsid w:val="00096FD1"/>
    <w:rsid w:val="000972B6"/>
    <w:rsid w:val="0009731A"/>
    <w:rsid w:val="00097340"/>
    <w:rsid w:val="0009742B"/>
    <w:rsid w:val="000974A5"/>
    <w:rsid w:val="000975A2"/>
    <w:rsid w:val="00097778"/>
    <w:rsid w:val="00097790"/>
    <w:rsid w:val="000977DC"/>
    <w:rsid w:val="000977E6"/>
    <w:rsid w:val="000978F8"/>
    <w:rsid w:val="00097902"/>
    <w:rsid w:val="00097956"/>
    <w:rsid w:val="000979A2"/>
    <w:rsid w:val="00097B61"/>
    <w:rsid w:val="00097E9B"/>
    <w:rsid w:val="00097F07"/>
    <w:rsid w:val="000A00C2"/>
    <w:rsid w:val="000A01C0"/>
    <w:rsid w:val="000A0207"/>
    <w:rsid w:val="000A039D"/>
    <w:rsid w:val="000A040B"/>
    <w:rsid w:val="000A05F3"/>
    <w:rsid w:val="000A065C"/>
    <w:rsid w:val="000A073B"/>
    <w:rsid w:val="000A082F"/>
    <w:rsid w:val="000A083F"/>
    <w:rsid w:val="000A0899"/>
    <w:rsid w:val="000A089D"/>
    <w:rsid w:val="000A0943"/>
    <w:rsid w:val="000A0A0E"/>
    <w:rsid w:val="000A0A6C"/>
    <w:rsid w:val="000A0B06"/>
    <w:rsid w:val="000A0B5E"/>
    <w:rsid w:val="000A0C13"/>
    <w:rsid w:val="000A0C1F"/>
    <w:rsid w:val="000A0CB3"/>
    <w:rsid w:val="000A0D69"/>
    <w:rsid w:val="000A0DF4"/>
    <w:rsid w:val="000A100E"/>
    <w:rsid w:val="000A104B"/>
    <w:rsid w:val="000A105C"/>
    <w:rsid w:val="000A126E"/>
    <w:rsid w:val="000A13EA"/>
    <w:rsid w:val="000A1426"/>
    <w:rsid w:val="000A1685"/>
    <w:rsid w:val="000A1756"/>
    <w:rsid w:val="000A1760"/>
    <w:rsid w:val="000A178B"/>
    <w:rsid w:val="000A19B7"/>
    <w:rsid w:val="000A1A60"/>
    <w:rsid w:val="000A1AA8"/>
    <w:rsid w:val="000A1B1B"/>
    <w:rsid w:val="000A1B4D"/>
    <w:rsid w:val="000A1B6C"/>
    <w:rsid w:val="000A1DAE"/>
    <w:rsid w:val="000A1DF1"/>
    <w:rsid w:val="000A1E53"/>
    <w:rsid w:val="000A1E97"/>
    <w:rsid w:val="000A1FB8"/>
    <w:rsid w:val="000A1FCD"/>
    <w:rsid w:val="000A2087"/>
    <w:rsid w:val="000A20F5"/>
    <w:rsid w:val="000A2107"/>
    <w:rsid w:val="000A217B"/>
    <w:rsid w:val="000A237B"/>
    <w:rsid w:val="000A246D"/>
    <w:rsid w:val="000A2528"/>
    <w:rsid w:val="000A25FC"/>
    <w:rsid w:val="000A29A7"/>
    <w:rsid w:val="000A2AC8"/>
    <w:rsid w:val="000A2BA6"/>
    <w:rsid w:val="000A2BC0"/>
    <w:rsid w:val="000A2BF4"/>
    <w:rsid w:val="000A2C1F"/>
    <w:rsid w:val="000A2CDC"/>
    <w:rsid w:val="000A2D07"/>
    <w:rsid w:val="000A2D52"/>
    <w:rsid w:val="000A2D78"/>
    <w:rsid w:val="000A2DA1"/>
    <w:rsid w:val="000A2DAF"/>
    <w:rsid w:val="000A30DB"/>
    <w:rsid w:val="000A322C"/>
    <w:rsid w:val="000A3360"/>
    <w:rsid w:val="000A33A7"/>
    <w:rsid w:val="000A34F9"/>
    <w:rsid w:val="000A352B"/>
    <w:rsid w:val="000A3565"/>
    <w:rsid w:val="000A35C1"/>
    <w:rsid w:val="000A36C7"/>
    <w:rsid w:val="000A3813"/>
    <w:rsid w:val="000A3864"/>
    <w:rsid w:val="000A386A"/>
    <w:rsid w:val="000A38AB"/>
    <w:rsid w:val="000A3969"/>
    <w:rsid w:val="000A3A6A"/>
    <w:rsid w:val="000A3ADC"/>
    <w:rsid w:val="000A3AEB"/>
    <w:rsid w:val="000A3B1A"/>
    <w:rsid w:val="000A3B59"/>
    <w:rsid w:val="000A3C2E"/>
    <w:rsid w:val="000A3DBF"/>
    <w:rsid w:val="000A3E05"/>
    <w:rsid w:val="000A3E13"/>
    <w:rsid w:val="000A3EF2"/>
    <w:rsid w:val="000A3EF4"/>
    <w:rsid w:val="000A3FAE"/>
    <w:rsid w:val="000A44A2"/>
    <w:rsid w:val="000A450D"/>
    <w:rsid w:val="000A451B"/>
    <w:rsid w:val="000A456E"/>
    <w:rsid w:val="000A45D0"/>
    <w:rsid w:val="000A462D"/>
    <w:rsid w:val="000A466D"/>
    <w:rsid w:val="000A46BF"/>
    <w:rsid w:val="000A477F"/>
    <w:rsid w:val="000A484B"/>
    <w:rsid w:val="000A48C4"/>
    <w:rsid w:val="000A48E6"/>
    <w:rsid w:val="000A49DC"/>
    <w:rsid w:val="000A4A59"/>
    <w:rsid w:val="000A4B35"/>
    <w:rsid w:val="000A4C11"/>
    <w:rsid w:val="000A4CC5"/>
    <w:rsid w:val="000A4E88"/>
    <w:rsid w:val="000A4E8A"/>
    <w:rsid w:val="000A4F27"/>
    <w:rsid w:val="000A4FFD"/>
    <w:rsid w:val="000A500D"/>
    <w:rsid w:val="000A50BC"/>
    <w:rsid w:val="000A51F3"/>
    <w:rsid w:val="000A52E0"/>
    <w:rsid w:val="000A5352"/>
    <w:rsid w:val="000A537A"/>
    <w:rsid w:val="000A5780"/>
    <w:rsid w:val="000A587E"/>
    <w:rsid w:val="000A5983"/>
    <w:rsid w:val="000A59A4"/>
    <w:rsid w:val="000A5A09"/>
    <w:rsid w:val="000A5A1B"/>
    <w:rsid w:val="000A5B0E"/>
    <w:rsid w:val="000A5B3A"/>
    <w:rsid w:val="000A5D96"/>
    <w:rsid w:val="000A5E2F"/>
    <w:rsid w:val="000A5F0E"/>
    <w:rsid w:val="000A5F52"/>
    <w:rsid w:val="000A5F66"/>
    <w:rsid w:val="000A5FD9"/>
    <w:rsid w:val="000A5FFD"/>
    <w:rsid w:val="000A60D7"/>
    <w:rsid w:val="000A6179"/>
    <w:rsid w:val="000A61A8"/>
    <w:rsid w:val="000A61CB"/>
    <w:rsid w:val="000A61CF"/>
    <w:rsid w:val="000A6245"/>
    <w:rsid w:val="000A627E"/>
    <w:rsid w:val="000A62A2"/>
    <w:rsid w:val="000A632E"/>
    <w:rsid w:val="000A6341"/>
    <w:rsid w:val="000A65C8"/>
    <w:rsid w:val="000A65DE"/>
    <w:rsid w:val="000A6630"/>
    <w:rsid w:val="000A67F2"/>
    <w:rsid w:val="000A696F"/>
    <w:rsid w:val="000A6982"/>
    <w:rsid w:val="000A6A1B"/>
    <w:rsid w:val="000A6AAD"/>
    <w:rsid w:val="000A6CA5"/>
    <w:rsid w:val="000A6CF2"/>
    <w:rsid w:val="000A6D00"/>
    <w:rsid w:val="000A6D39"/>
    <w:rsid w:val="000A6E57"/>
    <w:rsid w:val="000A6EB9"/>
    <w:rsid w:val="000A7065"/>
    <w:rsid w:val="000A708E"/>
    <w:rsid w:val="000A70A1"/>
    <w:rsid w:val="000A718B"/>
    <w:rsid w:val="000A7336"/>
    <w:rsid w:val="000A7344"/>
    <w:rsid w:val="000A7405"/>
    <w:rsid w:val="000A740F"/>
    <w:rsid w:val="000A7415"/>
    <w:rsid w:val="000A7571"/>
    <w:rsid w:val="000A7591"/>
    <w:rsid w:val="000A75A0"/>
    <w:rsid w:val="000A764B"/>
    <w:rsid w:val="000A7692"/>
    <w:rsid w:val="000A7696"/>
    <w:rsid w:val="000A7803"/>
    <w:rsid w:val="000A7995"/>
    <w:rsid w:val="000A799A"/>
    <w:rsid w:val="000A79D4"/>
    <w:rsid w:val="000A7AED"/>
    <w:rsid w:val="000A7D91"/>
    <w:rsid w:val="000A7DE5"/>
    <w:rsid w:val="000A7E55"/>
    <w:rsid w:val="000A7F33"/>
    <w:rsid w:val="000A7F7C"/>
    <w:rsid w:val="000B0074"/>
    <w:rsid w:val="000B012B"/>
    <w:rsid w:val="000B013B"/>
    <w:rsid w:val="000B021D"/>
    <w:rsid w:val="000B026E"/>
    <w:rsid w:val="000B02B0"/>
    <w:rsid w:val="000B030E"/>
    <w:rsid w:val="000B0451"/>
    <w:rsid w:val="000B05C9"/>
    <w:rsid w:val="000B05F6"/>
    <w:rsid w:val="000B0783"/>
    <w:rsid w:val="000B086C"/>
    <w:rsid w:val="000B0CE0"/>
    <w:rsid w:val="000B0D1A"/>
    <w:rsid w:val="000B0D4A"/>
    <w:rsid w:val="000B0E0A"/>
    <w:rsid w:val="000B0E7A"/>
    <w:rsid w:val="000B0EA1"/>
    <w:rsid w:val="000B0EAD"/>
    <w:rsid w:val="000B0EEE"/>
    <w:rsid w:val="000B0F25"/>
    <w:rsid w:val="000B1187"/>
    <w:rsid w:val="000B11D7"/>
    <w:rsid w:val="000B1213"/>
    <w:rsid w:val="000B126D"/>
    <w:rsid w:val="000B13D0"/>
    <w:rsid w:val="000B14E5"/>
    <w:rsid w:val="000B15CC"/>
    <w:rsid w:val="000B16DF"/>
    <w:rsid w:val="000B174F"/>
    <w:rsid w:val="000B1783"/>
    <w:rsid w:val="000B17CE"/>
    <w:rsid w:val="000B19D3"/>
    <w:rsid w:val="000B1A1F"/>
    <w:rsid w:val="000B1A92"/>
    <w:rsid w:val="000B1ABE"/>
    <w:rsid w:val="000B1C21"/>
    <w:rsid w:val="000B1D11"/>
    <w:rsid w:val="000B1D22"/>
    <w:rsid w:val="000B1D8A"/>
    <w:rsid w:val="000B1DE5"/>
    <w:rsid w:val="000B1F01"/>
    <w:rsid w:val="000B1FFE"/>
    <w:rsid w:val="000B210C"/>
    <w:rsid w:val="000B2134"/>
    <w:rsid w:val="000B213B"/>
    <w:rsid w:val="000B2376"/>
    <w:rsid w:val="000B2482"/>
    <w:rsid w:val="000B2596"/>
    <w:rsid w:val="000B2627"/>
    <w:rsid w:val="000B2703"/>
    <w:rsid w:val="000B2753"/>
    <w:rsid w:val="000B275F"/>
    <w:rsid w:val="000B27FC"/>
    <w:rsid w:val="000B2845"/>
    <w:rsid w:val="000B299F"/>
    <w:rsid w:val="000B29F9"/>
    <w:rsid w:val="000B2A33"/>
    <w:rsid w:val="000B2B34"/>
    <w:rsid w:val="000B2C54"/>
    <w:rsid w:val="000B2D48"/>
    <w:rsid w:val="000B2E9E"/>
    <w:rsid w:val="000B2FD7"/>
    <w:rsid w:val="000B301A"/>
    <w:rsid w:val="000B3044"/>
    <w:rsid w:val="000B3148"/>
    <w:rsid w:val="000B34D0"/>
    <w:rsid w:val="000B34D6"/>
    <w:rsid w:val="000B3547"/>
    <w:rsid w:val="000B3687"/>
    <w:rsid w:val="000B37F5"/>
    <w:rsid w:val="000B380E"/>
    <w:rsid w:val="000B38BC"/>
    <w:rsid w:val="000B3A14"/>
    <w:rsid w:val="000B3B3B"/>
    <w:rsid w:val="000B3CCE"/>
    <w:rsid w:val="000B3D34"/>
    <w:rsid w:val="000B3D4F"/>
    <w:rsid w:val="000B3E08"/>
    <w:rsid w:val="000B3E09"/>
    <w:rsid w:val="000B3E88"/>
    <w:rsid w:val="000B3F45"/>
    <w:rsid w:val="000B3FE1"/>
    <w:rsid w:val="000B4091"/>
    <w:rsid w:val="000B40A4"/>
    <w:rsid w:val="000B41C1"/>
    <w:rsid w:val="000B41F7"/>
    <w:rsid w:val="000B420F"/>
    <w:rsid w:val="000B435D"/>
    <w:rsid w:val="000B436D"/>
    <w:rsid w:val="000B43E8"/>
    <w:rsid w:val="000B4421"/>
    <w:rsid w:val="000B46F5"/>
    <w:rsid w:val="000B47F8"/>
    <w:rsid w:val="000B489E"/>
    <w:rsid w:val="000B48A5"/>
    <w:rsid w:val="000B49BA"/>
    <w:rsid w:val="000B4A6E"/>
    <w:rsid w:val="000B4AA4"/>
    <w:rsid w:val="000B4B14"/>
    <w:rsid w:val="000B4B65"/>
    <w:rsid w:val="000B4B68"/>
    <w:rsid w:val="000B4C65"/>
    <w:rsid w:val="000B4CD1"/>
    <w:rsid w:val="000B4D54"/>
    <w:rsid w:val="000B4F29"/>
    <w:rsid w:val="000B4F42"/>
    <w:rsid w:val="000B4F7D"/>
    <w:rsid w:val="000B4FDD"/>
    <w:rsid w:val="000B5065"/>
    <w:rsid w:val="000B5144"/>
    <w:rsid w:val="000B52CB"/>
    <w:rsid w:val="000B5339"/>
    <w:rsid w:val="000B5382"/>
    <w:rsid w:val="000B5446"/>
    <w:rsid w:val="000B5516"/>
    <w:rsid w:val="000B55CB"/>
    <w:rsid w:val="000B56C0"/>
    <w:rsid w:val="000B56CE"/>
    <w:rsid w:val="000B58C2"/>
    <w:rsid w:val="000B5993"/>
    <w:rsid w:val="000B5A2F"/>
    <w:rsid w:val="000B5AD4"/>
    <w:rsid w:val="000B5B16"/>
    <w:rsid w:val="000B5B17"/>
    <w:rsid w:val="000B5CF3"/>
    <w:rsid w:val="000B5CFB"/>
    <w:rsid w:val="000B5D20"/>
    <w:rsid w:val="000B5DD4"/>
    <w:rsid w:val="000B5DF9"/>
    <w:rsid w:val="000B5E9B"/>
    <w:rsid w:val="000B5EDF"/>
    <w:rsid w:val="000B5F92"/>
    <w:rsid w:val="000B6047"/>
    <w:rsid w:val="000B60E1"/>
    <w:rsid w:val="000B6133"/>
    <w:rsid w:val="000B618E"/>
    <w:rsid w:val="000B63C1"/>
    <w:rsid w:val="000B6476"/>
    <w:rsid w:val="000B65B9"/>
    <w:rsid w:val="000B68DC"/>
    <w:rsid w:val="000B6B99"/>
    <w:rsid w:val="000B6D66"/>
    <w:rsid w:val="000B6D8D"/>
    <w:rsid w:val="000B6E16"/>
    <w:rsid w:val="000B6E55"/>
    <w:rsid w:val="000B6EEB"/>
    <w:rsid w:val="000B6F9F"/>
    <w:rsid w:val="000B6FD3"/>
    <w:rsid w:val="000B7003"/>
    <w:rsid w:val="000B734C"/>
    <w:rsid w:val="000B7385"/>
    <w:rsid w:val="000B73EB"/>
    <w:rsid w:val="000B749D"/>
    <w:rsid w:val="000B7582"/>
    <w:rsid w:val="000B770A"/>
    <w:rsid w:val="000B77E6"/>
    <w:rsid w:val="000B786D"/>
    <w:rsid w:val="000B78DD"/>
    <w:rsid w:val="000B7986"/>
    <w:rsid w:val="000B79F0"/>
    <w:rsid w:val="000B7A04"/>
    <w:rsid w:val="000B7B0D"/>
    <w:rsid w:val="000B7CBF"/>
    <w:rsid w:val="000B7CD1"/>
    <w:rsid w:val="000B7D0A"/>
    <w:rsid w:val="000B7DD5"/>
    <w:rsid w:val="000B7E48"/>
    <w:rsid w:val="000B7E69"/>
    <w:rsid w:val="000B7E9A"/>
    <w:rsid w:val="000B7F26"/>
    <w:rsid w:val="000B88C2"/>
    <w:rsid w:val="000C00AD"/>
    <w:rsid w:val="000C0130"/>
    <w:rsid w:val="000C0197"/>
    <w:rsid w:val="000C022C"/>
    <w:rsid w:val="000C028F"/>
    <w:rsid w:val="000C045C"/>
    <w:rsid w:val="000C04E8"/>
    <w:rsid w:val="000C060F"/>
    <w:rsid w:val="000C068B"/>
    <w:rsid w:val="000C06B7"/>
    <w:rsid w:val="000C06EB"/>
    <w:rsid w:val="000C0712"/>
    <w:rsid w:val="000C08FE"/>
    <w:rsid w:val="000C0A23"/>
    <w:rsid w:val="000C0A4E"/>
    <w:rsid w:val="000C0A7C"/>
    <w:rsid w:val="000C0B34"/>
    <w:rsid w:val="000C0B62"/>
    <w:rsid w:val="000C0B9F"/>
    <w:rsid w:val="000C0BAC"/>
    <w:rsid w:val="000C0C7D"/>
    <w:rsid w:val="000C0DB6"/>
    <w:rsid w:val="000C0EE3"/>
    <w:rsid w:val="000C103B"/>
    <w:rsid w:val="000C107A"/>
    <w:rsid w:val="000C10AA"/>
    <w:rsid w:val="000C10ED"/>
    <w:rsid w:val="000C13AE"/>
    <w:rsid w:val="000C149D"/>
    <w:rsid w:val="000C16F9"/>
    <w:rsid w:val="000C1727"/>
    <w:rsid w:val="000C18E0"/>
    <w:rsid w:val="000C190A"/>
    <w:rsid w:val="000C1949"/>
    <w:rsid w:val="000C1A1D"/>
    <w:rsid w:val="000C1A7A"/>
    <w:rsid w:val="000C1AC8"/>
    <w:rsid w:val="000C1B1B"/>
    <w:rsid w:val="000C1B75"/>
    <w:rsid w:val="000C1CBA"/>
    <w:rsid w:val="000C1D64"/>
    <w:rsid w:val="000C1E9C"/>
    <w:rsid w:val="000C1F09"/>
    <w:rsid w:val="000C1F16"/>
    <w:rsid w:val="000C1F61"/>
    <w:rsid w:val="000C1FA4"/>
    <w:rsid w:val="000C1FAB"/>
    <w:rsid w:val="000C1FB7"/>
    <w:rsid w:val="000C21B7"/>
    <w:rsid w:val="000C239A"/>
    <w:rsid w:val="000C2400"/>
    <w:rsid w:val="000C24CF"/>
    <w:rsid w:val="000C2624"/>
    <w:rsid w:val="000C2641"/>
    <w:rsid w:val="000C26A5"/>
    <w:rsid w:val="000C26E8"/>
    <w:rsid w:val="000C2705"/>
    <w:rsid w:val="000C2738"/>
    <w:rsid w:val="000C274C"/>
    <w:rsid w:val="000C285B"/>
    <w:rsid w:val="000C28D1"/>
    <w:rsid w:val="000C2923"/>
    <w:rsid w:val="000C297A"/>
    <w:rsid w:val="000C2996"/>
    <w:rsid w:val="000C2B4E"/>
    <w:rsid w:val="000C2B97"/>
    <w:rsid w:val="000C2B98"/>
    <w:rsid w:val="000C2BE4"/>
    <w:rsid w:val="000C2C4B"/>
    <w:rsid w:val="000C2D64"/>
    <w:rsid w:val="000C2E0F"/>
    <w:rsid w:val="000C2FD8"/>
    <w:rsid w:val="000C3025"/>
    <w:rsid w:val="000C31AF"/>
    <w:rsid w:val="000C32B5"/>
    <w:rsid w:val="000C32C7"/>
    <w:rsid w:val="000C339D"/>
    <w:rsid w:val="000C3463"/>
    <w:rsid w:val="000C3491"/>
    <w:rsid w:val="000C3494"/>
    <w:rsid w:val="000C35B7"/>
    <w:rsid w:val="000C35CC"/>
    <w:rsid w:val="000C364E"/>
    <w:rsid w:val="000C3652"/>
    <w:rsid w:val="000C3691"/>
    <w:rsid w:val="000C36C8"/>
    <w:rsid w:val="000C36D6"/>
    <w:rsid w:val="000C3737"/>
    <w:rsid w:val="000C3784"/>
    <w:rsid w:val="000C37FB"/>
    <w:rsid w:val="000C3886"/>
    <w:rsid w:val="000C388C"/>
    <w:rsid w:val="000C3A1F"/>
    <w:rsid w:val="000C3A78"/>
    <w:rsid w:val="000C3AD4"/>
    <w:rsid w:val="000C3B0A"/>
    <w:rsid w:val="000C4008"/>
    <w:rsid w:val="000C4034"/>
    <w:rsid w:val="000C4098"/>
    <w:rsid w:val="000C40A6"/>
    <w:rsid w:val="000C40BC"/>
    <w:rsid w:val="000C416A"/>
    <w:rsid w:val="000C41CD"/>
    <w:rsid w:val="000C41DE"/>
    <w:rsid w:val="000C421A"/>
    <w:rsid w:val="000C42A3"/>
    <w:rsid w:val="000C42F1"/>
    <w:rsid w:val="000C4354"/>
    <w:rsid w:val="000C43B5"/>
    <w:rsid w:val="000C442F"/>
    <w:rsid w:val="000C473B"/>
    <w:rsid w:val="000C4765"/>
    <w:rsid w:val="000C4882"/>
    <w:rsid w:val="000C489D"/>
    <w:rsid w:val="000C4921"/>
    <w:rsid w:val="000C4A1A"/>
    <w:rsid w:val="000C4B2C"/>
    <w:rsid w:val="000C4BA7"/>
    <w:rsid w:val="000C4C31"/>
    <w:rsid w:val="000C4C3E"/>
    <w:rsid w:val="000C4D7D"/>
    <w:rsid w:val="000C4DCC"/>
    <w:rsid w:val="000C4DDA"/>
    <w:rsid w:val="000C4DF0"/>
    <w:rsid w:val="000C4E26"/>
    <w:rsid w:val="000C4F8E"/>
    <w:rsid w:val="000C50FF"/>
    <w:rsid w:val="000C511D"/>
    <w:rsid w:val="000C51CE"/>
    <w:rsid w:val="000C525C"/>
    <w:rsid w:val="000C54A9"/>
    <w:rsid w:val="000C5508"/>
    <w:rsid w:val="000C5518"/>
    <w:rsid w:val="000C561A"/>
    <w:rsid w:val="000C5660"/>
    <w:rsid w:val="000C569A"/>
    <w:rsid w:val="000C56CB"/>
    <w:rsid w:val="000C56E3"/>
    <w:rsid w:val="000C5866"/>
    <w:rsid w:val="000C598C"/>
    <w:rsid w:val="000C5AD1"/>
    <w:rsid w:val="000C5B65"/>
    <w:rsid w:val="000C5C77"/>
    <w:rsid w:val="000C5DE4"/>
    <w:rsid w:val="000C5EFC"/>
    <w:rsid w:val="000C6002"/>
    <w:rsid w:val="000C60A6"/>
    <w:rsid w:val="000C62BA"/>
    <w:rsid w:val="000C62FF"/>
    <w:rsid w:val="000C639A"/>
    <w:rsid w:val="000C63E0"/>
    <w:rsid w:val="000C646C"/>
    <w:rsid w:val="000C64EA"/>
    <w:rsid w:val="000C6691"/>
    <w:rsid w:val="000C6776"/>
    <w:rsid w:val="000C6781"/>
    <w:rsid w:val="000C6812"/>
    <w:rsid w:val="000C6890"/>
    <w:rsid w:val="000C68C0"/>
    <w:rsid w:val="000C6904"/>
    <w:rsid w:val="000C69F1"/>
    <w:rsid w:val="000C6BE6"/>
    <w:rsid w:val="000C6C73"/>
    <w:rsid w:val="000C6D49"/>
    <w:rsid w:val="000C6D68"/>
    <w:rsid w:val="000C6D7D"/>
    <w:rsid w:val="000C6DA1"/>
    <w:rsid w:val="000C6DA2"/>
    <w:rsid w:val="000C6DBC"/>
    <w:rsid w:val="000C6DF7"/>
    <w:rsid w:val="000C7001"/>
    <w:rsid w:val="000C706B"/>
    <w:rsid w:val="000C70D5"/>
    <w:rsid w:val="000C70E2"/>
    <w:rsid w:val="000C70FE"/>
    <w:rsid w:val="000C7198"/>
    <w:rsid w:val="000C72DB"/>
    <w:rsid w:val="000C74FD"/>
    <w:rsid w:val="000C7560"/>
    <w:rsid w:val="000C76F3"/>
    <w:rsid w:val="000C7853"/>
    <w:rsid w:val="000C786B"/>
    <w:rsid w:val="000C788C"/>
    <w:rsid w:val="000C7A11"/>
    <w:rsid w:val="000C7AAC"/>
    <w:rsid w:val="000C7B47"/>
    <w:rsid w:val="000C7B74"/>
    <w:rsid w:val="000C7B9E"/>
    <w:rsid w:val="000C7C33"/>
    <w:rsid w:val="000C7C49"/>
    <w:rsid w:val="000C7C60"/>
    <w:rsid w:val="000C7CCA"/>
    <w:rsid w:val="000C7CE2"/>
    <w:rsid w:val="000C7D46"/>
    <w:rsid w:val="000C7FDA"/>
    <w:rsid w:val="000C7FEA"/>
    <w:rsid w:val="000D0273"/>
    <w:rsid w:val="000D0315"/>
    <w:rsid w:val="000D0325"/>
    <w:rsid w:val="000D039A"/>
    <w:rsid w:val="000D03D2"/>
    <w:rsid w:val="000D03D5"/>
    <w:rsid w:val="000D03E2"/>
    <w:rsid w:val="000D03F5"/>
    <w:rsid w:val="000D047E"/>
    <w:rsid w:val="000D0648"/>
    <w:rsid w:val="000D06D4"/>
    <w:rsid w:val="000D070F"/>
    <w:rsid w:val="000D07BA"/>
    <w:rsid w:val="000D07D4"/>
    <w:rsid w:val="000D07E2"/>
    <w:rsid w:val="000D07F3"/>
    <w:rsid w:val="000D07F5"/>
    <w:rsid w:val="000D09C2"/>
    <w:rsid w:val="000D0A23"/>
    <w:rsid w:val="000D0A3D"/>
    <w:rsid w:val="000D0B45"/>
    <w:rsid w:val="000D0B8D"/>
    <w:rsid w:val="000D0B96"/>
    <w:rsid w:val="000D0BAB"/>
    <w:rsid w:val="000D0C6C"/>
    <w:rsid w:val="000D0D02"/>
    <w:rsid w:val="000D0D58"/>
    <w:rsid w:val="000D0D7A"/>
    <w:rsid w:val="000D0E43"/>
    <w:rsid w:val="000D10C9"/>
    <w:rsid w:val="000D1189"/>
    <w:rsid w:val="000D1236"/>
    <w:rsid w:val="000D1285"/>
    <w:rsid w:val="000D12CC"/>
    <w:rsid w:val="000D1377"/>
    <w:rsid w:val="000D149E"/>
    <w:rsid w:val="000D14E9"/>
    <w:rsid w:val="000D14F3"/>
    <w:rsid w:val="000D1566"/>
    <w:rsid w:val="000D15F1"/>
    <w:rsid w:val="000D160B"/>
    <w:rsid w:val="000D166F"/>
    <w:rsid w:val="000D177F"/>
    <w:rsid w:val="000D1806"/>
    <w:rsid w:val="000D1A7C"/>
    <w:rsid w:val="000D1B9F"/>
    <w:rsid w:val="000D1C33"/>
    <w:rsid w:val="000D1D4F"/>
    <w:rsid w:val="000D1D82"/>
    <w:rsid w:val="000D1E64"/>
    <w:rsid w:val="000D1E6F"/>
    <w:rsid w:val="000D1F31"/>
    <w:rsid w:val="000D1F7A"/>
    <w:rsid w:val="000D1F7E"/>
    <w:rsid w:val="000D219D"/>
    <w:rsid w:val="000D2343"/>
    <w:rsid w:val="000D23A2"/>
    <w:rsid w:val="000D2432"/>
    <w:rsid w:val="000D2488"/>
    <w:rsid w:val="000D24AF"/>
    <w:rsid w:val="000D2546"/>
    <w:rsid w:val="000D256B"/>
    <w:rsid w:val="000D25B0"/>
    <w:rsid w:val="000D271C"/>
    <w:rsid w:val="000D27B7"/>
    <w:rsid w:val="000D27BA"/>
    <w:rsid w:val="000D2861"/>
    <w:rsid w:val="000D286C"/>
    <w:rsid w:val="000D2877"/>
    <w:rsid w:val="000D292D"/>
    <w:rsid w:val="000D2A74"/>
    <w:rsid w:val="000D2AEB"/>
    <w:rsid w:val="000D2B17"/>
    <w:rsid w:val="000D2B84"/>
    <w:rsid w:val="000D2BCB"/>
    <w:rsid w:val="000D2BDA"/>
    <w:rsid w:val="000D2DF0"/>
    <w:rsid w:val="000D2E77"/>
    <w:rsid w:val="000D2E82"/>
    <w:rsid w:val="000D2EB2"/>
    <w:rsid w:val="000D2EE9"/>
    <w:rsid w:val="000D2F68"/>
    <w:rsid w:val="000D30FC"/>
    <w:rsid w:val="000D314E"/>
    <w:rsid w:val="000D318B"/>
    <w:rsid w:val="000D31FE"/>
    <w:rsid w:val="000D31FF"/>
    <w:rsid w:val="000D3220"/>
    <w:rsid w:val="000D3289"/>
    <w:rsid w:val="000D3321"/>
    <w:rsid w:val="000D3451"/>
    <w:rsid w:val="000D3536"/>
    <w:rsid w:val="000D3577"/>
    <w:rsid w:val="000D35BD"/>
    <w:rsid w:val="000D360B"/>
    <w:rsid w:val="000D3644"/>
    <w:rsid w:val="000D3687"/>
    <w:rsid w:val="000D37EC"/>
    <w:rsid w:val="000D38DF"/>
    <w:rsid w:val="000D3C19"/>
    <w:rsid w:val="000D3CF3"/>
    <w:rsid w:val="000D3EEB"/>
    <w:rsid w:val="000D3FCE"/>
    <w:rsid w:val="000D404B"/>
    <w:rsid w:val="000D4220"/>
    <w:rsid w:val="000D42CE"/>
    <w:rsid w:val="000D4467"/>
    <w:rsid w:val="000D44AD"/>
    <w:rsid w:val="000D458F"/>
    <w:rsid w:val="000D45BB"/>
    <w:rsid w:val="000D462B"/>
    <w:rsid w:val="000D467F"/>
    <w:rsid w:val="000D469C"/>
    <w:rsid w:val="000D46D5"/>
    <w:rsid w:val="000D47AA"/>
    <w:rsid w:val="000D489A"/>
    <w:rsid w:val="000D48E3"/>
    <w:rsid w:val="000D49F0"/>
    <w:rsid w:val="000D49FB"/>
    <w:rsid w:val="000D4A12"/>
    <w:rsid w:val="000D4A14"/>
    <w:rsid w:val="000D4C7A"/>
    <w:rsid w:val="000D4D3B"/>
    <w:rsid w:val="000D4EB1"/>
    <w:rsid w:val="000D4F0B"/>
    <w:rsid w:val="000D5007"/>
    <w:rsid w:val="000D50D6"/>
    <w:rsid w:val="000D510D"/>
    <w:rsid w:val="000D51CF"/>
    <w:rsid w:val="000D523C"/>
    <w:rsid w:val="000D52A5"/>
    <w:rsid w:val="000D52EF"/>
    <w:rsid w:val="000D54CD"/>
    <w:rsid w:val="000D551E"/>
    <w:rsid w:val="000D5618"/>
    <w:rsid w:val="000D5684"/>
    <w:rsid w:val="000D56CC"/>
    <w:rsid w:val="000D573B"/>
    <w:rsid w:val="000D574C"/>
    <w:rsid w:val="000D5783"/>
    <w:rsid w:val="000D584A"/>
    <w:rsid w:val="000D584E"/>
    <w:rsid w:val="000D5A02"/>
    <w:rsid w:val="000D5A15"/>
    <w:rsid w:val="000D5A2C"/>
    <w:rsid w:val="000D5AB4"/>
    <w:rsid w:val="000D5AD3"/>
    <w:rsid w:val="000D5B82"/>
    <w:rsid w:val="000D5B95"/>
    <w:rsid w:val="000D5BA3"/>
    <w:rsid w:val="000D5C39"/>
    <w:rsid w:val="000D5D1F"/>
    <w:rsid w:val="000D5E01"/>
    <w:rsid w:val="000D5E26"/>
    <w:rsid w:val="000D5E84"/>
    <w:rsid w:val="000D5EDD"/>
    <w:rsid w:val="000D6019"/>
    <w:rsid w:val="000D611C"/>
    <w:rsid w:val="000D62F1"/>
    <w:rsid w:val="000D6332"/>
    <w:rsid w:val="000D6358"/>
    <w:rsid w:val="000D64E6"/>
    <w:rsid w:val="000D65C4"/>
    <w:rsid w:val="000D65F4"/>
    <w:rsid w:val="000D6896"/>
    <w:rsid w:val="000D68CD"/>
    <w:rsid w:val="000D6A70"/>
    <w:rsid w:val="000D6AB5"/>
    <w:rsid w:val="000D6AD9"/>
    <w:rsid w:val="000D6B9C"/>
    <w:rsid w:val="000D6BE1"/>
    <w:rsid w:val="000D7072"/>
    <w:rsid w:val="000D7162"/>
    <w:rsid w:val="000D71B4"/>
    <w:rsid w:val="000D71B5"/>
    <w:rsid w:val="000D7269"/>
    <w:rsid w:val="000D72CC"/>
    <w:rsid w:val="000D73A6"/>
    <w:rsid w:val="000D7438"/>
    <w:rsid w:val="000D75B5"/>
    <w:rsid w:val="000D7678"/>
    <w:rsid w:val="000D771E"/>
    <w:rsid w:val="000D777D"/>
    <w:rsid w:val="000D78A5"/>
    <w:rsid w:val="000D7956"/>
    <w:rsid w:val="000D7ACE"/>
    <w:rsid w:val="000D7B09"/>
    <w:rsid w:val="000D7B41"/>
    <w:rsid w:val="000D7BB7"/>
    <w:rsid w:val="000D7BE5"/>
    <w:rsid w:val="000D7C09"/>
    <w:rsid w:val="000D7C32"/>
    <w:rsid w:val="000D7CF5"/>
    <w:rsid w:val="000D7D8B"/>
    <w:rsid w:val="000D7F92"/>
    <w:rsid w:val="000E001E"/>
    <w:rsid w:val="000E0154"/>
    <w:rsid w:val="000E018D"/>
    <w:rsid w:val="000E01A6"/>
    <w:rsid w:val="000E01C8"/>
    <w:rsid w:val="000E0372"/>
    <w:rsid w:val="000E042B"/>
    <w:rsid w:val="000E0468"/>
    <w:rsid w:val="000E0599"/>
    <w:rsid w:val="000E059A"/>
    <w:rsid w:val="000E05C0"/>
    <w:rsid w:val="000E05E8"/>
    <w:rsid w:val="000E0639"/>
    <w:rsid w:val="000E07D6"/>
    <w:rsid w:val="000E080B"/>
    <w:rsid w:val="000E090B"/>
    <w:rsid w:val="000E091C"/>
    <w:rsid w:val="000E0943"/>
    <w:rsid w:val="000E0C51"/>
    <w:rsid w:val="000E0D72"/>
    <w:rsid w:val="000E0F8E"/>
    <w:rsid w:val="000E10CC"/>
    <w:rsid w:val="000E130E"/>
    <w:rsid w:val="000E1422"/>
    <w:rsid w:val="000E1493"/>
    <w:rsid w:val="000E1495"/>
    <w:rsid w:val="000E1581"/>
    <w:rsid w:val="000E1680"/>
    <w:rsid w:val="000E1818"/>
    <w:rsid w:val="000E1848"/>
    <w:rsid w:val="000E194E"/>
    <w:rsid w:val="000E19E0"/>
    <w:rsid w:val="000E1CC4"/>
    <w:rsid w:val="000E1D26"/>
    <w:rsid w:val="000E1EA2"/>
    <w:rsid w:val="000E2089"/>
    <w:rsid w:val="000E21F1"/>
    <w:rsid w:val="000E242C"/>
    <w:rsid w:val="000E243A"/>
    <w:rsid w:val="000E246D"/>
    <w:rsid w:val="000E2489"/>
    <w:rsid w:val="000E2508"/>
    <w:rsid w:val="000E2564"/>
    <w:rsid w:val="000E256F"/>
    <w:rsid w:val="000E25D1"/>
    <w:rsid w:val="000E267A"/>
    <w:rsid w:val="000E26D4"/>
    <w:rsid w:val="000E26EC"/>
    <w:rsid w:val="000E2848"/>
    <w:rsid w:val="000E293D"/>
    <w:rsid w:val="000E2978"/>
    <w:rsid w:val="000E29D8"/>
    <w:rsid w:val="000E2B18"/>
    <w:rsid w:val="000E2C72"/>
    <w:rsid w:val="000E2CFE"/>
    <w:rsid w:val="000E2D7D"/>
    <w:rsid w:val="000E2DA8"/>
    <w:rsid w:val="000E2EE0"/>
    <w:rsid w:val="000E2F16"/>
    <w:rsid w:val="000E3008"/>
    <w:rsid w:val="000E31A4"/>
    <w:rsid w:val="000E3372"/>
    <w:rsid w:val="000E3440"/>
    <w:rsid w:val="000E36EA"/>
    <w:rsid w:val="000E3715"/>
    <w:rsid w:val="000E3780"/>
    <w:rsid w:val="000E3904"/>
    <w:rsid w:val="000E3C52"/>
    <w:rsid w:val="000E3C83"/>
    <w:rsid w:val="000E3D43"/>
    <w:rsid w:val="000E4073"/>
    <w:rsid w:val="000E41AD"/>
    <w:rsid w:val="000E4230"/>
    <w:rsid w:val="000E4455"/>
    <w:rsid w:val="000E4474"/>
    <w:rsid w:val="000E455A"/>
    <w:rsid w:val="000E4722"/>
    <w:rsid w:val="000E476B"/>
    <w:rsid w:val="000E477B"/>
    <w:rsid w:val="000E4815"/>
    <w:rsid w:val="000E487A"/>
    <w:rsid w:val="000E495C"/>
    <w:rsid w:val="000E49F4"/>
    <w:rsid w:val="000E4A04"/>
    <w:rsid w:val="000E4BBA"/>
    <w:rsid w:val="000E4BDA"/>
    <w:rsid w:val="000E4CD4"/>
    <w:rsid w:val="000E4D06"/>
    <w:rsid w:val="000E4E49"/>
    <w:rsid w:val="000E4EA7"/>
    <w:rsid w:val="000E4EEE"/>
    <w:rsid w:val="000E4F52"/>
    <w:rsid w:val="000E4FBB"/>
    <w:rsid w:val="000E501A"/>
    <w:rsid w:val="000E5119"/>
    <w:rsid w:val="000E5361"/>
    <w:rsid w:val="000E5376"/>
    <w:rsid w:val="000E53DC"/>
    <w:rsid w:val="000E53FD"/>
    <w:rsid w:val="000E5543"/>
    <w:rsid w:val="000E5547"/>
    <w:rsid w:val="000E559B"/>
    <w:rsid w:val="000E55DD"/>
    <w:rsid w:val="000E569F"/>
    <w:rsid w:val="000E56FF"/>
    <w:rsid w:val="000E58E6"/>
    <w:rsid w:val="000E5A91"/>
    <w:rsid w:val="000E5B47"/>
    <w:rsid w:val="000E5D38"/>
    <w:rsid w:val="000E5ECE"/>
    <w:rsid w:val="000E5F8E"/>
    <w:rsid w:val="000E5FBF"/>
    <w:rsid w:val="000E60F0"/>
    <w:rsid w:val="000E6173"/>
    <w:rsid w:val="000E633F"/>
    <w:rsid w:val="000E66A0"/>
    <w:rsid w:val="000E6800"/>
    <w:rsid w:val="000E6866"/>
    <w:rsid w:val="000E6A10"/>
    <w:rsid w:val="000E6A1C"/>
    <w:rsid w:val="000E6A72"/>
    <w:rsid w:val="000E6AAA"/>
    <w:rsid w:val="000E6BEB"/>
    <w:rsid w:val="000E6C6D"/>
    <w:rsid w:val="000E6D38"/>
    <w:rsid w:val="000E6D50"/>
    <w:rsid w:val="000E6D79"/>
    <w:rsid w:val="000E6DB4"/>
    <w:rsid w:val="000E6ED0"/>
    <w:rsid w:val="000E6F0E"/>
    <w:rsid w:val="000E7092"/>
    <w:rsid w:val="000E70CE"/>
    <w:rsid w:val="000E711A"/>
    <w:rsid w:val="000E73C9"/>
    <w:rsid w:val="000E73DA"/>
    <w:rsid w:val="000E7458"/>
    <w:rsid w:val="000E755F"/>
    <w:rsid w:val="000E75E9"/>
    <w:rsid w:val="000E7619"/>
    <w:rsid w:val="000E76B7"/>
    <w:rsid w:val="000E77D9"/>
    <w:rsid w:val="000E780D"/>
    <w:rsid w:val="000E7948"/>
    <w:rsid w:val="000E79E8"/>
    <w:rsid w:val="000E7A4B"/>
    <w:rsid w:val="000E7AB0"/>
    <w:rsid w:val="000E7AF0"/>
    <w:rsid w:val="000E7C0C"/>
    <w:rsid w:val="000E7D68"/>
    <w:rsid w:val="000E7E67"/>
    <w:rsid w:val="000E7E93"/>
    <w:rsid w:val="000E7EDB"/>
    <w:rsid w:val="000E7F87"/>
    <w:rsid w:val="000F00CB"/>
    <w:rsid w:val="000F0118"/>
    <w:rsid w:val="000F012E"/>
    <w:rsid w:val="000F017A"/>
    <w:rsid w:val="000F0372"/>
    <w:rsid w:val="000F0599"/>
    <w:rsid w:val="000F05F3"/>
    <w:rsid w:val="000F061C"/>
    <w:rsid w:val="000F061F"/>
    <w:rsid w:val="000F06CC"/>
    <w:rsid w:val="000F06F7"/>
    <w:rsid w:val="000F07B2"/>
    <w:rsid w:val="000F07CA"/>
    <w:rsid w:val="000F0828"/>
    <w:rsid w:val="000F0851"/>
    <w:rsid w:val="000F0884"/>
    <w:rsid w:val="000F08CD"/>
    <w:rsid w:val="000F0960"/>
    <w:rsid w:val="000F09AE"/>
    <w:rsid w:val="000F0C98"/>
    <w:rsid w:val="000F0CAB"/>
    <w:rsid w:val="000F0E2B"/>
    <w:rsid w:val="000F0F82"/>
    <w:rsid w:val="000F0FC6"/>
    <w:rsid w:val="000F1320"/>
    <w:rsid w:val="000F1388"/>
    <w:rsid w:val="000F1450"/>
    <w:rsid w:val="000F145E"/>
    <w:rsid w:val="000F1539"/>
    <w:rsid w:val="000F15A8"/>
    <w:rsid w:val="000F1636"/>
    <w:rsid w:val="000F163C"/>
    <w:rsid w:val="000F163D"/>
    <w:rsid w:val="000F1643"/>
    <w:rsid w:val="000F1699"/>
    <w:rsid w:val="000F16D1"/>
    <w:rsid w:val="000F1731"/>
    <w:rsid w:val="000F1954"/>
    <w:rsid w:val="000F1A04"/>
    <w:rsid w:val="000F1B31"/>
    <w:rsid w:val="000F1D8F"/>
    <w:rsid w:val="000F1DB6"/>
    <w:rsid w:val="000F1EBB"/>
    <w:rsid w:val="000F20D2"/>
    <w:rsid w:val="000F214E"/>
    <w:rsid w:val="000F22CE"/>
    <w:rsid w:val="000F239D"/>
    <w:rsid w:val="000F2529"/>
    <w:rsid w:val="000F2699"/>
    <w:rsid w:val="000F26FD"/>
    <w:rsid w:val="000F2781"/>
    <w:rsid w:val="000F28DE"/>
    <w:rsid w:val="000F2918"/>
    <w:rsid w:val="000F2961"/>
    <w:rsid w:val="000F2A73"/>
    <w:rsid w:val="000F2A8F"/>
    <w:rsid w:val="000F2AD6"/>
    <w:rsid w:val="000F2BE1"/>
    <w:rsid w:val="000F2C11"/>
    <w:rsid w:val="000F2C47"/>
    <w:rsid w:val="000F2D4E"/>
    <w:rsid w:val="000F2DB0"/>
    <w:rsid w:val="000F2E21"/>
    <w:rsid w:val="000F2F38"/>
    <w:rsid w:val="000F2FD0"/>
    <w:rsid w:val="000F31E9"/>
    <w:rsid w:val="000F325A"/>
    <w:rsid w:val="000F32EB"/>
    <w:rsid w:val="000F341C"/>
    <w:rsid w:val="000F345F"/>
    <w:rsid w:val="000F3550"/>
    <w:rsid w:val="000F3748"/>
    <w:rsid w:val="000F37C8"/>
    <w:rsid w:val="000F38DF"/>
    <w:rsid w:val="000F3914"/>
    <w:rsid w:val="000F3920"/>
    <w:rsid w:val="000F3928"/>
    <w:rsid w:val="000F399B"/>
    <w:rsid w:val="000F39C0"/>
    <w:rsid w:val="000F3A4C"/>
    <w:rsid w:val="000F3B00"/>
    <w:rsid w:val="000F3B2D"/>
    <w:rsid w:val="000F3C82"/>
    <w:rsid w:val="000F3D12"/>
    <w:rsid w:val="000F3DBA"/>
    <w:rsid w:val="000F3DC5"/>
    <w:rsid w:val="000F3DCA"/>
    <w:rsid w:val="000F3FD2"/>
    <w:rsid w:val="000F4047"/>
    <w:rsid w:val="000F4096"/>
    <w:rsid w:val="000F40DA"/>
    <w:rsid w:val="000F4190"/>
    <w:rsid w:val="000F423E"/>
    <w:rsid w:val="000F4272"/>
    <w:rsid w:val="000F428A"/>
    <w:rsid w:val="000F42F5"/>
    <w:rsid w:val="000F44AB"/>
    <w:rsid w:val="000F45E2"/>
    <w:rsid w:val="000F466C"/>
    <w:rsid w:val="000F46DF"/>
    <w:rsid w:val="000F47F9"/>
    <w:rsid w:val="000F483B"/>
    <w:rsid w:val="000F4976"/>
    <w:rsid w:val="000F4AA0"/>
    <w:rsid w:val="000F4B18"/>
    <w:rsid w:val="000F4C0F"/>
    <w:rsid w:val="000F4CFC"/>
    <w:rsid w:val="000F4D41"/>
    <w:rsid w:val="000F4D79"/>
    <w:rsid w:val="000F4E41"/>
    <w:rsid w:val="000F5015"/>
    <w:rsid w:val="000F509D"/>
    <w:rsid w:val="000F5311"/>
    <w:rsid w:val="000F53C8"/>
    <w:rsid w:val="000F558E"/>
    <w:rsid w:val="000F5659"/>
    <w:rsid w:val="000F57B5"/>
    <w:rsid w:val="000F5839"/>
    <w:rsid w:val="000F589A"/>
    <w:rsid w:val="000F58B0"/>
    <w:rsid w:val="000F5A52"/>
    <w:rsid w:val="000F5C63"/>
    <w:rsid w:val="000F5D88"/>
    <w:rsid w:val="000F5E3D"/>
    <w:rsid w:val="000F5EF8"/>
    <w:rsid w:val="000F5F01"/>
    <w:rsid w:val="000F5F92"/>
    <w:rsid w:val="000F6106"/>
    <w:rsid w:val="000F614E"/>
    <w:rsid w:val="000F6199"/>
    <w:rsid w:val="000F63ED"/>
    <w:rsid w:val="000F6571"/>
    <w:rsid w:val="000F659C"/>
    <w:rsid w:val="000F6665"/>
    <w:rsid w:val="000F6714"/>
    <w:rsid w:val="000F6750"/>
    <w:rsid w:val="000F680D"/>
    <w:rsid w:val="000F6960"/>
    <w:rsid w:val="000F69F7"/>
    <w:rsid w:val="000F6AAD"/>
    <w:rsid w:val="000F6AF3"/>
    <w:rsid w:val="000F6B11"/>
    <w:rsid w:val="000F6C0D"/>
    <w:rsid w:val="000F6C18"/>
    <w:rsid w:val="000F6D67"/>
    <w:rsid w:val="000F6D6E"/>
    <w:rsid w:val="000F6DFF"/>
    <w:rsid w:val="000F6F12"/>
    <w:rsid w:val="000F7024"/>
    <w:rsid w:val="000F70C0"/>
    <w:rsid w:val="000F70CC"/>
    <w:rsid w:val="000F72D3"/>
    <w:rsid w:val="000F747D"/>
    <w:rsid w:val="000F7547"/>
    <w:rsid w:val="000F754B"/>
    <w:rsid w:val="000F7633"/>
    <w:rsid w:val="000F775A"/>
    <w:rsid w:val="000F792F"/>
    <w:rsid w:val="000F7948"/>
    <w:rsid w:val="000F7B64"/>
    <w:rsid w:val="000F7BC7"/>
    <w:rsid w:val="000F7CDC"/>
    <w:rsid w:val="000F7D4E"/>
    <w:rsid w:val="000F7DE3"/>
    <w:rsid w:val="000F7FD3"/>
    <w:rsid w:val="001000E5"/>
    <w:rsid w:val="0010013A"/>
    <w:rsid w:val="00100199"/>
    <w:rsid w:val="0010047B"/>
    <w:rsid w:val="001004A0"/>
    <w:rsid w:val="001004A9"/>
    <w:rsid w:val="001004D5"/>
    <w:rsid w:val="001005C5"/>
    <w:rsid w:val="001006D2"/>
    <w:rsid w:val="0010072B"/>
    <w:rsid w:val="00100875"/>
    <w:rsid w:val="00100962"/>
    <w:rsid w:val="00100988"/>
    <w:rsid w:val="00100A3B"/>
    <w:rsid w:val="00100B5C"/>
    <w:rsid w:val="00100E01"/>
    <w:rsid w:val="00100E23"/>
    <w:rsid w:val="00100F2B"/>
    <w:rsid w:val="00101047"/>
    <w:rsid w:val="0010115B"/>
    <w:rsid w:val="001011B1"/>
    <w:rsid w:val="00101213"/>
    <w:rsid w:val="00101214"/>
    <w:rsid w:val="0010128B"/>
    <w:rsid w:val="00101325"/>
    <w:rsid w:val="001013E1"/>
    <w:rsid w:val="001015AF"/>
    <w:rsid w:val="001015BD"/>
    <w:rsid w:val="001015C9"/>
    <w:rsid w:val="001015DE"/>
    <w:rsid w:val="00101674"/>
    <w:rsid w:val="0010169F"/>
    <w:rsid w:val="001016CE"/>
    <w:rsid w:val="00101B07"/>
    <w:rsid w:val="00101B50"/>
    <w:rsid w:val="00101BBB"/>
    <w:rsid w:val="00101BFB"/>
    <w:rsid w:val="00101CCA"/>
    <w:rsid w:val="00101CCB"/>
    <w:rsid w:val="00101CD8"/>
    <w:rsid w:val="00101FA1"/>
    <w:rsid w:val="00102030"/>
    <w:rsid w:val="00102087"/>
    <w:rsid w:val="0010209A"/>
    <w:rsid w:val="001020DA"/>
    <w:rsid w:val="00102106"/>
    <w:rsid w:val="00102258"/>
    <w:rsid w:val="00102301"/>
    <w:rsid w:val="00102484"/>
    <w:rsid w:val="00102630"/>
    <w:rsid w:val="00102697"/>
    <w:rsid w:val="001027D3"/>
    <w:rsid w:val="00102851"/>
    <w:rsid w:val="001029EE"/>
    <w:rsid w:val="00102A17"/>
    <w:rsid w:val="00102A2C"/>
    <w:rsid w:val="00102ADF"/>
    <w:rsid w:val="00102DD3"/>
    <w:rsid w:val="00102F27"/>
    <w:rsid w:val="00102F75"/>
    <w:rsid w:val="0010301A"/>
    <w:rsid w:val="0010307C"/>
    <w:rsid w:val="001031C4"/>
    <w:rsid w:val="001031F0"/>
    <w:rsid w:val="001033B4"/>
    <w:rsid w:val="00103474"/>
    <w:rsid w:val="001034A7"/>
    <w:rsid w:val="0010357B"/>
    <w:rsid w:val="001035FB"/>
    <w:rsid w:val="001037B2"/>
    <w:rsid w:val="00103851"/>
    <w:rsid w:val="00103A50"/>
    <w:rsid w:val="00103A69"/>
    <w:rsid w:val="00103B30"/>
    <w:rsid w:val="00103C20"/>
    <w:rsid w:val="00103CAC"/>
    <w:rsid w:val="00104005"/>
    <w:rsid w:val="001040D0"/>
    <w:rsid w:val="001041C2"/>
    <w:rsid w:val="0010425A"/>
    <w:rsid w:val="00104302"/>
    <w:rsid w:val="001043E6"/>
    <w:rsid w:val="00104674"/>
    <w:rsid w:val="001047EA"/>
    <w:rsid w:val="0010486C"/>
    <w:rsid w:val="00104871"/>
    <w:rsid w:val="001048DF"/>
    <w:rsid w:val="001048E5"/>
    <w:rsid w:val="00104AEB"/>
    <w:rsid w:val="00104B58"/>
    <w:rsid w:val="00104B59"/>
    <w:rsid w:val="00104C86"/>
    <w:rsid w:val="00104D02"/>
    <w:rsid w:val="00104D16"/>
    <w:rsid w:val="00104F49"/>
    <w:rsid w:val="00105005"/>
    <w:rsid w:val="001050B8"/>
    <w:rsid w:val="001050BB"/>
    <w:rsid w:val="001050DD"/>
    <w:rsid w:val="00105140"/>
    <w:rsid w:val="001051F5"/>
    <w:rsid w:val="0010529D"/>
    <w:rsid w:val="0010530B"/>
    <w:rsid w:val="00105511"/>
    <w:rsid w:val="00105535"/>
    <w:rsid w:val="0010558C"/>
    <w:rsid w:val="0010561D"/>
    <w:rsid w:val="0010566D"/>
    <w:rsid w:val="00105958"/>
    <w:rsid w:val="00105E60"/>
    <w:rsid w:val="00105F3B"/>
    <w:rsid w:val="00105F58"/>
    <w:rsid w:val="00106082"/>
    <w:rsid w:val="001060A4"/>
    <w:rsid w:val="00106209"/>
    <w:rsid w:val="00106236"/>
    <w:rsid w:val="001062D5"/>
    <w:rsid w:val="001062E0"/>
    <w:rsid w:val="0010639F"/>
    <w:rsid w:val="0010642C"/>
    <w:rsid w:val="001064DD"/>
    <w:rsid w:val="0010650A"/>
    <w:rsid w:val="001065A2"/>
    <w:rsid w:val="001065D2"/>
    <w:rsid w:val="001065FB"/>
    <w:rsid w:val="0010671F"/>
    <w:rsid w:val="00106728"/>
    <w:rsid w:val="00106AB8"/>
    <w:rsid w:val="00106AE6"/>
    <w:rsid w:val="00106C5E"/>
    <w:rsid w:val="00106E57"/>
    <w:rsid w:val="00106F52"/>
    <w:rsid w:val="0010708D"/>
    <w:rsid w:val="001071EB"/>
    <w:rsid w:val="0010730E"/>
    <w:rsid w:val="001073B9"/>
    <w:rsid w:val="00107405"/>
    <w:rsid w:val="0010741C"/>
    <w:rsid w:val="001074D3"/>
    <w:rsid w:val="00107510"/>
    <w:rsid w:val="0010752A"/>
    <w:rsid w:val="001075D1"/>
    <w:rsid w:val="0010764C"/>
    <w:rsid w:val="001076A0"/>
    <w:rsid w:val="00107726"/>
    <w:rsid w:val="0010773E"/>
    <w:rsid w:val="001077EB"/>
    <w:rsid w:val="00107808"/>
    <w:rsid w:val="00107869"/>
    <w:rsid w:val="00107980"/>
    <w:rsid w:val="00107A02"/>
    <w:rsid w:val="00107CC0"/>
    <w:rsid w:val="00107D9B"/>
    <w:rsid w:val="00107E65"/>
    <w:rsid w:val="00107F5D"/>
    <w:rsid w:val="00107FC4"/>
    <w:rsid w:val="001100AD"/>
    <w:rsid w:val="001100B8"/>
    <w:rsid w:val="00110193"/>
    <w:rsid w:val="001102BA"/>
    <w:rsid w:val="001103E4"/>
    <w:rsid w:val="00110406"/>
    <w:rsid w:val="001104D9"/>
    <w:rsid w:val="00110626"/>
    <w:rsid w:val="001106E2"/>
    <w:rsid w:val="001107DD"/>
    <w:rsid w:val="001107F8"/>
    <w:rsid w:val="00110834"/>
    <w:rsid w:val="001108D6"/>
    <w:rsid w:val="001108FB"/>
    <w:rsid w:val="00110949"/>
    <w:rsid w:val="00110963"/>
    <w:rsid w:val="00110A8C"/>
    <w:rsid w:val="00110AF6"/>
    <w:rsid w:val="00110B90"/>
    <w:rsid w:val="00110BA3"/>
    <w:rsid w:val="00110D4E"/>
    <w:rsid w:val="00110FC0"/>
    <w:rsid w:val="00111226"/>
    <w:rsid w:val="00111267"/>
    <w:rsid w:val="00111353"/>
    <w:rsid w:val="001114F8"/>
    <w:rsid w:val="00111579"/>
    <w:rsid w:val="00111645"/>
    <w:rsid w:val="00111891"/>
    <w:rsid w:val="00111926"/>
    <w:rsid w:val="00111947"/>
    <w:rsid w:val="001119BD"/>
    <w:rsid w:val="00111AA0"/>
    <w:rsid w:val="00111C0E"/>
    <w:rsid w:val="00111CD2"/>
    <w:rsid w:val="00111CD3"/>
    <w:rsid w:val="00111D1C"/>
    <w:rsid w:val="00111D22"/>
    <w:rsid w:val="00111DDE"/>
    <w:rsid w:val="00111DF3"/>
    <w:rsid w:val="00111E2C"/>
    <w:rsid w:val="00111EA0"/>
    <w:rsid w:val="00112147"/>
    <w:rsid w:val="0011246A"/>
    <w:rsid w:val="00112537"/>
    <w:rsid w:val="00112551"/>
    <w:rsid w:val="00112741"/>
    <w:rsid w:val="001127CD"/>
    <w:rsid w:val="001129FA"/>
    <w:rsid w:val="00112A0A"/>
    <w:rsid w:val="00112AD1"/>
    <w:rsid w:val="00112E0E"/>
    <w:rsid w:val="00112E62"/>
    <w:rsid w:val="00112EEA"/>
    <w:rsid w:val="00112F77"/>
    <w:rsid w:val="00112F80"/>
    <w:rsid w:val="00113124"/>
    <w:rsid w:val="001131D0"/>
    <w:rsid w:val="001132C1"/>
    <w:rsid w:val="001132DC"/>
    <w:rsid w:val="00113330"/>
    <w:rsid w:val="00113440"/>
    <w:rsid w:val="00113589"/>
    <w:rsid w:val="001137A2"/>
    <w:rsid w:val="001137F5"/>
    <w:rsid w:val="001138DF"/>
    <w:rsid w:val="001138F5"/>
    <w:rsid w:val="0011392C"/>
    <w:rsid w:val="00113967"/>
    <w:rsid w:val="0011396A"/>
    <w:rsid w:val="001139B9"/>
    <w:rsid w:val="00113B9D"/>
    <w:rsid w:val="00113CD7"/>
    <w:rsid w:val="00113F01"/>
    <w:rsid w:val="00113FDB"/>
    <w:rsid w:val="00113FEC"/>
    <w:rsid w:val="001141BF"/>
    <w:rsid w:val="00114263"/>
    <w:rsid w:val="001143A3"/>
    <w:rsid w:val="00114552"/>
    <w:rsid w:val="001145B9"/>
    <w:rsid w:val="001145D0"/>
    <w:rsid w:val="00114651"/>
    <w:rsid w:val="00114794"/>
    <w:rsid w:val="00114923"/>
    <w:rsid w:val="0011496B"/>
    <w:rsid w:val="00114A55"/>
    <w:rsid w:val="00114A90"/>
    <w:rsid w:val="00114B33"/>
    <w:rsid w:val="00114B4C"/>
    <w:rsid w:val="00114BC2"/>
    <w:rsid w:val="00114C2B"/>
    <w:rsid w:val="00114CA4"/>
    <w:rsid w:val="00114CAB"/>
    <w:rsid w:val="00114D8B"/>
    <w:rsid w:val="00114E17"/>
    <w:rsid w:val="00114E18"/>
    <w:rsid w:val="00114F69"/>
    <w:rsid w:val="00115018"/>
    <w:rsid w:val="001150A2"/>
    <w:rsid w:val="001150C2"/>
    <w:rsid w:val="0011529C"/>
    <w:rsid w:val="001152CC"/>
    <w:rsid w:val="001152FA"/>
    <w:rsid w:val="00115369"/>
    <w:rsid w:val="0011536D"/>
    <w:rsid w:val="00115462"/>
    <w:rsid w:val="001154D0"/>
    <w:rsid w:val="001154E8"/>
    <w:rsid w:val="00115896"/>
    <w:rsid w:val="001158B0"/>
    <w:rsid w:val="00115961"/>
    <w:rsid w:val="00115A3D"/>
    <w:rsid w:val="00115A60"/>
    <w:rsid w:val="00115A89"/>
    <w:rsid w:val="00115B5C"/>
    <w:rsid w:val="00115BEA"/>
    <w:rsid w:val="00115D6C"/>
    <w:rsid w:val="00115DC3"/>
    <w:rsid w:val="00115E31"/>
    <w:rsid w:val="00115FA6"/>
    <w:rsid w:val="00115FEE"/>
    <w:rsid w:val="001161A5"/>
    <w:rsid w:val="001161AF"/>
    <w:rsid w:val="001162B4"/>
    <w:rsid w:val="00116495"/>
    <w:rsid w:val="001164BE"/>
    <w:rsid w:val="00116508"/>
    <w:rsid w:val="0011682A"/>
    <w:rsid w:val="001168ED"/>
    <w:rsid w:val="00116976"/>
    <w:rsid w:val="001169ED"/>
    <w:rsid w:val="00116A2A"/>
    <w:rsid w:val="00116A4F"/>
    <w:rsid w:val="00116ACE"/>
    <w:rsid w:val="00116DD4"/>
    <w:rsid w:val="00116E25"/>
    <w:rsid w:val="00116E76"/>
    <w:rsid w:val="00116E98"/>
    <w:rsid w:val="00116ECE"/>
    <w:rsid w:val="00116ED2"/>
    <w:rsid w:val="00116F57"/>
    <w:rsid w:val="00116FAE"/>
    <w:rsid w:val="00117181"/>
    <w:rsid w:val="00117474"/>
    <w:rsid w:val="00117531"/>
    <w:rsid w:val="00117619"/>
    <w:rsid w:val="00117786"/>
    <w:rsid w:val="00117808"/>
    <w:rsid w:val="00117901"/>
    <w:rsid w:val="00117927"/>
    <w:rsid w:val="00117BA7"/>
    <w:rsid w:val="00117CB1"/>
    <w:rsid w:val="00117D6D"/>
    <w:rsid w:val="00117EF6"/>
    <w:rsid w:val="00117FF9"/>
    <w:rsid w:val="00120037"/>
    <w:rsid w:val="00120038"/>
    <w:rsid w:val="001200C0"/>
    <w:rsid w:val="00120197"/>
    <w:rsid w:val="00120200"/>
    <w:rsid w:val="0012022A"/>
    <w:rsid w:val="00120231"/>
    <w:rsid w:val="00120278"/>
    <w:rsid w:val="00120299"/>
    <w:rsid w:val="0012044A"/>
    <w:rsid w:val="0012045B"/>
    <w:rsid w:val="001204C2"/>
    <w:rsid w:val="0012054F"/>
    <w:rsid w:val="00120694"/>
    <w:rsid w:val="001206E1"/>
    <w:rsid w:val="001207B3"/>
    <w:rsid w:val="001207FB"/>
    <w:rsid w:val="0012081B"/>
    <w:rsid w:val="0012088A"/>
    <w:rsid w:val="00120B1A"/>
    <w:rsid w:val="00120B28"/>
    <w:rsid w:val="00120B50"/>
    <w:rsid w:val="00120B85"/>
    <w:rsid w:val="00120BD9"/>
    <w:rsid w:val="00120BFE"/>
    <w:rsid w:val="00120C4B"/>
    <w:rsid w:val="00120C56"/>
    <w:rsid w:val="00120EBA"/>
    <w:rsid w:val="00120F9E"/>
    <w:rsid w:val="00120FA5"/>
    <w:rsid w:val="00120FF1"/>
    <w:rsid w:val="00121067"/>
    <w:rsid w:val="0012119F"/>
    <w:rsid w:val="001212AD"/>
    <w:rsid w:val="001212D5"/>
    <w:rsid w:val="0012134E"/>
    <w:rsid w:val="00121499"/>
    <w:rsid w:val="001215F0"/>
    <w:rsid w:val="0012162C"/>
    <w:rsid w:val="001217A3"/>
    <w:rsid w:val="00121894"/>
    <w:rsid w:val="001219D4"/>
    <w:rsid w:val="00121BB7"/>
    <w:rsid w:val="00121C04"/>
    <w:rsid w:val="00121C4A"/>
    <w:rsid w:val="00121E05"/>
    <w:rsid w:val="00121E67"/>
    <w:rsid w:val="00121EA0"/>
    <w:rsid w:val="00121EB0"/>
    <w:rsid w:val="00122032"/>
    <w:rsid w:val="0012219B"/>
    <w:rsid w:val="0012222E"/>
    <w:rsid w:val="00122244"/>
    <w:rsid w:val="00122267"/>
    <w:rsid w:val="00122349"/>
    <w:rsid w:val="001223DB"/>
    <w:rsid w:val="00122451"/>
    <w:rsid w:val="0012249E"/>
    <w:rsid w:val="00122511"/>
    <w:rsid w:val="00122676"/>
    <w:rsid w:val="001226A9"/>
    <w:rsid w:val="001226D3"/>
    <w:rsid w:val="0012271F"/>
    <w:rsid w:val="00122731"/>
    <w:rsid w:val="001227CC"/>
    <w:rsid w:val="001227D7"/>
    <w:rsid w:val="0012289C"/>
    <w:rsid w:val="0012297E"/>
    <w:rsid w:val="001229CB"/>
    <w:rsid w:val="00122A09"/>
    <w:rsid w:val="00122A6F"/>
    <w:rsid w:val="00122A80"/>
    <w:rsid w:val="00122ABA"/>
    <w:rsid w:val="00122D48"/>
    <w:rsid w:val="00122E1F"/>
    <w:rsid w:val="00122E8D"/>
    <w:rsid w:val="00122FB3"/>
    <w:rsid w:val="00122FBA"/>
    <w:rsid w:val="00122FC2"/>
    <w:rsid w:val="0012301D"/>
    <w:rsid w:val="001230A9"/>
    <w:rsid w:val="0012324F"/>
    <w:rsid w:val="001232F5"/>
    <w:rsid w:val="00123307"/>
    <w:rsid w:val="0012338C"/>
    <w:rsid w:val="0012339C"/>
    <w:rsid w:val="00123474"/>
    <w:rsid w:val="001234BF"/>
    <w:rsid w:val="001234EE"/>
    <w:rsid w:val="00123531"/>
    <w:rsid w:val="00123569"/>
    <w:rsid w:val="00123589"/>
    <w:rsid w:val="001235BD"/>
    <w:rsid w:val="001235D8"/>
    <w:rsid w:val="00123690"/>
    <w:rsid w:val="0012385A"/>
    <w:rsid w:val="00123923"/>
    <w:rsid w:val="00123975"/>
    <w:rsid w:val="001239E7"/>
    <w:rsid w:val="00123A3B"/>
    <w:rsid w:val="00123AD1"/>
    <w:rsid w:val="00123AF5"/>
    <w:rsid w:val="00123B27"/>
    <w:rsid w:val="00123B71"/>
    <w:rsid w:val="00123C6B"/>
    <w:rsid w:val="00123CA6"/>
    <w:rsid w:val="00123CC2"/>
    <w:rsid w:val="00123CE9"/>
    <w:rsid w:val="00123D3C"/>
    <w:rsid w:val="00123F25"/>
    <w:rsid w:val="00123F8E"/>
    <w:rsid w:val="00123FB8"/>
    <w:rsid w:val="001240E8"/>
    <w:rsid w:val="0012417A"/>
    <w:rsid w:val="0012417D"/>
    <w:rsid w:val="00124229"/>
    <w:rsid w:val="0012431A"/>
    <w:rsid w:val="0012434F"/>
    <w:rsid w:val="0012449B"/>
    <w:rsid w:val="001244A0"/>
    <w:rsid w:val="001244D3"/>
    <w:rsid w:val="001244D6"/>
    <w:rsid w:val="001245D4"/>
    <w:rsid w:val="001245F6"/>
    <w:rsid w:val="00124659"/>
    <w:rsid w:val="001246A2"/>
    <w:rsid w:val="00124770"/>
    <w:rsid w:val="00124818"/>
    <w:rsid w:val="00124825"/>
    <w:rsid w:val="0012484C"/>
    <w:rsid w:val="0012492D"/>
    <w:rsid w:val="001249C3"/>
    <w:rsid w:val="001249CA"/>
    <w:rsid w:val="00124A9C"/>
    <w:rsid w:val="00124B02"/>
    <w:rsid w:val="00124C42"/>
    <w:rsid w:val="00124CA5"/>
    <w:rsid w:val="00124D3F"/>
    <w:rsid w:val="00124E63"/>
    <w:rsid w:val="00124F25"/>
    <w:rsid w:val="00124F3B"/>
    <w:rsid w:val="0012501E"/>
    <w:rsid w:val="00125080"/>
    <w:rsid w:val="00125111"/>
    <w:rsid w:val="00125195"/>
    <w:rsid w:val="001252BA"/>
    <w:rsid w:val="00125352"/>
    <w:rsid w:val="0012535F"/>
    <w:rsid w:val="00125364"/>
    <w:rsid w:val="001253A7"/>
    <w:rsid w:val="001253E5"/>
    <w:rsid w:val="00125474"/>
    <w:rsid w:val="001254B5"/>
    <w:rsid w:val="00125551"/>
    <w:rsid w:val="0012569C"/>
    <w:rsid w:val="0012577A"/>
    <w:rsid w:val="0012581E"/>
    <w:rsid w:val="0012585B"/>
    <w:rsid w:val="00125957"/>
    <w:rsid w:val="00125BB2"/>
    <w:rsid w:val="00125C8F"/>
    <w:rsid w:val="00125EED"/>
    <w:rsid w:val="00125FE3"/>
    <w:rsid w:val="0012605F"/>
    <w:rsid w:val="00126197"/>
    <w:rsid w:val="001261DA"/>
    <w:rsid w:val="001261F1"/>
    <w:rsid w:val="001261FF"/>
    <w:rsid w:val="00126290"/>
    <w:rsid w:val="001264BA"/>
    <w:rsid w:val="00126502"/>
    <w:rsid w:val="00126546"/>
    <w:rsid w:val="001265B3"/>
    <w:rsid w:val="0012667E"/>
    <w:rsid w:val="001268EC"/>
    <w:rsid w:val="00126B4D"/>
    <w:rsid w:val="00126BAE"/>
    <w:rsid w:val="00126C61"/>
    <w:rsid w:val="00126D75"/>
    <w:rsid w:val="00126D8B"/>
    <w:rsid w:val="00126E02"/>
    <w:rsid w:val="00126F92"/>
    <w:rsid w:val="00126FB9"/>
    <w:rsid w:val="00127022"/>
    <w:rsid w:val="001270D9"/>
    <w:rsid w:val="001271CC"/>
    <w:rsid w:val="00127254"/>
    <w:rsid w:val="00127403"/>
    <w:rsid w:val="0012745A"/>
    <w:rsid w:val="001274FD"/>
    <w:rsid w:val="0012752A"/>
    <w:rsid w:val="0012756B"/>
    <w:rsid w:val="001275A4"/>
    <w:rsid w:val="001275FD"/>
    <w:rsid w:val="00127608"/>
    <w:rsid w:val="001278B6"/>
    <w:rsid w:val="00127A40"/>
    <w:rsid w:val="00127AD0"/>
    <w:rsid w:val="00127AD3"/>
    <w:rsid w:val="00127BA0"/>
    <w:rsid w:val="00127BAB"/>
    <w:rsid w:val="00127BE5"/>
    <w:rsid w:val="00127BEC"/>
    <w:rsid w:val="00127CD1"/>
    <w:rsid w:val="00127E4B"/>
    <w:rsid w:val="00127F93"/>
    <w:rsid w:val="001301F3"/>
    <w:rsid w:val="00130207"/>
    <w:rsid w:val="0013020B"/>
    <w:rsid w:val="00130357"/>
    <w:rsid w:val="0013046C"/>
    <w:rsid w:val="00130511"/>
    <w:rsid w:val="00130580"/>
    <w:rsid w:val="00130610"/>
    <w:rsid w:val="00130702"/>
    <w:rsid w:val="001307F4"/>
    <w:rsid w:val="00130828"/>
    <w:rsid w:val="001308CE"/>
    <w:rsid w:val="0013098F"/>
    <w:rsid w:val="001309B3"/>
    <w:rsid w:val="001309CC"/>
    <w:rsid w:val="00130A33"/>
    <w:rsid w:val="00130ADB"/>
    <w:rsid w:val="00130D7D"/>
    <w:rsid w:val="00130DC5"/>
    <w:rsid w:val="00130F00"/>
    <w:rsid w:val="00130F5F"/>
    <w:rsid w:val="0013127A"/>
    <w:rsid w:val="00131422"/>
    <w:rsid w:val="001314D6"/>
    <w:rsid w:val="00131518"/>
    <w:rsid w:val="00131888"/>
    <w:rsid w:val="00131898"/>
    <w:rsid w:val="001318D1"/>
    <w:rsid w:val="0013190E"/>
    <w:rsid w:val="001319BD"/>
    <w:rsid w:val="00131A22"/>
    <w:rsid w:val="00131ADD"/>
    <w:rsid w:val="00131B1F"/>
    <w:rsid w:val="00131C73"/>
    <w:rsid w:val="00131E61"/>
    <w:rsid w:val="00131E6E"/>
    <w:rsid w:val="00131ECA"/>
    <w:rsid w:val="00131F28"/>
    <w:rsid w:val="001320E1"/>
    <w:rsid w:val="00132107"/>
    <w:rsid w:val="001322EF"/>
    <w:rsid w:val="00132391"/>
    <w:rsid w:val="001323EF"/>
    <w:rsid w:val="001323FE"/>
    <w:rsid w:val="0013251F"/>
    <w:rsid w:val="00132555"/>
    <w:rsid w:val="00132594"/>
    <w:rsid w:val="001325E2"/>
    <w:rsid w:val="0013260D"/>
    <w:rsid w:val="00132771"/>
    <w:rsid w:val="001328AB"/>
    <w:rsid w:val="001328E7"/>
    <w:rsid w:val="00132A61"/>
    <w:rsid w:val="00132D10"/>
    <w:rsid w:val="00132D2B"/>
    <w:rsid w:val="00132D66"/>
    <w:rsid w:val="00132D67"/>
    <w:rsid w:val="00132F35"/>
    <w:rsid w:val="00132F6E"/>
    <w:rsid w:val="00132FD2"/>
    <w:rsid w:val="001330A0"/>
    <w:rsid w:val="001330DC"/>
    <w:rsid w:val="00133101"/>
    <w:rsid w:val="0013317F"/>
    <w:rsid w:val="00133247"/>
    <w:rsid w:val="00133460"/>
    <w:rsid w:val="001335CB"/>
    <w:rsid w:val="0013364C"/>
    <w:rsid w:val="0013364F"/>
    <w:rsid w:val="001336A7"/>
    <w:rsid w:val="00133759"/>
    <w:rsid w:val="00133893"/>
    <w:rsid w:val="001338A4"/>
    <w:rsid w:val="00133940"/>
    <w:rsid w:val="001339D5"/>
    <w:rsid w:val="001339ED"/>
    <w:rsid w:val="00133B97"/>
    <w:rsid w:val="00133C94"/>
    <w:rsid w:val="00133D8D"/>
    <w:rsid w:val="00133EED"/>
    <w:rsid w:val="00133F8C"/>
    <w:rsid w:val="00133FB1"/>
    <w:rsid w:val="001340E7"/>
    <w:rsid w:val="0013434E"/>
    <w:rsid w:val="001343CA"/>
    <w:rsid w:val="00134424"/>
    <w:rsid w:val="0013449F"/>
    <w:rsid w:val="0013452F"/>
    <w:rsid w:val="00134720"/>
    <w:rsid w:val="00134750"/>
    <w:rsid w:val="0013475B"/>
    <w:rsid w:val="001347D2"/>
    <w:rsid w:val="0013487E"/>
    <w:rsid w:val="00134928"/>
    <w:rsid w:val="00134A47"/>
    <w:rsid w:val="00134F64"/>
    <w:rsid w:val="00134FE3"/>
    <w:rsid w:val="00135119"/>
    <w:rsid w:val="00135145"/>
    <w:rsid w:val="00135195"/>
    <w:rsid w:val="00135428"/>
    <w:rsid w:val="0013548F"/>
    <w:rsid w:val="00135558"/>
    <w:rsid w:val="00135774"/>
    <w:rsid w:val="001357BA"/>
    <w:rsid w:val="001357C7"/>
    <w:rsid w:val="001357DD"/>
    <w:rsid w:val="00135925"/>
    <w:rsid w:val="0013592E"/>
    <w:rsid w:val="00135963"/>
    <w:rsid w:val="00135C92"/>
    <w:rsid w:val="00135DD1"/>
    <w:rsid w:val="00135EAA"/>
    <w:rsid w:val="00136142"/>
    <w:rsid w:val="001362A2"/>
    <w:rsid w:val="00136484"/>
    <w:rsid w:val="0013649A"/>
    <w:rsid w:val="0013653E"/>
    <w:rsid w:val="00136766"/>
    <w:rsid w:val="0013680E"/>
    <w:rsid w:val="0013683C"/>
    <w:rsid w:val="00136917"/>
    <w:rsid w:val="00136987"/>
    <w:rsid w:val="00136A7D"/>
    <w:rsid w:val="00136B01"/>
    <w:rsid w:val="00136B56"/>
    <w:rsid w:val="00136CDA"/>
    <w:rsid w:val="00136D85"/>
    <w:rsid w:val="00136D9C"/>
    <w:rsid w:val="00136FA9"/>
    <w:rsid w:val="001370B8"/>
    <w:rsid w:val="0013711A"/>
    <w:rsid w:val="00137151"/>
    <w:rsid w:val="0013718E"/>
    <w:rsid w:val="001372C1"/>
    <w:rsid w:val="001372CA"/>
    <w:rsid w:val="001372D7"/>
    <w:rsid w:val="00137333"/>
    <w:rsid w:val="0013742B"/>
    <w:rsid w:val="001374EC"/>
    <w:rsid w:val="001375C1"/>
    <w:rsid w:val="001375D6"/>
    <w:rsid w:val="00137635"/>
    <w:rsid w:val="00137656"/>
    <w:rsid w:val="00137690"/>
    <w:rsid w:val="00137844"/>
    <w:rsid w:val="001378AD"/>
    <w:rsid w:val="001379F3"/>
    <w:rsid w:val="00137B51"/>
    <w:rsid w:val="00137B88"/>
    <w:rsid w:val="00137BDA"/>
    <w:rsid w:val="00137CF7"/>
    <w:rsid w:val="00137CFB"/>
    <w:rsid w:val="00137E02"/>
    <w:rsid w:val="00137EA9"/>
    <w:rsid w:val="00137FCF"/>
    <w:rsid w:val="00137FD4"/>
    <w:rsid w:val="00140073"/>
    <w:rsid w:val="00140201"/>
    <w:rsid w:val="001402AD"/>
    <w:rsid w:val="001402F7"/>
    <w:rsid w:val="0014034A"/>
    <w:rsid w:val="00140537"/>
    <w:rsid w:val="0014084F"/>
    <w:rsid w:val="00140A65"/>
    <w:rsid w:val="00140AB3"/>
    <w:rsid w:val="00140B1E"/>
    <w:rsid w:val="00140BA0"/>
    <w:rsid w:val="00140D56"/>
    <w:rsid w:val="00140E69"/>
    <w:rsid w:val="00140EBD"/>
    <w:rsid w:val="001410CF"/>
    <w:rsid w:val="001410DD"/>
    <w:rsid w:val="001413D6"/>
    <w:rsid w:val="001415F5"/>
    <w:rsid w:val="0014163C"/>
    <w:rsid w:val="00141790"/>
    <w:rsid w:val="0014195F"/>
    <w:rsid w:val="001419FB"/>
    <w:rsid w:val="00141A25"/>
    <w:rsid w:val="00141A52"/>
    <w:rsid w:val="00141A6C"/>
    <w:rsid w:val="00141B07"/>
    <w:rsid w:val="00141B80"/>
    <w:rsid w:val="00141C0F"/>
    <w:rsid w:val="00141C13"/>
    <w:rsid w:val="00141C19"/>
    <w:rsid w:val="00141CA9"/>
    <w:rsid w:val="00141D00"/>
    <w:rsid w:val="00141D72"/>
    <w:rsid w:val="00141E53"/>
    <w:rsid w:val="00141FCF"/>
    <w:rsid w:val="00142194"/>
    <w:rsid w:val="001421F1"/>
    <w:rsid w:val="00142280"/>
    <w:rsid w:val="00142285"/>
    <w:rsid w:val="00142346"/>
    <w:rsid w:val="001423FA"/>
    <w:rsid w:val="00142464"/>
    <w:rsid w:val="001424B3"/>
    <w:rsid w:val="001424D0"/>
    <w:rsid w:val="001425D1"/>
    <w:rsid w:val="00142659"/>
    <w:rsid w:val="00142731"/>
    <w:rsid w:val="0014274A"/>
    <w:rsid w:val="00142758"/>
    <w:rsid w:val="001427FD"/>
    <w:rsid w:val="0014282D"/>
    <w:rsid w:val="001428B3"/>
    <w:rsid w:val="0014291A"/>
    <w:rsid w:val="00142968"/>
    <w:rsid w:val="00142A3F"/>
    <w:rsid w:val="00142AF1"/>
    <w:rsid w:val="00142B53"/>
    <w:rsid w:val="00142B8C"/>
    <w:rsid w:val="00142CB3"/>
    <w:rsid w:val="00142D98"/>
    <w:rsid w:val="00142DDF"/>
    <w:rsid w:val="00142DE1"/>
    <w:rsid w:val="00142FD0"/>
    <w:rsid w:val="001432C2"/>
    <w:rsid w:val="001432F1"/>
    <w:rsid w:val="00143474"/>
    <w:rsid w:val="0014357D"/>
    <w:rsid w:val="00143691"/>
    <w:rsid w:val="001437E8"/>
    <w:rsid w:val="00143875"/>
    <w:rsid w:val="0014389A"/>
    <w:rsid w:val="001438A2"/>
    <w:rsid w:val="001439AC"/>
    <w:rsid w:val="001439FA"/>
    <w:rsid w:val="00143ABC"/>
    <w:rsid w:val="00143ADE"/>
    <w:rsid w:val="00143C07"/>
    <w:rsid w:val="00143C5C"/>
    <w:rsid w:val="00143D01"/>
    <w:rsid w:val="00143D2A"/>
    <w:rsid w:val="00143D68"/>
    <w:rsid w:val="00143E29"/>
    <w:rsid w:val="00143E9A"/>
    <w:rsid w:val="00143F13"/>
    <w:rsid w:val="00143FE0"/>
    <w:rsid w:val="001440FB"/>
    <w:rsid w:val="00144118"/>
    <w:rsid w:val="0014412B"/>
    <w:rsid w:val="00144176"/>
    <w:rsid w:val="00144213"/>
    <w:rsid w:val="001442D2"/>
    <w:rsid w:val="00144371"/>
    <w:rsid w:val="0014438C"/>
    <w:rsid w:val="001443EB"/>
    <w:rsid w:val="00144419"/>
    <w:rsid w:val="001445FA"/>
    <w:rsid w:val="00144632"/>
    <w:rsid w:val="00144709"/>
    <w:rsid w:val="0014483A"/>
    <w:rsid w:val="00144911"/>
    <w:rsid w:val="00144AED"/>
    <w:rsid w:val="00144AFF"/>
    <w:rsid w:val="00144BB9"/>
    <w:rsid w:val="00144CE0"/>
    <w:rsid w:val="00144CFF"/>
    <w:rsid w:val="00144D27"/>
    <w:rsid w:val="00144D37"/>
    <w:rsid w:val="00144D96"/>
    <w:rsid w:val="00145189"/>
    <w:rsid w:val="0014525D"/>
    <w:rsid w:val="0014549C"/>
    <w:rsid w:val="0014553A"/>
    <w:rsid w:val="0014556C"/>
    <w:rsid w:val="00145623"/>
    <w:rsid w:val="001457B2"/>
    <w:rsid w:val="001458B3"/>
    <w:rsid w:val="001459BD"/>
    <w:rsid w:val="00145ADE"/>
    <w:rsid w:val="00145C94"/>
    <w:rsid w:val="00145D56"/>
    <w:rsid w:val="00145D7B"/>
    <w:rsid w:val="00145E54"/>
    <w:rsid w:val="00145F3B"/>
    <w:rsid w:val="00145F9B"/>
    <w:rsid w:val="00145FEB"/>
    <w:rsid w:val="001460D0"/>
    <w:rsid w:val="0014611A"/>
    <w:rsid w:val="00146134"/>
    <w:rsid w:val="0014617A"/>
    <w:rsid w:val="00146314"/>
    <w:rsid w:val="00146456"/>
    <w:rsid w:val="00146693"/>
    <w:rsid w:val="001466B7"/>
    <w:rsid w:val="001466EF"/>
    <w:rsid w:val="001469A2"/>
    <w:rsid w:val="00146AC1"/>
    <w:rsid w:val="00146DDD"/>
    <w:rsid w:val="00146E2A"/>
    <w:rsid w:val="00146F67"/>
    <w:rsid w:val="00146FCC"/>
    <w:rsid w:val="0014702A"/>
    <w:rsid w:val="00147081"/>
    <w:rsid w:val="001470F9"/>
    <w:rsid w:val="0014711F"/>
    <w:rsid w:val="001471E5"/>
    <w:rsid w:val="001471EE"/>
    <w:rsid w:val="00147307"/>
    <w:rsid w:val="00147310"/>
    <w:rsid w:val="001475D3"/>
    <w:rsid w:val="001475DA"/>
    <w:rsid w:val="0014767B"/>
    <w:rsid w:val="0014769C"/>
    <w:rsid w:val="0014769F"/>
    <w:rsid w:val="001477BF"/>
    <w:rsid w:val="001478EC"/>
    <w:rsid w:val="00147A76"/>
    <w:rsid w:val="00147A85"/>
    <w:rsid w:val="00147B2A"/>
    <w:rsid w:val="00147C98"/>
    <w:rsid w:val="00147D39"/>
    <w:rsid w:val="00147E7D"/>
    <w:rsid w:val="00150084"/>
    <w:rsid w:val="00150148"/>
    <w:rsid w:val="001501B9"/>
    <w:rsid w:val="00150309"/>
    <w:rsid w:val="001503B0"/>
    <w:rsid w:val="001504BC"/>
    <w:rsid w:val="00150536"/>
    <w:rsid w:val="00150582"/>
    <w:rsid w:val="001506D0"/>
    <w:rsid w:val="001506E9"/>
    <w:rsid w:val="0015078C"/>
    <w:rsid w:val="0015095F"/>
    <w:rsid w:val="001509B3"/>
    <w:rsid w:val="00150A80"/>
    <w:rsid w:val="00150BAB"/>
    <w:rsid w:val="00150D09"/>
    <w:rsid w:val="00150D6E"/>
    <w:rsid w:val="00150E40"/>
    <w:rsid w:val="00150E51"/>
    <w:rsid w:val="00150EA5"/>
    <w:rsid w:val="00150F1B"/>
    <w:rsid w:val="0015105C"/>
    <w:rsid w:val="0015108E"/>
    <w:rsid w:val="0015117E"/>
    <w:rsid w:val="001511D1"/>
    <w:rsid w:val="001512A6"/>
    <w:rsid w:val="001512AA"/>
    <w:rsid w:val="00151327"/>
    <w:rsid w:val="0015154E"/>
    <w:rsid w:val="0015155C"/>
    <w:rsid w:val="0015158E"/>
    <w:rsid w:val="00151591"/>
    <w:rsid w:val="001515A0"/>
    <w:rsid w:val="001515A9"/>
    <w:rsid w:val="00151628"/>
    <w:rsid w:val="00151656"/>
    <w:rsid w:val="00151813"/>
    <w:rsid w:val="00151867"/>
    <w:rsid w:val="0015193B"/>
    <w:rsid w:val="001519A6"/>
    <w:rsid w:val="001519C7"/>
    <w:rsid w:val="00151AB4"/>
    <w:rsid w:val="00151D8D"/>
    <w:rsid w:val="00151E37"/>
    <w:rsid w:val="00151E8F"/>
    <w:rsid w:val="00151FEE"/>
    <w:rsid w:val="0015208E"/>
    <w:rsid w:val="001520F9"/>
    <w:rsid w:val="001521D8"/>
    <w:rsid w:val="00152216"/>
    <w:rsid w:val="001523B5"/>
    <w:rsid w:val="00152419"/>
    <w:rsid w:val="00152438"/>
    <w:rsid w:val="00152576"/>
    <w:rsid w:val="0015274D"/>
    <w:rsid w:val="00152818"/>
    <w:rsid w:val="001528AB"/>
    <w:rsid w:val="00152A79"/>
    <w:rsid w:val="00152AAB"/>
    <w:rsid w:val="00152AE8"/>
    <w:rsid w:val="00152B9E"/>
    <w:rsid w:val="00152BF4"/>
    <w:rsid w:val="00152CB1"/>
    <w:rsid w:val="00152D42"/>
    <w:rsid w:val="00152D69"/>
    <w:rsid w:val="00152E05"/>
    <w:rsid w:val="00152E43"/>
    <w:rsid w:val="00152E8F"/>
    <w:rsid w:val="00152EF3"/>
    <w:rsid w:val="001530C9"/>
    <w:rsid w:val="00153148"/>
    <w:rsid w:val="001533AA"/>
    <w:rsid w:val="00153469"/>
    <w:rsid w:val="001534BD"/>
    <w:rsid w:val="0015354D"/>
    <w:rsid w:val="0015356C"/>
    <w:rsid w:val="00153632"/>
    <w:rsid w:val="0015368D"/>
    <w:rsid w:val="001536F5"/>
    <w:rsid w:val="0015370F"/>
    <w:rsid w:val="0015371D"/>
    <w:rsid w:val="001537AF"/>
    <w:rsid w:val="00153822"/>
    <w:rsid w:val="001538DC"/>
    <w:rsid w:val="00153941"/>
    <w:rsid w:val="00153A02"/>
    <w:rsid w:val="00153A1B"/>
    <w:rsid w:val="00153CDC"/>
    <w:rsid w:val="00153D89"/>
    <w:rsid w:val="00153E0F"/>
    <w:rsid w:val="00153EF9"/>
    <w:rsid w:val="00153F4A"/>
    <w:rsid w:val="00154173"/>
    <w:rsid w:val="00154424"/>
    <w:rsid w:val="0015477A"/>
    <w:rsid w:val="00154884"/>
    <w:rsid w:val="001548BA"/>
    <w:rsid w:val="001548EE"/>
    <w:rsid w:val="0015490A"/>
    <w:rsid w:val="00154957"/>
    <w:rsid w:val="00154A2F"/>
    <w:rsid w:val="00154A84"/>
    <w:rsid w:val="00154AFA"/>
    <w:rsid w:val="00154B35"/>
    <w:rsid w:val="00154C26"/>
    <w:rsid w:val="00154C3B"/>
    <w:rsid w:val="00154C72"/>
    <w:rsid w:val="00154E58"/>
    <w:rsid w:val="00154F32"/>
    <w:rsid w:val="00155055"/>
    <w:rsid w:val="001550AD"/>
    <w:rsid w:val="0015516C"/>
    <w:rsid w:val="001552D5"/>
    <w:rsid w:val="001554DC"/>
    <w:rsid w:val="0015553F"/>
    <w:rsid w:val="00155554"/>
    <w:rsid w:val="001556FC"/>
    <w:rsid w:val="0015570F"/>
    <w:rsid w:val="00155749"/>
    <w:rsid w:val="0015574F"/>
    <w:rsid w:val="00155772"/>
    <w:rsid w:val="001557CB"/>
    <w:rsid w:val="00155809"/>
    <w:rsid w:val="001559A8"/>
    <w:rsid w:val="001559EB"/>
    <w:rsid w:val="00155A2A"/>
    <w:rsid w:val="00155AA7"/>
    <w:rsid w:val="00155C0A"/>
    <w:rsid w:val="00155C36"/>
    <w:rsid w:val="00155C92"/>
    <w:rsid w:val="00155CAE"/>
    <w:rsid w:val="00155CC6"/>
    <w:rsid w:val="00155E71"/>
    <w:rsid w:val="00155F43"/>
    <w:rsid w:val="00156359"/>
    <w:rsid w:val="0015647F"/>
    <w:rsid w:val="00156482"/>
    <w:rsid w:val="00156634"/>
    <w:rsid w:val="001567DF"/>
    <w:rsid w:val="001567FD"/>
    <w:rsid w:val="00156846"/>
    <w:rsid w:val="001568EE"/>
    <w:rsid w:val="001568F9"/>
    <w:rsid w:val="00156902"/>
    <w:rsid w:val="00156950"/>
    <w:rsid w:val="00156B41"/>
    <w:rsid w:val="00156C23"/>
    <w:rsid w:val="00156C3D"/>
    <w:rsid w:val="00156C9E"/>
    <w:rsid w:val="00156D87"/>
    <w:rsid w:val="00156DFB"/>
    <w:rsid w:val="00156E2F"/>
    <w:rsid w:val="00156E67"/>
    <w:rsid w:val="00156EA8"/>
    <w:rsid w:val="00156EF1"/>
    <w:rsid w:val="001570AC"/>
    <w:rsid w:val="0015720E"/>
    <w:rsid w:val="00157444"/>
    <w:rsid w:val="00157473"/>
    <w:rsid w:val="001574A0"/>
    <w:rsid w:val="0015758D"/>
    <w:rsid w:val="001575E6"/>
    <w:rsid w:val="00157619"/>
    <w:rsid w:val="00157647"/>
    <w:rsid w:val="001576BD"/>
    <w:rsid w:val="0015780B"/>
    <w:rsid w:val="001579D0"/>
    <w:rsid w:val="001579F5"/>
    <w:rsid w:val="00157C72"/>
    <w:rsid w:val="00157EE3"/>
    <w:rsid w:val="00157F63"/>
    <w:rsid w:val="00157FCB"/>
    <w:rsid w:val="001600FD"/>
    <w:rsid w:val="00160151"/>
    <w:rsid w:val="00160209"/>
    <w:rsid w:val="00160251"/>
    <w:rsid w:val="00160418"/>
    <w:rsid w:val="00160465"/>
    <w:rsid w:val="001604A6"/>
    <w:rsid w:val="001604ED"/>
    <w:rsid w:val="0016055A"/>
    <w:rsid w:val="0016065A"/>
    <w:rsid w:val="0016066B"/>
    <w:rsid w:val="00160729"/>
    <w:rsid w:val="001608C4"/>
    <w:rsid w:val="00160C24"/>
    <w:rsid w:val="00160C33"/>
    <w:rsid w:val="00160CCD"/>
    <w:rsid w:val="00160D1D"/>
    <w:rsid w:val="00160D67"/>
    <w:rsid w:val="00160D71"/>
    <w:rsid w:val="00160F1C"/>
    <w:rsid w:val="00160F1F"/>
    <w:rsid w:val="00160F30"/>
    <w:rsid w:val="00160F5C"/>
    <w:rsid w:val="001610B5"/>
    <w:rsid w:val="00161478"/>
    <w:rsid w:val="001614C9"/>
    <w:rsid w:val="0016156E"/>
    <w:rsid w:val="001615B1"/>
    <w:rsid w:val="00161822"/>
    <w:rsid w:val="001618A6"/>
    <w:rsid w:val="00161A38"/>
    <w:rsid w:val="00161ABC"/>
    <w:rsid w:val="00161CBE"/>
    <w:rsid w:val="00161D1C"/>
    <w:rsid w:val="00161DAD"/>
    <w:rsid w:val="00161EFE"/>
    <w:rsid w:val="00161F0F"/>
    <w:rsid w:val="00161FE2"/>
    <w:rsid w:val="0016218B"/>
    <w:rsid w:val="00162205"/>
    <w:rsid w:val="0016227B"/>
    <w:rsid w:val="0016244B"/>
    <w:rsid w:val="00162555"/>
    <w:rsid w:val="00162690"/>
    <w:rsid w:val="00162695"/>
    <w:rsid w:val="001627D2"/>
    <w:rsid w:val="00162810"/>
    <w:rsid w:val="001628DC"/>
    <w:rsid w:val="001628F2"/>
    <w:rsid w:val="001629C1"/>
    <w:rsid w:val="001629F2"/>
    <w:rsid w:val="001629FF"/>
    <w:rsid w:val="00162C98"/>
    <w:rsid w:val="00162EAD"/>
    <w:rsid w:val="00163028"/>
    <w:rsid w:val="001630B1"/>
    <w:rsid w:val="001633FE"/>
    <w:rsid w:val="001634FD"/>
    <w:rsid w:val="0016375F"/>
    <w:rsid w:val="00163820"/>
    <w:rsid w:val="00163873"/>
    <w:rsid w:val="001638D2"/>
    <w:rsid w:val="00163901"/>
    <w:rsid w:val="00163927"/>
    <w:rsid w:val="00163937"/>
    <w:rsid w:val="00163994"/>
    <w:rsid w:val="00163C8F"/>
    <w:rsid w:val="00163C9F"/>
    <w:rsid w:val="00163CB1"/>
    <w:rsid w:val="00163CFB"/>
    <w:rsid w:val="00163DA5"/>
    <w:rsid w:val="00163F28"/>
    <w:rsid w:val="00163FEC"/>
    <w:rsid w:val="0016421D"/>
    <w:rsid w:val="00164225"/>
    <w:rsid w:val="001642DF"/>
    <w:rsid w:val="00164349"/>
    <w:rsid w:val="00164569"/>
    <w:rsid w:val="0016458A"/>
    <w:rsid w:val="001645A5"/>
    <w:rsid w:val="00164744"/>
    <w:rsid w:val="0016481A"/>
    <w:rsid w:val="00164950"/>
    <w:rsid w:val="001649BC"/>
    <w:rsid w:val="001649DB"/>
    <w:rsid w:val="00164A17"/>
    <w:rsid w:val="00164A24"/>
    <w:rsid w:val="00164ADF"/>
    <w:rsid w:val="00164B8B"/>
    <w:rsid w:val="00164E7F"/>
    <w:rsid w:val="00164EAF"/>
    <w:rsid w:val="0016504C"/>
    <w:rsid w:val="0016504F"/>
    <w:rsid w:val="00165113"/>
    <w:rsid w:val="0016513C"/>
    <w:rsid w:val="001651C4"/>
    <w:rsid w:val="001651F5"/>
    <w:rsid w:val="00165247"/>
    <w:rsid w:val="0016524D"/>
    <w:rsid w:val="0016529F"/>
    <w:rsid w:val="001652BB"/>
    <w:rsid w:val="00165308"/>
    <w:rsid w:val="00165328"/>
    <w:rsid w:val="00165341"/>
    <w:rsid w:val="0016538F"/>
    <w:rsid w:val="001653FC"/>
    <w:rsid w:val="00165469"/>
    <w:rsid w:val="00165546"/>
    <w:rsid w:val="0016556E"/>
    <w:rsid w:val="001655C0"/>
    <w:rsid w:val="001655D1"/>
    <w:rsid w:val="00165621"/>
    <w:rsid w:val="00165736"/>
    <w:rsid w:val="001657A0"/>
    <w:rsid w:val="001657C9"/>
    <w:rsid w:val="0016585F"/>
    <w:rsid w:val="001658C3"/>
    <w:rsid w:val="00165980"/>
    <w:rsid w:val="00165A93"/>
    <w:rsid w:val="00165B4B"/>
    <w:rsid w:val="00165C27"/>
    <w:rsid w:val="00165CC0"/>
    <w:rsid w:val="00165DD1"/>
    <w:rsid w:val="00165E19"/>
    <w:rsid w:val="00165E1D"/>
    <w:rsid w:val="00165E31"/>
    <w:rsid w:val="00165E70"/>
    <w:rsid w:val="001660ED"/>
    <w:rsid w:val="001663D3"/>
    <w:rsid w:val="001663EC"/>
    <w:rsid w:val="00166401"/>
    <w:rsid w:val="0016642F"/>
    <w:rsid w:val="00166547"/>
    <w:rsid w:val="00166590"/>
    <w:rsid w:val="00166682"/>
    <w:rsid w:val="00166751"/>
    <w:rsid w:val="0016675E"/>
    <w:rsid w:val="001669E0"/>
    <w:rsid w:val="00166BA6"/>
    <w:rsid w:val="00166D3B"/>
    <w:rsid w:val="00166DC1"/>
    <w:rsid w:val="00166DE8"/>
    <w:rsid w:val="00167060"/>
    <w:rsid w:val="001672C6"/>
    <w:rsid w:val="001672D3"/>
    <w:rsid w:val="0016739B"/>
    <w:rsid w:val="001673B5"/>
    <w:rsid w:val="001673DA"/>
    <w:rsid w:val="001673E8"/>
    <w:rsid w:val="00167427"/>
    <w:rsid w:val="001674A3"/>
    <w:rsid w:val="0016760D"/>
    <w:rsid w:val="00167617"/>
    <w:rsid w:val="0016774D"/>
    <w:rsid w:val="00167896"/>
    <w:rsid w:val="00167914"/>
    <w:rsid w:val="001679F6"/>
    <w:rsid w:val="001679FD"/>
    <w:rsid w:val="00167AB8"/>
    <w:rsid w:val="00167B93"/>
    <w:rsid w:val="00167D53"/>
    <w:rsid w:val="00167D91"/>
    <w:rsid w:val="00167E8E"/>
    <w:rsid w:val="00167ED2"/>
    <w:rsid w:val="0017005E"/>
    <w:rsid w:val="001700A3"/>
    <w:rsid w:val="001701AB"/>
    <w:rsid w:val="001701EF"/>
    <w:rsid w:val="00170205"/>
    <w:rsid w:val="00170495"/>
    <w:rsid w:val="001704B4"/>
    <w:rsid w:val="00170551"/>
    <w:rsid w:val="001705C6"/>
    <w:rsid w:val="001705E9"/>
    <w:rsid w:val="00170676"/>
    <w:rsid w:val="001706B6"/>
    <w:rsid w:val="001706DA"/>
    <w:rsid w:val="0017095E"/>
    <w:rsid w:val="00170A46"/>
    <w:rsid w:val="00170A86"/>
    <w:rsid w:val="00170B8E"/>
    <w:rsid w:val="00170C0F"/>
    <w:rsid w:val="00170C4A"/>
    <w:rsid w:val="00170C7E"/>
    <w:rsid w:val="00170D73"/>
    <w:rsid w:val="00170D9E"/>
    <w:rsid w:val="00170EFA"/>
    <w:rsid w:val="00170F64"/>
    <w:rsid w:val="00170F9B"/>
    <w:rsid w:val="0017121C"/>
    <w:rsid w:val="001713B0"/>
    <w:rsid w:val="0017142B"/>
    <w:rsid w:val="0017149C"/>
    <w:rsid w:val="00171583"/>
    <w:rsid w:val="00171625"/>
    <w:rsid w:val="0017167D"/>
    <w:rsid w:val="001716AD"/>
    <w:rsid w:val="00171738"/>
    <w:rsid w:val="00171821"/>
    <w:rsid w:val="001718C6"/>
    <w:rsid w:val="0017197C"/>
    <w:rsid w:val="00171981"/>
    <w:rsid w:val="001719A7"/>
    <w:rsid w:val="00171B8F"/>
    <w:rsid w:val="00171B97"/>
    <w:rsid w:val="00171BBC"/>
    <w:rsid w:val="00171C16"/>
    <w:rsid w:val="00171DB7"/>
    <w:rsid w:val="00171E5A"/>
    <w:rsid w:val="00171ED8"/>
    <w:rsid w:val="00171FCC"/>
    <w:rsid w:val="0017232E"/>
    <w:rsid w:val="001723BA"/>
    <w:rsid w:val="001725C7"/>
    <w:rsid w:val="00172632"/>
    <w:rsid w:val="0017263B"/>
    <w:rsid w:val="001728EB"/>
    <w:rsid w:val="001728F8"/>
    <w:rsid w:val="001729E5"/>
    <w:rsid w:val="00172AD8"/>
    <w:rsid w:val="00172B5C"/>
    <w:rsid w:val="00172C3D"/>
    <w:rsid w:val="00172C6D"/>
    <w:rsid w:val="00172C91"/>
    <w:rsid w:val="00172E03"/>
    <w:rsid w:val="00172E3B"/>
    <w:rsid w:val="00173161"/>
    <w:rsid w:val="001731AC"/>
    <w:rsid w:val="001731F4"/>
    <w:rsid w:val="00173228"/>
    <w:rsid w:val="001732A8"/>
    <w:rsid w:val="001732D6"/>
    <w:rsid w:val="00173477"/>
    <w:rsid w:val="00173541"/>
    <w:rsid w:val="0017376B"/>
    <w:rsid w:val="00173829"/>
    <w:rsid w:val="00173854"/>
    <w:rsid w:val="00173886"/>
    <w:rsid w:val="0017389F"/>
    <w:rsid w:val="001738D9"/>
    <w:rsid w:val="0017392A"/>
    <w:rsid w:val="00173A56"/>
    <w:rsid w:val="00173AAE"/>
    <w:rsid w:val="00173B5E"/>
    <w:rsid w:val="00173D8A"/>
    <w:rsid w:val="00173DE1"/>
    <w:rsid w:val="00173FC6"/>
    <w:rsid w:val="0017409E"/>
    <w:rsid w:val="0017419F"/>
    <w:rsid w:val="00174250"/>
    <w:rsid w:val="001742E9"/>
    <w:rsid w:val="00174349"/>
    <w:rsid w:val="00174443"/>
    <w:rsid w:val="0017446A"/>
    <w:rsid w:val="001744B0"/>
    <w:rsid w:val="00174524"/>
    <w:rsid w:val="00174549"/>
    <w:rsid w:val="0017455D"/>
    <w:rsid w:val="00174711"/>
    <w:rsid w:val="00174719"/>
    <w:rsid w:val="00174790"/>
    <w:rsid w:val="0017494F"/>
    <w:rsid w:val="00174956"/>
    <w:rsid w:val="00174A09"/>
    <w:rsid w:val="00174BB6"/>
    <w:rsid w:val="00174BD1"/>
    <w:rsid w:val="00174C09"/>
    <w:rsid w:val="00174C41"/>
    <w:rsid w:val="00174C45"/>
    <w:rsid w:val="00174CD1"/>
    <w:rsid w:val="00174D4E"/>
    <w:rsid w:val="00174D61"/>
    <w:rsid w:val="00174E47"/>
    <w:rsid w:val="00174F1A"/>
    <w:rsid w:val="00174FC1"/>
    <w:rsid w:val="00175044"/>
    <w:rsid w:val="0017512E"/>
    <w:rsid w:val="00175257"/>
    <w:rsid w:val="001752AA"/>
    <w:rsid w:val="001753DA"/>
    <w:rsid w:val="00175477"/>
    <w:rsid w:val="00175555"/>
    <w:rsid w:val="001755A8"/>
    <w:rsid w:val="001757A4"/>
    <w:rsid w:val="0017587C"/>
    <w:rsid w:val="00175AA8"/>
    <w:rsid w:val="00175AF0"/>
    <w:rsid w:val="00175C6B"/>
    <w:rsid w:val="00175C79"/>
    <w:rsid w:val="00175FD6"/>
    <w:rsid w:val="00175FF1"/>
    <w:rsid w:val="00176085"/>
    <w:rsid w:val="00176091"/>
    <w:rsid w:val="0017615D"/>
    <w:rsid w:val="001762E9"/>
    <w:rsid w:val="001763C3"/>
    <w:rsid w:val="001763F8"/>
    <w:rsid w:val="0017671F"/>
    <w:rsid w:val="0017672D"/>
    <w:rsid w:val="00176733"/>
    <w:rsid w:val="00176762"/>
    <w:rsid w:val="001767F2"/>
    <w:rsid w:val="0017682C"/>
    <w:rsid w:val="001768FB"/>
    <w:rsid w:val="00176983"/>
    <w:rsid w:val="00176987"/>
    <w:rsid w:val="001769C5"/>
    <w:rsid w:val="00176A85"/>
    <w:rsid w:val="00176B30"/>
    <w:rsid w:val="00176BF7"/>
    <w:rsid w:val="00176D6C"/>
    <w:rsid w:val="00176D8E"/>
    <w:rsid w:val="00176E44"/>
    <w:rsid w:val="00176E55"/>
    <w:rsid w:val="00176E65"/>
    <w:rsid w:val="00176E6E"/>
    <w:rsid w:val="0017703C"/>
    <w:rsid w:val="001770B5"/>
    <w:rsid w:val="001770BA"/>
    <w:rsid w:val="001772F4"/>
    <w:rsid w:val="00177328"/>
    <w:rsid w:val="001773D6"/>
    <w:rsid w:val="00177737"/>
    <w:rsid w:val="00177747"/>
    <w:rsid w:val="0017786A"/>
    <w:rsid w:val="001779EE"/>
    <w:rsid w:val="00177A04"/>
    <w:rsid w:val="00177A34"/>
    <w:rsid w:val="00177D62"/>
    <w:rsid w:val="00177DD9"/>
    <w:rsid w:val="00177E9F"/>
    <w:rsid w:val="0017ADC3"/>
    <w:rsid w:val="0017FB1B"/>
    <w:rsid w:val="00180007"/>
    <w:rsid w:val="001800B5"/>
    <w:rsid w:val="001800B8"/>
    <w:rsid w:val="001801A5"/>
    <w:rsid w:val="001801D5"/>
    <w:rsid w:val="001801DA"/>
    <w:rsid w:val="0018056F"/>
    <w:rsid w:val="001805F6"/>
    <w:rsid w:val="001806DD"/>
    <w:rsid w:val="001807AF"/>
    <w:rsid w:val="00180804"/>
    <w:rsid w:val="00180814"/>
    <w:rsid w:val="0018081F"/>
    <w:rsid w:val="0018083B"/>
    <w:rsid w:val="0018090E"/>
    <w:rsid w:val="00180982"/>
    <w:rsid w:val="001809BE"/>
    <w:rsid w:val="00180B68"/>
    <w:rsid w:val="00180BBD"/>
    <w:rsid w:val="00180BDD"/>
    <w:rsid w:val="00180E52"/>
    <w:rsid w:val="00180E59"/>
    <w:rsid w:val="00180E84"/>
    <w:rsid w:val="00180E91"/>
    <w:rsid w:val="00180EFA"/>
    <w:rsid w:val="00180F73"/>
    <w:rsid w:val="001810CE"/>
    <w:rsid w:val="0018117E"/>
    <w:rsid w:val="00181221"/>
    <w:rsid w:val="00181227"/>
    <w:rsid w:val="001812C9"/>
    <w:rsid w:val="001812F7"/>
    <w:rsid w:val="00181358"/>
    <w:rsid w:val="001813A1"/>
    <w:rsid w:val="001813C1"/>
    <w:rsid w:val="0018152B"/>
    <w:rsid w:val="00181578"/>
    <w:rsid w:val="0018161B"/>
    <w:rsid w:val="0018169A"/>
    <w:rsid w:val="00181771"/>
    <w:rsid w:val="00181788"/>
    <w:rsid w:val="001817ED"/>
    <w:rsid w:val="00181881"/>
    <w:rsid w:val="001818FC"/>
    <w:rsid w:val="0018195F"/>
    <w:rsid w:val="001819C4"/>
    <w:rsid w:val="00181A4A"/>
    <w:rsid w:val="00181B97"/>
    <w:rsid w:val="00181BDC"/>
    <w:rsid w:val="00181D69"/>
    <w:rsid w:val="001821AC"/>
    <w:rsid w:val="001821EF"/>
    <w:rsid w:val="0018221A"/>
    <w:rsid w:val="0018223D"/>
    <w:rsid w:val="00182292"/>
    <w:rsid w:val="0018230D"/>
    <w:rsid w:val="0018231C"/>
    <w:rsid w:val="001824F4"/>
    <w:rsid w:val="0018261C"/>
    <w:rsid w:val="00182654"/>
    <w:rsid w:val="001826A6"/>
    <w:rsid w:val="001826E1"/>
    <w:rsid w:val="001827DE"/>
    <w:rsid w:val="00182918"/>
    <w:rsid w:val="00182932"/>
    <w:rsid w:val="00182A4A"/>
    <w:rsid w:val="00182A96"/>
    <w:rsid w:val="00182C9A"/>
    <w:rsid w:val="00182D8C"/>
    <w:rsid w:val="00182D96"/>
    <w:rsid w:val="00182E21"/>
    <w:rsid w:val="00182ECA"/>
    <w:rsid w:val="00182EEA"/>
    <w:rsid w:val="00182EF6"/>
    <w:rsid w:val="00182F31"/>
    <w:rsid w:val="00183015"/>
    <w:rsid w:val="001831B6"/>
    <w:rsid w:val="001832C0"/>
    <w:rsid w:val="001832DF"/>
    <w:rsid w:val="00183524"/>
    <w:rsid w:val="001835E5"/>
    <w:rsid w:val="00183720"/>
    <w:rsid w:val="00183A78"/>
    <w:rsid w:val="00183A96"/>
    <w:rsid w:val="00183A9B"/>
    <w:rsid w:val="00183ABA"/>
    <w:rsid w:val="00183B67"/>
    <w:rsid w:val="00183B75"/>
    <w:rsid w:val="00183BEE"/>
    <w:rsid w:val="00183BF0"/>
    <w:rsid w:val="00183C12"/>
    <w:rsid w:val="00183D70"/>
    <w:rsid w:val="00183DFF"/>
    <w:rsid w:val="00183F52"/>
    <w:rsid w:val="00183F64"/>
    <w:rsid w:val="0018405D"/>
    <w:rsid w:val="00184180"/>
    <w:rsid w:val="001843AB"/>
    <w:rsid w:val="001843B1"/>
    <w:rsid w:val="001843CA"/>
    <w:rsid w:val="001844C4"/>
    <w:rsid w:val="00184555"/>
    <w:rsid w:val="001847E6"/>
    <w:rsid w:val="0018486A"/>
    <w:rsid w:val="00184895"/>
    <w:rsid w:val="001849EA"/>
    <w:rsid w:val="00184DA4"/>
    <w:rsid w:val="00184DE3"/>
    <w:rsid w:val="00184E4D"/>
    <w:rsid w:val="00184EA8"/>
    <w:rsid w:val="00184F5B"/>
    <w:rsid w:val="001850D3"/>
    <w:rsid w:val="001850D9"/>
    <w:rsid w:val="00185192"/>
    <w:rsid w:val="00185235"/>
    <w:rsid w:val="00185303"/>
    <w:rsid w:val="00185337"/>
    <w:rsid w:val="00185368"/>
    <w:rsid w:val="001853BF"/>
    <w:rsid w:val="001853D2"/>
    <w:rsid w:val="001854DC"/>
    <w:rsid w:val="00185562"/>
    <w:rsid w:val="001855D9"/>
    <w:rsid w:val="00185624"/>
    <w:rsid w:val="00185638"/>
    <w:rsid w:val="001856CF"/>
    <w:rsid w:val="00185710"/>
    <w:rsid w:val="001857C0"/>
    <w:rsid w:val="0018580B"/>
    <w:rsid w:val="0018589B"/>
    <w:rsid w:val="001858BA"/>
    <w:rsid w:val="00185903"/>
    <w:rsid w:val="00185A1B"/>
    <w:rsid w:val="00185A42"/>
    <w:rsid w:val="00185B8E"/>
    <w:rsid w:val="00185BA6"/>
    <w:rsid w:val="00185BE0"/>
    <w:rsid w:val="00185C86"/>
    <w:rsid w:val="00185D15"/>
    <w:rsid w:val="00185DFB"/>
    <w:rsid w:val="00185E48"/>
    <w:rsid w:val="00185F99"/>
    <w:rsid w:val="00186163"/>
    <w:rsid w:val="001861A2"/>
    <w:rsid w:val="00186295"/>
    <w:rsid w:val="00186394"/>
    <w:rsid w:val="001864B5"/>
    <w:rsid w:val="0018651B"/>
    <w:rsid w:val="0018658E"/>
    <w:rsid w:val="00186771"/>
    <w:rsid w:val="00186792"/>
    <w:rsid w:val="001867C5"/>
    <w:rsid w:val="00186822"/>
    <w:rsid w:val="00186879"/>
    <w:rsid w:val="00186AA2"/>
    <w:rsid w:val="00186B2A"/>
    <w:rsid w:val="00186C2F"/>
    <w:rsid w:val="00186CAD"/>
    <w:rsid w:val="00186EA1"/>
    <w:rsid w:val="0018707C"/>
    <w:rsid w:val="0018718C"/>
    <w:rsid w:val="0018729A"/>
    <w:rsid w:val="00187383"/>
    <w:rsid w:val="00187574"/>
    <w:rsid w:val="00187644"/>
    <w:rsid w:val="0018765F"/>
    <w:rsid w:val="0018774E"/>
    <w:rsid w:val="0018776B"/>
    <w:rsid w:val="00187956"/>
    <w:rsid w:val="001879B3"/>
    <w:rsid w:val="00187A0D"/>
    <w:rsid w:val="00187E2C"/>
    <w:rsid w:val="00187E56"/>
    <w:rsid w:val="00187E95"/>
    <w:rsid w:val="00187F44"/>
    <w:rsid w:val="00187F91"/>
    <w:rsid w:val="00190230"/>
    <w:rsid w:val="0019023E"/>
    <w:rsid w:val="00190412"/>
    <w:rsid w:val="0019045E"/>
    <w:rsid w:val="001904A6"/>
    <w:rsid w:val="00190639"/>
    <w:rsid w:val="001906FF"/>
    <w:rsid w:val="001907E4"/>
    <w:rsid w:val="001908A2"/>
    <w:rsid w:val="00190923"/>
    <w:rsid w:val="001909F0"/>
    <w:rsid w:val="001909FF"/>
    <w:rsid w:val="00190A00"/>
    <w:rsid w:val="00190A28"/>
    <w:rsid w:val="00190A5E"/>
    <w:rsid w:val="00190A63"/>
    <w:rsid w:val="00190A66"/>
    <w:rsid w:val="00190AE6"/>
    <w:rsid w:val="00190D79"/>
    <w:rsid w:val="00190E3D"/>
    <w:rsid w:val="00190EBA"/>
    <w:rsid w:val="00190EC9"/>
    <w:rsid w:val="001910A3"/>
    <w:rsid w:val="00191173"/>
    <w:rsid w:val="0019118A"/>
    <w:rsid w:val="00191201"/>
    <w:rsid w:val="00191250"/>
    <w:rsid w:val="00191270"/>
    <w:rsid w:val="0019137C"/>
    <w:rsid w:val="00191425"/>
    <w:rsid w:val="00191468"/>
    <w:rsid w:val="00191533"/>
    <w:rsid w:val="00191538"/>
    <w:rsid w:val="001915F4"/>
    <w:rsid w:val="00191665"/>
    <w:rsid w:val="0019167F"/>
    <w:rsid w:val="0019174D"/>
    <w:rsid w:val="00191793"/>
    <w:rsid w:val="001917C9"/>
    <w:rsid w:val="00191811"/>
    <w:rsid w:val="00191817"/>
    <w:rsid w:val="00191A64"/>
    <w:rsid w:val="00191B4C"/>
    <w:rsid w:val="00191BAF"/>
    <w:rsid w:val="00191D2C"/>
    <w:rsid w:val="00191D5F"/>
    <w:rsid w:val="00191E94"/>
    <w:rsid w:val="00191FD1"/>
    <w:rsid w:val="00192262"/>
    <w:rsid w:val="00192279"/>
    <w:rsid w:val="001922F0"/>
    <w:rsid w:val="00192303"/>
    <w:rsid w:val="001923C1"/>
    <w:rsid w:val="001923E4"/>
    <w:rsid w:val="001925B4"/>
    <w:rsid w:val="0019260C"/>
    <w:rsid w:val="00192715"/>
    <w:rsid w:val="0019276A"/>
    <w:rsid w:val="0019279F"/>
    <w:rsid w:val="0019293B"/>
    <w:rsid w:val="00192978"/>
    <w:rsid w:val="001929A4"/>
    <w:rsid w:val="001929D3"/>
    <w:rsid w:val="00192B2C"/>
    <w:rsid w:val="00192B5B"/>
    <w:rsid w:val="00192B77"/>
    <w:rsid w:val="00192D1D"/>
    <w:rsid w:val="00192D28"/>
    <w:rsid w:val="00192DB8"/>
    <w:rsid w:val="00192E0A"/>
    <w:rsid w:val="00192F31"/>
    <w:rsid w:val="0019303C"/>
    <w:rsid w:val="00193058"/>
    <w:rsid w:val="00193064"/>
    <w:rsid w:val="0019311A"/>
    <w:rsid w:val="00193121"/>
    <w:rsid w:val="00193141"/>
    <w:rsid w:val="00193357"/>
    <w:rsid w:val="00193462"/>
    <w:rsid w:val="001934F2"/>
    <w:rsid w:val="00193652"/>
    <w:rsid w:val="001937ED"/>
    <w:rsid w:val="00193818"/>
    <w:rsid w:val="001939AF"/>
    <w:rsid w:val="00193A3F"/>
    <w:rsid w:val="00193BBE"/>
    <w:rsid w:val="00193C9F"/>
    <w:rsid w:val="00193D3B"/>
    <w:rsid w:val="00193DAC"/>
    <w:rsid w:val="00193DBD"/>
    <w:rsid w:val="00193E53"/>
    <w:rsid w:val="00193F61"/>
    <w:rsid w:val="001941FF"/>
    <w:rsid w:val="00194350"/>
    <w:rsid w:val="0019451C"/>
    <w:rsid w:val="001946DF"/>
    <w:rsid w:val="00194713"/>
    <w:rsid w:val="00194741"/>
    <w:rsid w:val="00194752"/>
    <w:rsid w:val="00194788"/>
    <w:rsid w:val="001947A9"/>
    <w:rsid w:val="001947CF"/>
    <w:rsid w:val="001949DD"/>
    <w:rsid w:val="00194A39"/>
    <w:rsid w:val="00194C9F"/>
    <w:rsid w:val="00194CB2"/>
    <w:rsid w:val="00194CB6"/>
    <w:rsid w:val="00194EE3"/>
    <w:rsid w:val="00194F88"/>
    <w:rsid w:val="001950B6"/>
    <w:rsid w:val="001950FA"/>
    <w:rsid w:val="001951D9"/>
    <w:rsid w:val="00195202"/>
    <w:rsid w:val="001956AC"/>
    <w:rsid w:val="001957E4"/>
    <w:rsid w:val="0019584E"/>
    <w:rsid w:val="001958DF"/>
    <w:rsid w:val="001958EA"/>
    <w:rsid w:val="001959F0"/>
    <w:rsid w:val="00195A3A"/>
    <w:rsid w:val="00195A56"/>
    <w:rsid w:val="00195B2C"/>
    <w:rsid w:val="00195CCA"/>
    <w:rsid w:val="00195D34"/>
    <w:rsid w:val="00195D56"/>
    <w:rsid w:val="00195E7B"/>
    <w:rsid w:val="001960A5"/>
    <w:rsid w:val="001960FC"/>
    <w:rsid w:val="0019614A"/>
    <w:rsid w:val="00196425"/>
    <w:rsid w:val="00196702"/>
    <w:rsid w:val="0019670D"/>
    <w:rsid w:val="00196733"/>
    <w:rsid w:val="001967C4"/>
    <w:rsid w:val="0019682D"/>
    <w:rsid w:val="0019688F"/>
    <w:rsid w:val="00196957"/>
    <w:rsid w:val="001969BC"/>
    <w:rsid w:val="001969E7"/>
    <w:rsid w:val="00196B0F"/>
    <w:rsid w:val="00196B93"/>
    <w:rsid w:val="00196BE6"/>
    <w:rsid w:val="00196D15"/>
    <w:rsid w:val="00196DB3"/>
    <w:rsid w:val="00196E0F"/>
    <w:rsid w:val="00196EF5"/>
    <w:rsid w:val="0019712F"/>
    <w:rsid w:val="0019714A"/>
    <w:rsid w:val="00197156"/>
    <w:rsid w:val="0019723F"/>
    <w:rsid w:val="0019744F"/>
    <w:rsid w:val="0019755D"/>
    <w:rsid w:val="001975B1"/>
    <w:rsid w:val="001976AC"/>
    <w:rsid w:val="00197789"/>
    <w:rsid w:val="0019782B"/>
    <w:rsid w:val="0019793F"/>
    <w:rsid w:val="00197941"/>
    <w:rsid w:val="00197A49"/>
    <w:rsid w:val="00197A81"/>
    <w:rsid w:val="00197B5C"/>
    <w:rsid w:val="00197B6B"/>
    <w:rsid w:val="00197BDD"/>
    <w:rsid w:val="00197C3B"/>
    <w:rsid w:val="00197CDA"/>
    <w:rsid w:val="00197D83"/>
    <w:rsid w:val="00197DC8"/>
    <w:rsid w:val="00197E59"/>
    <w:rsid w:val="00197EEE"/>
    <w:rsid w:val="001A0182"/>
    <w:rsid w:val="001A01ED"/>
    <w:rsid w:val="001A02FD"/>
    <w:rsid w:val="001A038A"/>
    <w:rsid w:val="001A03E8"/>
    <w:rsid w:val="001A0507"/>
    <w:rsid w:val="001A0609"/>
    <w:rsid w:val="001A0670"/>
    <w:rsid w:val="001A071F"/>
    <w:rsid w:val="001A07C1"/>
    <w:rsid w:val="001A07EB"/>
    <w:rsid w:val="001A08F1"/>
    <w:rsid w:val="001A0A1C"/>
    <w:rsid w:val="001A0B26"/>
    <w:rsid w:val="001A0C8D"/>
    <w:rsid w:val="001A0F0D"/>
    <w:rsid w:val="001A0F55"/>
    <w:rsid w:val="001A0F6B"/>
    <w:rsid w:val="001A1049"/>
    <w:rsid w:val="001A111E"/>
    <w:rsid w:val="001A112E"/>
    <w:rsid w:val="001A11D2"/>
    <w:rsid w:val="001A1473"/>
    <w:rsid w:val="001A1481"/>
    <w:rsid w:val="001A1583"/>
    <w:rsid w:val="001A1679"/>
    <w:rsid w:val="001A1739"/>
    <w:rsid w:val="001A1751"/>
    <w:rsid w:val="001A175A"/>
    <w:rsid w:val="001A1772"/>
    <w:rsid w:val="001A17CF"/>
    <w:rsid w:val="001A188F"/>
    <w:rsid w:val="001A191E"/>
    <w:rsid w:val="001A1A0A"/>
    <w:rsid w:val="001A1A2A"/>
    <w:rsid w:val="001A1A7B"/>
    <w:rsid w:val="001A1BC7"/>
    <w:rsid w:val="001A1EE5"/>
    <w:rsid w:val="001A1FBB"/>
    <w:rsid w:val="001A20E3"/>
    <w:rsid w:val="001A20E4"/>
    <w:rsid w:val="001A2197"/>
    <w:rsid w:val="001A2286"/>
    <w:rsid w:val="001A2312"/>
    <w:rsid w:val="001A237E"/>
    <w:rsid w:val="001A24B0"/>
    <w:rsid w:val="001A254F"/>
    <w:rsid w:val="001A2574"/>
    <w:rsid w:val="001A2622"/>
    <w:rsid w:val="001A2656"/>
    <w:rsid w:val="001A276A"/>
    <w:rsid w:val="001A2779"/>
    <w:rsid w:val="001A2784"/>
    <w:rsid w:val="001A2A1B"/>
    <w:rsid w:val="001A2BC3"/>
    <w:rsid w:val="001A2BEB"/>
    <w:rsid w:val="001A2C03"/>
    <w:rsid w:val="001A2C78"/>
    <w:rsid w:val="001A2DC9"/>
    <w:rsid w:val="001A2E1D"/>
    <w:rsid w:val="001A2ED0"/>
    <w:rsid w:val="001A2EF1"/>
    <w:rsid w:val="001A310A"/>
    <w:rsid w:val="001A311B"/>
    <w:rsid w:val="001A31D6"/>
    <w:rsid w:val="001A31DF"/>
    <w:rsid w:val="001A32CB"/>
    <w:rsid w:val="001A32E5"/>
    <w:rsid w:val="001A3332"/>
    <w:rsid w:val="001A3371"/>
    <w:rsid w:val="001A346D"/>
    <w:rsid w:val="001A348D"/>
    <w:rsid w:val="001A34C4"/>
    <w:rsid w:val="001A34DB"/>
    <w:rsid w:val="001A353A"/>
    <w:rsid w:val="001A362C"/>
    <w:rsid w:val="001A365D"/>
    <w:rsid w:val="001A367B"/>
    <w:rsid w:val="001A3699"/>
    <w:rsid w:val="001A36AB"/>
    <w:rsid w:val="001A37DB"/>
    <w:rsid w:val="001A37E6"/>
    <w:rsid w:val="001A3888"/>
    <w:rsid w:val="001A3A46"/>
    <w:rsid w:val="001A3A5D"/>
    <w:rsid w:val="001A3B76"/>
    <w:rsid w:val="001A3CFF"/>
    <w:rsid w:val="001A3E2B"/>
    <w:rsid w:val="001A3EF8"/>
    <w:rsid w:val="001A3FC0"/>
    <w:rsid w:val="001A4006"/>
    <w:rsid w:val="001A4230"/>
    <w:rsid w:val="001A427E"/>
    <w:rsid w:val="001A4281"/>
    <w:rsid w:val="001A44F4"/>
    <w:rsid w:val="001A451B"/>
    <w:rsid w:val="001A4574"/>
    <w:rsid w:val="001A4595"/>
    <w:rsid w:val="001A4666"/>
    <w:rsid w:val="001A46BD"/>
    <w:rsid w:val="001A4868"/>
    <w:rsid w:val="001A498E"/>
    <w:rsid w:val="001A4A03"/>
    <w:rsid w:val="001A4AB7"/>
    <w:rsid w:val="001A4AE5"/>
    <w:rsid w:val="001A4CCD"/>
    <w:rsid w:val="001A4DDE"/>
    <w:rsid w:val="001A4F3A"/>
    <w:rsid w:val="001A4FA9"/>
    <w:rsid w:val="001A50D6"/>
    <w:rsid w:val="001A514F"/>
    <w:rsid w:val="001A52F5"/>
    <w:rsid w:val="001A538C"/>
    <w:rsid w:val="001A5418"/>
    <w:rsid w:val="001A546A"/>
    <w:rsid w:val="001A547E"/>
    <w:rsid w:val="001A556D"/>
    <w:rsid w:val="001A5592"/>
    <w:rsid w:val="001A5750"/>
    <w:rsid w:val="001A579D"/>
    <w:rsid w:val="001A57C5"/>
    <w:rsid w:val="001A5813"/>
    <w:rsid w:val="001A583D"/>
    <w:rsid w:val="001A5956"/>
    <w:rsid w:val="001A5B83"/>
    <w:rsid w:val="001A5C3C"/>
    <w:rsid w:val="001A5C62"/>
    <w:rsid w:val="001A5C78"/>
    <w:rsid w:val="001A5CC8"/>
    <w:rsid w:val="001A5CD9"/>
    <w:rsid w:val="001A5DAC"/>
    <w:rsid w:val="001A5E05"/>
    <w:rsid w:val="001A5EA8"/>
    <w:rsid w:val="001A5F84"/>
    <w:rsid w:val="001A613D"/>
    <w:rsid w:val="001A617E"/>
    <w:rsid w:val="001A6363"/>
    <w:rsid w:val="001A637D"/>
    <w:rsid w:val="001A638C"/>
    <w:rsid w:val="001A6395"/>
    <w:rsid w:val="001A63C8"/>
    <w:rsid w:val="001A63EA"/>
    <w:rsid w:val="001A648A"/>
    <w:rsid w:val="001A6560"/>
    <w:rsid w:val="001A65F8"/>
    <w:rsid w:val="001A6A4C"/>
    <w:rsid w:val="001A6A75"/>
    <w:rsid w:val="001A6C42"/>
    <w:rsid w:val="001A6D95"/>
    <w:rsid w:val="001A6ECF"/>
    <w:rsid w:val="001A6FF8"/>
    <w:rsid w:val="001A706B"/>
    <w:rsid w:val="001A70CF"/>
    <w:rsid w:val="001A70D1"/>
    <w:rsid w:val="001A7184"/>
    <w:rsid w:val="001A7256"/>
    <w:rsid w:val="001A7370"/>
    <w:rsid w:val="001A7494"/>
    <w:rsid w:val="001A75B0"/>
    <w:rsid w:val="001A7895"/>
    <w:rsid w:val="001A7948"/>
    <w:rsid w:val="001A79CE"/>
    <w:rsid w:val="001A7A2C"/>
    <w:rsid w:val="001A7AD3"/>
    <w:rsid w:val="001A7BE6"/>
    <w:rsid w:val="001A7D2B"/>
    <w:rsid w:val="001A7D73"/>
    <w:rsid w:val="001A7D8F"/>
    <w:rsid w:val="001A7DB7"/>
    <w:rsid w:val="001A7DF0"/>
    <w:rsid w:val="001A7E0B"/>
    <w:rsid w:val="001A7E41"/>
    <w:rsid w:val="001A7E6E"/>
    <w:rsid w:val="001A7FA0"/>
    <w:rsid w:val="001A7FCE"/>
    <w:rsid w:val="001A9C0C"/>
    <w:rsid w:val="001B008C"/>
    <w:rsid w:val="001B01BF"/>
    <w:rsid w:val="001B01EC"/>
    <w:rsid w:val="001B026D"/>
    <w:rsid w:val="001B0391"/>
    <w:rsid w:val="001B03D2"/>
    <w:rsid w:val="001B0434"/>
    <w:rsid w:val="001B051E"/>
    <w:rsid w:val="001B05E7"/>
    <w:rsid w:val="001B0676"/>
    <w:rsid w:val="001B0682"/>
    <w:rsid w:val="001B07FD"/>
    <w:rsid w:val="001B08A6"/>
    <w:rsid w:val="001B0946"/>
    <w:rsid w:val="001B0A0A"/>
    <w:rsid w:val="001B0A24"/>
    <w:rsid w:val="001B0B09"/>
    <w:rsid w:val="001B0B4A"/>
    <w:rsid w:val="001B0BB7"/>
    <w:rsid w:val="001B0CB5"/>
    <w:rsid w:val="001B0E1D"/>
    <w:rsid w:val="001B0E4F"/>
    <w:rsid w:val="001B1143"/>
    <w:rsid w:val="001B117B"/>
    <w:rsid w:val="001B11A3"/>
    <w:rsid w:val="001B11CF"/>
    <w:rsid w:val="001B11D7"/>
    <w:rsid w:val="001B13D9"/>
    <w:rsid w:val="001B1429"/>
    <w:rsid w:val="001B1573"/>
    <w:rsid w:val="001B15C7"/>
    <w:rsid w:val="001B174C"/>
    <w:rsid w:val="001B1814"/>
    <w:rsid w:val="001B18E5"/>
    <w:rsid w:val="001B18F7"/>
    <w:rsid w:val="001B19F9"/>
    <w:rsid w:val="001B1B14"/>
    <w:rsid w:val="001B1B4B"/>
    <w:rsid w:val="001B1B4C"/>
    <w:rsid w:val="001B1C11"/>
    <w:rsid w:val="001B1D0C"/>
    <w:rsid w:val="001B1EBA"/>
    <w:rsid w:val="001B1F59"/>
    <w:rsid w:val="001B20D2"/>
    <w:rsid w:val="001B214E"/>
    <w:rsid w:val="001B2185"/>
    <w:rsid w:val="001B2188"/>
    <w:rsid w:val="001B22D6"/>
    <w:rsid w:val="001B22FE"/>
    <w:rsid w:val="001B23FB"/>
    <w:rsid w:val="001B243E"/>
    <w:rsid w:val="001B2451"/>
    <w:rsid w:val="001B253E"/>
    <w:rsid w:val="001B2632"/>
    <w:rsid w:val="001B28FB"/>
    <w:rsid w:val="001B2968"/>
    <w:rsid w:val="001B2A26"/>
    <w:rsid w:val="001B2AF5"/>
    <w:rsid w:val="001B2AFC"/>
    <w:rsid w:val="001B2B09"/>
    <w:rsid w:val="001B2B9A"/>
    <w:rsid w:val="001B2C11"/>
    <w:rsid w:val="001B2CB3"/>
    <w:rsid w:val="001B2DE3"/>
    <w:rsid w:val="001B3047"/>
    <w:rsid w:val="001B3137"/>
    <w:rsid w:val="001B32E7"/>
    <w:rsid w:val="001B3319"/>
    <w:rsid w:val="001B33D6"/>
    <w:rsid w:val="001B3437"/>
    <w:rsid w:val="001B3439"/>
    <w:rsid w:val="001B347B"/>
    <w:rsid w:val="001B34FC"/>
    <w:rsid w:val="001B3532"/>
    <w:rsid w:val="001B3553"/>
    <w:rsid w:val="001B369A"/>
    <w:rsid w:val="001B36AB"/>
    <w:rsid w:val="001B39CC"/>
    <w:rsid w:val="001B39E0"/>
    <w:rsid w:val="001B39FE"/>
    <w:rsid w:val="001B3A5B"/>
    <w:rsid w:val="001B3AB5"/>
    <w:rsid w:val="001B3BB2"/>
    <w:rsid w:val="001B3BEB"/>
    <w:rsid w:val="001B3BF2"/>
    <w:rsid w:val="001B3BFC"/>
    <w:rsid w:val="001B3C6E"/>
    <w:rsid w:val="001B3CE9"/>
    <w:rsid w:val="001B3D35"/>
    <w:rsid w:val="001B3D53"/>
    <w:rsid w:val="001B3D5F"/>
    <w:rsid w:val="001B3E3D"/>
    <w:rsid w:val="001B3EAF"/>
    <w:rsid w:val="001B3F41"/>
    <w:rsid w:val="001B3FBF"/>
    <w:rsid w:val="001B4164"/>
    <w:rsid w:val="001B416B"/>
    <w:rsid w:val="001B4189"/>
    <w:rsid w:val="001B421C"/>
    <w:rsid w:val="001B4233"/>
    <w:rsid w:val="001B4255"/>
    <w:rsid w:val="001B4300"/>
    <w:rsid w:val="001B4369"/>
    <w:rsid w:val="001B4547"/>
    <w:rsid w:val="001B4574"/>
    <w:rsid w:val="001B4633"/>
    <w:rsid w:val="001B46D1"/>
    <w:rsid w:val="001B46F4"/>
    <w:rsid w:val="001B480B"/>
    <w:rsid w:val="001B4A05"/>
    <w:rsid w:val="001B4BE0"/>
    <w:rsid w:val="001B4D63"/>
    <w:rsid w:val="001B4DEC"/>
    <w:rsid w:val="001B4EC0"/>
    <w:rsid w:val="001B4F75"/>
    <w:rsid w:val="001B5024"/>
    <w:rsid w:val="001B50FB"/>
    <w:rsid w:val="001B5127"/>
    <w:rsid w:val="001B5139"/>
    <w:rsid w:val="001B5233"/>
    <w:rsid w:val="001B5400"/>
    <w:rsid w:val="001B54F8"/>
    <w:rsid w:val="001B5513"/>
    <w:rsid w:val="001B5542"/>
    <w:rsid w:val="001B5581"/>
    <w:rsid w:val="001B577D"/>
    <w:rsid w:val="001B585B"/>
    <w:rsid w:val="001B591B"/>
    <w:rsid w:val="001B5AF6"/>
    <w:rsid w:val="001B5C15"/>
    <w:rsid w:val="001B5D55"/>
    <w:rsid w:val="001B5D81"/>
    <w:rsid w:val="001B5D85"/>
    <w:rsid w:val="001B5DBA"/>
    <w:rsid w:val="001B5FC4"/>
    <w:rsid w:val="001B6012"/>
    <w:rsid w:val="001B6035"/>
    <w:rsid w:val="001B6039"/>
    <w:rsid w:val="001B605C"/>
    <w:rsid w:val="001B61A1"/>
    <w:rsid w:val="001B624C"/>
    <w:rsid w:val="001B635D"/>
    <w:rsid w:val="001B638D"/>
    <w:rsid w:val="001B666F"/>
    <w:rsid w:val="001B6980"/>
    <w:rsid w:val="001B6B86"/>
    <w:rsid w:val="001B6C02"/>
    <w:rsid w:val="001B6C49"/>
    <w:rsid w:val="001B6CAA"/>
    <w:rsid w:val="001B6D7C"/>
    <w:rsid w:val="001B6E3F"/>
    <w:rsid w:val="001B6ED9"/>
    <w:rsid w:val="001B7063"/>
    <w:rsid w:val="001B72C8"/>
    <w:rsid w:val="001B732F"/>
    <w:rsid w:val="001B74E5"/>
    <w:rsid w:val="001B75C6"/>
    <w:rsid w:val="001B7660"/>
    <w:rsid w:val="001B76A6"/>
    <w:rsid w:val="001B7741"/>
    <w:rsid w:val="001B7757"/>
    <w:rsid w:val="001B77A2"/>
    <w:rsid w:val="001B77BD"/>
    <w:rsid w:val="001B77C6"/>
    <w:rsid w:val="001B7954"/>
    <w:rsid w:val="001B79CD"/>
    <w:rsid w:val="001B7ABD"/>
    <w:rsid w:val="001B7B65"/>
    <w:rsid w:val="001B7B7F"/>
    <w:rsid w:val="001B7BCE"/>
    <w:rsid w:val="001B7BFC"/>
    <w:rsid w:val="001B7CCD"/>
    <w:rsid w:val="001B7CDD"/>
    <w:rsid w:val="001B7D3E"/>
    <w:rsid w:val="001B7F34"/>
    <w:rsid w:val="001C00A3"/>
    <w:rsid w:val="001C0111"/>
    <w:rsid w:val="001C014C"/>
    <w:rsid w:val="001C0211"/>
    <w:rsid w:val="001C0318"/>
    <w:rsid w:val="001C0566"/>
    <w:rsid w:val="001C07C8"/>
    <w:rsid w:val="001C0906"/>
    <w:rsid w:val="001C0A74"/>
    <w:rsid w:val="001C0AF0"/>
    <w:rsid w:val="001C0B18"/>
    <w:rsid w:val="001C0BB4"/>
    <w:rsid w:val="001C0C4E"/>
    <w:rsid w:val="001C0D91"/>
    <w:rsid w:val="001C0DC2"/>
    <w:rsid w:val="001C0E4C"/>
    <w:rsid w:val="001C0E82"/>
    <w:rsid w:val="001C0EA6"/>
    <w:rsid w:val="001C0EC3"/>
    <w:rsid w:val="001C0F5D"/>
    <w:rsid w:val="001C1014"/>
    <w:rsid w:val="001C122F"/>
    <w:rsid w:val="001C1293"/>
    <w:rsid w:val="001C12E9"/>
    <w:rsid w:val="001C131E"/>
    <w:rsid w:val="001C1373"/>
    <w:rsid w:val="001C1383"/>
    <w:rsid w:val="001C1515"/>
    <w:rsid w:val="001C16CE"/>
    <w:rsid w:val="001C188D"/>
    <w:rsid w:val="001C192C"/>
    <w:rsid w:val="001C1A3E"/>
    <w:rsid w:val="001C1BF4"/>
    <w:rsid w:val="001C1E03"/>
    <w:rsid w:val="001C1E4C"/>
    <w:rsid w:val="001C1ED2"/>
    <w:rsid w:val="001C1EEB"/>
    <w:rsid w:val="001C2044"/>
    <w:rsid w:val="001C21DB"/>
    <w:rsid w:val="001C245F"/>
    <w:rsid w:val="001C250C"/>
    <w:rsid w:val="001C25EC"/>
    <w:rsid w:val="001C2749"/>
    <w:rsid w:val="001C2991"/>
    <w:rsid w:val="001C2BA0"/>
    <w:rsid w:val="001C2BF2"/>
    <w:rsid w:val="001C2C41"/>
    <w:rsid w:val="001C2E18"/>
    <w:rsid w:val="001C2E27"/>
    <w:rsid w:val="001C2EC7"/>
    <w:rsid w:val="001C3045"/>
    <w:rsid w:val="001C30F3"/>
    <w:rsid w:val="001C3134"/>
    <w:rsid w:val="001C32D0"/>
    <w:rsid w:val="001C32D9"/>
    <w:rsid w:val="001C346E"/>
    <w:rsid w:val="001C35B5"/>
    <w:rsid w:val="001C361B"/>
    <w:rsid w:val="001C38C9"/>
    <w:rsid w:val="001C391B"/>
    <w:rsid w:val="001C3A19"/>
    <w:rsid w:val="001C3A3B"/>
    <w:rsid w:val="001C3A5A"/>
    <w:rsid w:val="001C3AFB"/>
    <w:rsid w:val="001C3B67"/>
    <w:rsid w:val="001C3B86"/>
    <w:rsid w:val="001C3B95"/>
    <w:rsid w:val="001C3C64"/>
    <w:rsid w:val="001C3CC8"/>
    <w:rsid w:val="001C3D0B"/>
    <w:rsid w:val="001C3D35"/>
    <w:rsid w:val="001C3DC4"/>
    <w:rsid w:val="001C3E09"/>
    <w:rsid w:val="001C3EC1"/>
    <w:rsid w:val="001C3F11"/>
    <w:rsid w:val="001C3F76"/>
    <w:rsid w:val="001C4039"/>
    <w:rsid w:val="001C40E0"/>
    <w:rsid w:val="001C4118"/>
    <w:rsid w:val="001C413E"/>
    <w:rsid w:val="001C41DE"/>
    <w:rsid w:val="001C4201"/>
    <w:rsid w:val="001C4475"/>
    <w:rsid w:val="001C449F"/>
    <w:rsid w:val="001C4502"/>
    <w:rsid w:val="001C456B"/>
    <w:rsid w:val="001C4599"/>
    <w:rsid w:val="001C45D7"/>
    <w:rsid w:val="001C46ED"/>
    <w:rsid w:val="001C47D0"/>
    <w:rsid w:val="001C4835"/>
    <w:rsid w:val="001C48DB"/>
    <w:rsid w:val="001C49F8"/>
    <w:rsid w:val="001C4A01"/>
    <w:rsid w:val="001C4A34"/>
    <w:rsid w:val="001C4B19"/>
    <w:rsid w:val="001C4C53"/>
    <w:rsid w:val="001C4C6A"/>
    <w:rsid w:val="001C4D03"/>
    <w:rsid w:val="001C4D08"/>
    <w:rsid w:val="001C4D87"/>
    <w:rsid w:val="001C4DEF"/>
    <w:rsid w:val="001C4E12"/>
    <w:rsid w:val="001C4E94"/>
    <w:rsid w:val="001C4F2D"/>
    <w:rsid w:val="001C4F78"/>
    <w:rsid w:val="001C4FAE"/>
    <w:rsid w:val="001C5107"/>
    <w:rsid w:val="001C52E5"/>
    <w:rsid w:val="001C52E8"/>
    <w:rsid w:val="001C532E"/>
    <w:rsid w:val="001C533F"/>
    <w:rsid w:val="001C54F8"/>
    <w:rsid w:val="001C5517"/>
    <w:rsid w:val="001C5684"/>
    <w:rsid w:val="001C56B3"/>
    <w:rsid w:val="001C5928"/>
    <w:rsid w:val="001C59A7"/>
    <w:rsid w:val="001C5A91"/>
    <w:rsid w:val="001C5D5B"/>
    <w:rsid w:val="001C5E24"/>
    <w:rsid w:val="001C5F21"/>
    <w:rsid w:val="001C604E"/>
    <w:rsid w:val="001C6088"/>
    <w:rsid w:val="001C6197"/>
    <w:rsid w:val="001C6281"/>
    <w:rsid w:val="001C62A7"/>
    <w:rsid w:val="001C62E0"/>
    <w:rsid w:val="001C6329"/>
    <w:rsid w:val="001C63AC"/>
    <w:rsid w:val="001C6414"/>
    <w:rsid w:val="001C64AA"/>
    <w:rsid w:val="001C64F5"/>
    <w:rsid w:val="001C653F"/>
    <w:rsid w:val="001C6592"/>
    <w:rsid w:val="001C65C1"/>
    <w:rsid w:val="001C6652"/>
    <w:rsid w:val="001C665C"/>
    <w:rsid w:val="001C683F"/>
    <w:rsid w:val="001C6865"/>
    <w:rsid w:val="001C694B"/>
    <w:rsid w:val="001C69D2"/>
    <w:rsid w:val="001C69D8"/>
    <w:rsid w:val="001C6A16"/>
    <w:rsid w:val="001C6A30"/>
    <w:rsid w:val="001C6C13"/>
    <w:rsid w:val="001C6C8B"/>
    <w:rsid w:val="001C6C9C"/>
    <w:rsid w:val="001C6D0B"/>
    <w:rsid w:val="001C7061"/>
    <w:rsid w:val="001C70E8"/>
    <w:rsid w:val="001C710C"/>
    <w:rsid w:val="001C71E9"/>
    <w:rsid w:val="001C732B"/>
    <w:rsid w:val="001C7515"/>
    <w:rsid w:val="001C752F"/>
    <w:rsid w:val="001C7545"/>
    <w:rsid w:val="001C7558"/>
    <w:rsid w:val="001C756A"/>
    <w:rsid w:val="001C76A7"/>
    <w:rsid w:val="001C76C5"/>
    <w:rsid w:val="001C790D"/>
    <w:rsid w:val="001C7945"/>
    <w:rsid w:val="001C796F"/>
    <w:rsid w:val="001C79B8"/>
    <w:rsid w:val="001C7A9E"/>
    <w:rsid w:val="001C7B7E"/>
    <w:rsid w:val="001C7B93"/>
    <w:rsid w:val="001C7D0F"/>
    <w:rsid w:val="001C7D2F"/>
    <w:rsid w:val="001C7D7B"/>
    <w:rsid w:val="001C7D9E"/>
    <w:rsid w:val="001C7E51"/>
    <w:rsid w:val="001C7E99"/>
    <w:rsid w:val="001C7F09"/>
    <w:rsid w:val="001C7F0C"/>
    <w:rsid w:val="001C7F25"/>
    <w:rsid w:val="001C7FB2"/>
    <w:rsid w:val="001D006A"/>
    <w:rsid w:val="001D00B7"/>
    <w:rsid w:val="001D0192"/>
    <w:rsid w:val="001D0328"/>
    <w:rsid w:val="001D0373"/>
    <w:rsid w:val="001D0522"/>
    <w:rsid w:val="001D0547"/>
    <w:rsid w:val="001D0615"/>
    <w:rsid w:val="001D0660"/>
    <w:rsid w:val="001D0850"/>
    <w:rsid w:val="001D0944"/>
    <w:rsid w:val="001D0982"/>
    <w:rsid w:val="001D0B71"/>
    <w:rsid w:val="001D0BC6"/>
    <w:rsid w:val="001D0BD7"/>
    <w:rsid w:val="001D0BD9"/>
    <w:rsid w:val="001D0C93"/>
    <w:rsid w:val="001D0CAB"/>
    <w:rsid w:val="001D0D89"/>
    <w:rsid w:val="001D0DDE"/>
    <w:rsid w:val="001D0DF3"/>
    <w:rsid w:val="001D0F78"/>
    <w:rsid w:val="001D0FB4"/>
    <w:rsid w:val="001D1070"/>
    <w:rsid w:val="001D10B3"/>
    <w:rsid w:val="001D12BA"/>
    <w:rsid w:val="001D12F9"/>
    <w:rsid w:val="001D1347"/>
    <w:rsid w:val="001D16D6"/>
    <w:rsid w:val="001D185C"/>
    <w:rsid w:val="001D1916"/>
    <w:rsid w:val="001D19A8"/>
    <w:rsid w:val="001D19FA"/>
    <w:rsid w:val="001D1BF7"/>
    <w:rsid w:val="001D1C93"/>
    <w:rsid w:val="001D1D8D"/>
    <w:rsid w:val="001D1E05"/>
    <w:rsid w:val="001D1E6D"/>
    <w:rsid w:val="001D1E8C"/>
    <w:rsid w:val="001D1ED0"/>
    <w:rsid w:val="001D20C2"/>
    <w:rsid w:val="001D217D"/>
    <w:rsid w:val="001D223E"/>
    <w:rsid w:val="001D234A"/>
    <w:rsid w:val="001D23DC"/>
    <w:rsid w:val="001D241E"/>
    <w:rsid w:val="001D2495"/>
    <w:rsid w:val="001D25F2"/>
    <w:rsid w:val="001D25F8"/>
    <w:rsid w:val="001D260B"/>
    <w:rsid w:val="001D2849"/>
    <w:rsid w:val="001D29BA"/>
    <w:rsid w:val="001D2A13"/>
    <w:rsid w:val="001D2B8D"/>
    <w:rsid w:val="001D2BDF"/>
    <w:rsid w:val="001D2BE9"/>
    <w:rsid w:val="001D2D29"/>
    <w:rsid w:val="001D2D41"/>
    <w:rsid w:val="001D2DA5"/>
    <w:rsid w:val="001D2FE9"/>
    <w:rsid w:val="001D3013"/>
    <w:rsid w:val="001D3023"/>
    <w:rsid w:val="001D3030"/>
    <w:rsid w:val="001D3156"/>
    <w:rsid w:val="001D3389"/>
    <w:rsid w:val="001D33AB"/>
    <w:rsid w:val="001D3490"/>
    <w:rsid w:val="001D34AB"/>
    <w:rsid w:val="001D3630"/>
    <w:rsid w:val="001D36F0"/>
    <w:rsid w:val="001D3D6A"/>
    <w:rsid w:val="001D3DAD"/>
    <w:rsid w:val="001D3DC6"/>
    <w:rsid w:val="001D3E28"/>
    <w:rsid w:val="001D3EBA"/>
    <w:rsid w:val="001D3EDC"/>
    <w:rsid w:val="001D3F06"/>
    <w:rsid w:val="001D3FDC"/>
    <w:rsid w:val="001D40BD"/>
    <w:rsid w:val="001D4197"/>
    <w:rsid w:val="001D4286"/>
    <w:rsid w:val="001D4452"/>
    <w:rsid w:val="001D4651"/>
    <w:rsid w:val="001D470F"/>
    <w:rsid w:val="001D4740"/>
    <w:rsid w:val="001D4742"/>
    <w:rsid w:val="001D481D"/>
    <w:rsid w:val="001D48E7"/>
    <w:rsid w:val="001D4934"/>
    <w:rsid w:val="001D4CDC"/>
    <w:rsid w:val="001D4D52"/>
    <w:rsid w:val="001D4DAF"/>
    <w:rsid w:val="001D4E31"/>
    <w:rsid w:val="001D4F1C"/>
    <w:rsid w:val="001D4F27"/>
    <w:rsid w:val="001D5553"/>
    <w:rsid w:val="001D555C"/>
    <w:rsid w:val="001D55C4"/>
    <w:rsid w:val="001D573C"/>
    <w:rsid w:val="001D588A"/>
    <w:rsid w:val="001D58B8"/>
    <w:rsid w:val="001D58B9"/>
    <w:rsid w:val="001D58C6"/>
    <w:rsid w:val="001D5A6C"/>
    <w:rsid w:val="001D5D58"/>
    <w:rsid w:val="001D5F78"/>
    <w:rsid w:val="001D6052"/>
    <w:rsid w:val="001D60AB"/>
    <w:rsid w:val="001D615B"/>
    <w:rsid w:val="001D619F"/>
    <w:rsid w:val="001D61B4"/>
    <w:rsid w:val="001D62C8"/>
    <w:rsid w:val="001D6334"/>
    <w:rsid w:val="001D63BD"/>
    <w:rsid w:val="001D6741"/>
    <w:rsid w:val="001D679F"/>
    <w:rsid w:val="001D681B"/>
    <w:rsid w:val="001D68A0"/>
    <w:rsid w:val="001D68E8"/>
    <w:rsid w:val="001D68EC"/>
    <w:rsid w:val="001D6955"/>
    <w:rsid w:val="001D6C6F"/>
    <w:rsid w:val="001D6C7E"/>
    <w:rsid w:val="001D6D7C"/>
    <w:rsid w:val="001D6E43"/>
    <w:rsid w:val="001D6EE4"/>
    <w:rsid w:val="001D6F1E"/>
    <w:rsid w:val="001D7006"/>
    <w:rsid w:val="001D7043"/>
    <w:rsid w:val="001D712C"/>
    <w:rsid w:val="001D7168"/>
    <w:rsid w:val="001D7192"/>
    <w:rsid w:val="001D74C4"/>
    <w:rsid w:val="001D7508"/>
    <w:rsid w:val="001D76A5"/>
    <w:rsid w:val="001D774A"/>
    <w:rsid w:val="001D77D5"/>
    <w:rsid w:val="001D7944"/>
    <w:rsid w:val="001D79DE"/>
    <w:rsid w:val="001D7A04"/>
    <w:rsid w:val="001D7AEF"/>
    <w:rsid w:val="001D7C69"/>
    <w:rsid w:val="001D7DFC"/>
    <w:rsid w:val="001D7E58"/>
    <w:rsid w:val="001D7EF6"/>
    <w:rsid w:val="001D7FFD"/>
    <w:rsid w:val="001E0093"/>
    <w:rsid w:val="001E00F4"/>
    <w:rsid w:val="001E011E"/>
    <w:rsid w:val="001E0168"/>
    <w:rsid w:val="001E01B6"/>
    <w:rsid w:val="001E01C0"/>
    <w:rsid w:val="001E02FB"/>
    <w:rsid w:val="001E03B9"/>
    <w:rsid w:val="001E0421"/>
    <w:rsid w:val="001E0439"/>
    <w:rsid w:val="001E04C7"/>
    <w:rsid w:val="001E04E4"/>
    <w:rsid w:val="001E054C"/>
    <w:rsid w:val="001E05A3"/>
    <w:rsid w:val="001E05C8"/>
    <w:rsid w:val="001E05E8"/>
    <w:rsid w:val="001E0751"/>
    <w:rsid w:val="001E0773"/>
    <w:rsid w:val="001E08B5"/>
    <w:rsid w:val="001E08DF"/>
    <w:rsid w:val="001E0BAC"/>
    <w:rsid w:val="001E0C37"/>
    <w:rsid w:val="001E0D6F"/>
    <w:rsid w:val="001E0D79"/>
    <w:rsid w:val="001E0DA8"/>
    <w:rsid w:val="001E0E3E"/>
    <w:rsid w:val="001E0EE0"/>
    <w:rsid w:val="001E0EF6"/>
    <w:rsid w:val="001E1000"/>
    <w:rsid w:val="001E100A"/>
    <w:rsid w:val="001E1132"/>
    <w:rsid w:val="001E133F"/>
    <w:rsid w:val="001E1491"/>
    <w:rsid w:val="001E1507"/>
    <w:rsid w:val="001E161E"/>
    <w:rsid w:val="001E16A7"/>
    <w:rsid w:val="001E176C"/>
    <w:rsid w:val="001E18CB"/>
    <w:rsid w:val="001E19F4"/>
    <w:rsid w:val="001E1A37"/>
    <w:rsid w:val="001E1DB4"/>
    <w:rsid w:val="001E1EDC"/>
    <w:rsid w:val="001E200F"/>
    <w:rsid w:val="001E21A4"/>
    <w:rsid w:val="001E235F"/>
    <w:rsid w:val="001E2593"/>
    <w:rsid w:val="001E2630"/>
    <w:rsid w:val="001E2716"/>
    <w:rsid w:val="001E275A"/>
    <w:rsid w:val="001E27E5"/>
    <w:rsid w:val="001E2800"/>
    <w:rsid w:val="001E28B4"/>
    <w:rsid w:val="001E2987"/>
    <w:rsid w:val="001E2989"/>
    <w:rsid w:val="001E29BC"/>
    <w:rsid w:val="001E29F9"/>
    <w:rsid w:val="001E2A08"/>
    <w:rsid w:val="001E2A6B"/>
    <w:rsid w:val="001E2D8B"/>
    <w:rsid w:val="001E2E22"/>
    <w:rsid w:val="001E2E4C"/>
    <w:rsid w:val="001E2E7C"/>
    <w:rsid w:val="001E2FA6"/>
    <w:rsid w:val="001E2FF3"/>
    <w:rsid w:val="001E3006"/>
    <w:rsid w:val="001E3013"/>
    <w:rsid w:val="001E304D"/>
    <w:rsid w:val="001E306C"/>
    <w:rsid w:val="001E3090"/>
    <w:rsid w:val="001E30DE"/>
    <w:rsid w:val="001E30FB"/>
    <w:rsid w:val="001E312C"/>
    <w:rsid w:val="001E31C9"/>
    <w:rsid w:val="001E31E9"/>
    <w:rsid w:val="001E3360"/>
    <w:rsid w:val="001E3498"/>
    <w:rsid w:val="001E3526"/>
    <w:rsid w:val="001E361D"/>
    <w:rsid w:val="001E36B5"/>
    <w:rsid w:val="001E36B6"/>
    <w:rsid w:val="001E3802"/>
    <w:rsid w:val="001E38D1"/>
    <w:rsid w:val="001E38D2"/>
    <w:rsid w:val="001E39F9"/>
    <w:rsid w:val="001E3AC9"/>
    <w:rsid w:val="001E3AD8"/>
    <w:rsid w:val="001E3B18"/>
    <w:rsid w:val="001E3B37"/>
    <w:rsid w:val="001E3CAE"/>
    <w:rsid w:val="001E3E2D"/>
    <w:rsid w:val="001E3EAD"/>
    <w:rsid w:val="001E45D6"/>
    <w:rsid w:val="001E4644"/>
    <w:rsid w:val="001E470C"/>
    <w:rsid w:val="001E4896"/>
    <w:rsid w:val="001E48CA"/>
    <w:rsid w:val="001E4A8A"/>
    <w:rsid w:val="001E4BF6"/>
    <w:rsid w:val="001E4C52"/>
    <w:rsid w:val="001E4D5A"/>
    <w:rsid w:val="001E4D68"/>
    <w:rsid w:val="001E4E14"/>
    <w:rsid w:val="001E4E7F"/>
    <w:rsid w:val="001E4EB9"/>
    <w:rsid w:val="001E4F6A"/>
    <w:rsid w:val="001E4FEA"/>
    <w:rsid w:val="001E51C0"/>
    <w:rsid w:val="001E52DA"/>
    <w:rsid w:val="001E53B2"/>
    <w:rsid w:val="001E5487"/>
    <w:rsid w:val="001E54C3"/>
    <w:rsid w:val="001E54D0"/>
    <w:rsid w:val="001E55FA"/>
    <w:rsid w:val="001E5719"/>
    <w:rsid w:val="001E576D"/>
    <w:rsid w:val="001E58A2"/>
    <w:rsid w:val="001E58EC"/>
    <w:rsid w:val="001E59B2"/>
    <w:rsid w:val="001E5ABA"/>
    <w:rsid w:val="001E5ADB"/>
    <w:rsid w:val="001E5B49"/>
    <w:rsid w:val="001E5B57"/>
    <w:rsid w:val="001E5C70"/>
    <w:rsid w:val="001E5C87"/>
    <w:rsid w:val="001E5CC8"/>
    <w:rsid w:val="001E5D40"/>
    <w:rsid w:val="001E5DFC"/>
    <w:rsid w:val="001E5E10"/>
    <w:rsid w:val="001E5FC9"/>
    <w:rsid w:val="001E615B"/>
    <w:rsid w:val="001E61C8"/>
    <w:rsid w:val="001E61F4"/>
    <w:rsid w:val="001E625B"/>
    <w:rsid w:val="001E6281"/>
    <w:rsid w:val="001E6289"/>
    <w:rsid w:val="001E629A"/>
    <w:rsid w:val="001E629B"/>
    <w:rsid w:val="001E6496"/>
    <w:rsid w:val="001E64BE"/>
    <w:rsid w:val="001E662F"/>
    <w:rsid w:val="001E664B"/>
    <w:rsid w:val="001E6658"/>
    <w:rsid w:val="001E66A3"/>
    <w:rsid w:val="001E6791"/>
    <w:rsid w:val="001E67C8"/>
    <w:rsid w:val="001E6834"/>
    <w:rsid w:val="001E6912"/>
    <w:rsid w:val="001E691C"/>
    <w:rsid w:val="001E6B8F"/>
    <w:rsid w:val="001E6C5B"/>
    <w:rsid w:val="001E6C6E"/>
    <w:rsid w:val="001E6D5D"/>
    <w:rsid w:val="001E6D79"/>
    <w:rsid w:val="001E6F23"/>
    <w:rsid w:val="001E6F49"/>
    <w:rsid w:val="001E6FFA"/>
    <w:rsid w:val="001E7084"/>
    <w:rsid w:val="001E70A5"/>
    <w:rsid w:val="001E70F5"/>
    <w:rsid w:val="001E7237"/>
    <w:rsid w:val="001E7338"/>
    <w:rsid w:val="001E737F"/>
    <w:rsid w:val="001E748E"/>
    <w:rsid w:val="001E74C6"/>
    <w:rsid w:val="001E7622"/>
    <w:rsid w:val="001E76CC"/>
    <w:rsid w:val="001E7770"/>
    <w:rsid w:val="001E7775"/>
    <w:rsid w:val="001E7782"/>
    <w:rsid w:val="001E77A0"/>
    <w:rsid w:val="001E7859"/>
    <w:rsid w:val="001E792F"/>
    <w:rsid w:val="001E7932"/>
    <w:rsid w:val="001E7AAB"/>
    <w:rsid w:val="001E7B2F"/>
    <w:rsid w:val="001E7CCF"/>
    <w:rsid w:val="001E7D10"/>
    <w:rsid w:val="001E7D48"/>
    <w:rsid w:val="001E7F34"/>
    <w:rsid w:val="001E7F35"/>
    <w:rsid w:val="001F008F"/>
    <w:rsid w:val="001F00BA"/>
    <w:rsid w:val="001F041E"/>
    <w:rsid w:val="001F05C7"/>
    <w:rsid w:val="001F0839"/>
    <w:rsid w:val="001F08DA"/>
    <w:rsid w:val="001F0975"/>
    <w:rsid w:val="001F0B32"/>
    <w:rsid w:val="001F0C92"/>
    <w:rsid w:val="001F0DAF"/>
    <w:rsid w:val="001F0DB7"/>
    <w:rsid w:val="001F0E2F"/>
    <w:rsid w:val="001F0F22"/>
    <w:rsid w:val="001F118A"/>
    <w:rsid w:val="001F1196"/>
    <w:rsid w:val="001F11E3"/>
    <w:rsid w:val="001F13A8"/>
    <w:rsid w:val="001F13F6"/>
    <w:rsid w:val="001F1457"/>
    <w:rsid w:val="001F166F"/>
    <w:rsid w:val="001F16C1"/>
    <w:rsid w:val="001F173F"/>
    <w:rsid w:val="001F189A"/>
    <w:rsid w:val="001F1938"/>
    <w:rsid w:val="001F1A23"/>
    <w:rsid w:val="001F1AF9"/>
    <w:rsid w:val="001F1B11"/>
    <w:rsid w:val="001F1B4C"/>
    <w:rsid w:val="001F1BE2"/>
    <w:rsid w:val="001F1CFF"/>
    <w:rsid w:val="001F1D0A"/>
    <w:rsid w:val="001F1D1E"/>
    <w:rsid w:val="001F1D5D"/>
    <w:rsid w:val="001F203E"/>
    <w:rsid w:val="001F20E8"/>
    <w:rsid w:val="001F2142"/>
    <w:rsid w:val="001F2181"/>
    <w:rsid w:val="001F238E"/>
    <w:rsid w:val="001F2499"/>
    <w:rsid w:val="001F24F3"/>
    <w:rsid w:val="001F25A1"/>
    <w:rsid w:val="001F261F"/>
    <w:rsid w:val="001F26C1"/>
    <w:rsid w:val="001F2707"/>
    <w:rsid w:val="001F2713"/>
    <w:rsid w:val="001F2891"/>
    <w:rsid w:val="001F2997"/>
    <w:rsid w:val="001F2BC0"/>
    <w:rsid w:val="001F2D6A"/>
    <w:rsid w:val="001F3011"/>
    <w:rsid w:val="001F3141"/>
    <w:rsid w:val="001F3144"/>
    <w:rsid w:val="001F32D4"/>
    <w:rsid w:val="001F33F6"/>
    <w:rsid w:val="001F3510"/>
    <w:rsid w:val="001F373E"/>
    <w:rsid w:val="001F37A3"/>
    <w:rsid w:val="001F37C8"/>
    <w:rsid w:val="001F3859"/>
    <w:rsid w:val="001F3984"/>
    <w:rsid w:val="001F398E"/>
    <w:rsid w:val="001F399A"/>
    <w:rsid w:val="001F39B5"/>
    <w:rsid w:val="001F39BC"/>
    <w:rsid w:val="001F3A7F"/>
    <w:rsid w:val="001F3B51"/>
    <w:rsid w:val="001F3D07"/>
    <w:rsid w:val="001F3D8E"/>
    <w:rsid w:val="001F3DFA"/>
    <w:rsid w:val="001F413B"/>
    <w:rsid w:val="001F415E"/>
    <w:rsid w:val="001F41A6"/>
    <w:rsid w:val="001F41E8"/>
    <w:rsid w:val="001F41FF"/>
    <w:rsid w:val="001F4250"/>
    <w:rsid w:val="001F42F8"/>
    <w:rsid w:val="001F4350"/>
    <w:rsid w:val="001F4416"/>
    <w:rsid w:val="001F4553"/>
    <w:rsid w:val="001F457D"/>
    <w:rsid w:val="001F46CD"/>
    <w:rsid w:val="001F46F0"/>
    <w:rsid w:val="001F46FF"/>
    <w:rsid w:val="001F47EA"/>
    <w:rsid w:val="001F48D3"/>
    <w:rsid w:val="001F4A88"/>
    <w:rsid w:val="001F4AB2"/>
    <w:rsid w:val="001F4B84"/>
    <w:rsid w:val="001F4E6A"/>
    <w:rsid w:val="001F503C"/>
    <w:rsid w:val="001F50AD"/>
    <w:rsid w:val="001F515C"/>
    <w:rsid w:val="001F5273"/>
    <w:rsid w:val="001F52D7"/>
    <w:rsid w:val="001F52E0"/>
    <w:rsid w:val="001F533C"/>
    <w:rsid w:val="001F5341"/>
    <w:rsid w:val="001F5712"/>
    <w:rsid w:val="001F584E"/>
    <w:rsid w:val="001F5868"/>
    <w:rsid w:val="001F58A7"/>
    <w:rsid w:val="001F5B55"/>
    <w:rsid w:val="001F5BE2"/>
    <w:rsid w:val="001F5C18"/>
    <w:rsid w:val="001F5C67"/>
    <w:rsid w:val="001F5CBE"/>
    <w:rsid w:val="001F5CF0"/>
    <w:rsid w:val="001F5D84"/>
    <w:rsid w:val="001F5DAC"/>
    <w:rsid w:val="001F5DBB"/>
    <w:rsid w:val="001F5DD5"/>
    <w:rsid w:val="001F5E38"/>
    <w:rsid w:val="001F5F32"/>
    <w:rsid w:val="001F6069"/>
    <w:rsid w:val="001F60CD"/>
    <w:rsid w:val="001F62FE"/>
    <w:rsid w:val="001F6417"/>
    <w:rsid w:val="001F64F8"/>
    <w:rsid w:val="001F66E6"/>
    <w:rsid w:val="001F6747"/>
    <w:rsid w:val="001F67A1"/>
    <w:rsid w:val="001F67F8"/>
    <w:rsid w:val="001F682B"/>
    <w:rsid w:val="001F6982"/>
    <w:rsid w:val="001F69BE"/>
    <w:rsid w:val="001F6B11"/>
    <w:rsid w:val="001F6CD2"/>
    <w:rsid w:val="001F6D11"/>
    <w:rsid w:val="001F6DA6"/>
    <w:rsid w:val="001F6E8E"/>
    <w:rsid w:val="001F6EC4"/>
    <w:rsid w:val="001F6EC7"/>
    <w:rsid w:val="001F6ECF"/>
    <w:rsid w:val="001F6F3C"/>
    <w:rsid w:val="001F714F"/>
    <w:rsid w:val="001F716D"/>
    <w:rsid w:val="001F7469"/>
    <w:rsid w:val="001F7566"/>
    <w:rsid w:val="001F76B2"/>
    <w:rsid w:val="001F7770"/>
    <w:rsid w:val="001F77D8"/>
    <w:rsid w:val="001F7859"/>
    <w:rsid w:val="001F786D"/>
    <w:rsid w:val="001F798B"/>
    <w:rsid w:val="001F79E8"/>
    <w:rsid w:val="001F7A6D"/>
    <w:rsid w:val="001F7B35"/>
    <w:rsid w:val="001F7B5F"/>
    <w:rsid w:val="001F7BA3"/>
    <w:rsid w:val="001F7C53"/>
    <w:rsid w:val="001F7F5C"/>
    <w:rsid w:val="00200256"/>
    <w:rsid w:val="0020030D"/>
    <w:rsid w:val="002003DA"/>
    <w:rsid w:val="00200529"/>
    <w:rsid w:val="002005CF"/>
    <w:rsid w:val="002006AC"/>
    <w:rsid w:val="0020072C"/>
    <w:rsid w:val="002007C3"/>
    <w:rsid w:val="002007CE"/>
    <w:rsid w:val="00200892"/>
    <w:rsid w:val="002008C2"/>
    <w:rsid w:val="0020090C"/>
    <w:rsid w:val="0020095E"/>
    <w:rsid w:val="00200A42"/>
    <w:rsid w:val="00200A60"/>
    <w:rsid w:val="00200B89"/>
    <w:rsid w:val="00200C26"/>
    <w:rsid w:val="00200C51"/>
    <w:rsid w:val="00200C68"/>
    <w:rsid w:val="00200C6A"/>
    <w:rsid w:val="00200CDB"/>
    <w:rsid w:val="00200CEB"/>
    <w:rsid w:val="00200D31"/>
    <w:rsid w:val="00200D3C"/>
    <w:rsid w:val="00200D73"/>
    <w:rsid w:val="00200DD1"/>
    <w:rsid w:val="0020100E"/>
    <w:rsid w:val="002012B9"/>
    <w:rsid w:val="0020135F"/>
    <w:rsid w:val="0020137E"/>
    <w:rsid w:val="00201402"/>
    <w:rsid w:val="0020143D"/>
    <w:rsid w:val="00201491"/>
    <w:rsid w:val="0020156F"/>
    <w:rsid w:val="002015D9"/>
    <w:rsid w:val="00201724"/>
    <w:rsid w:val="00201937"/>
    <w:rsid w:val="00201A8E"/>
    <w:rsid w:val="00201BF8"/>
    <w:rsid w:val="00201FF4"/>
    <w:rsid w:val="002020FA"/>
    <w:rsid w:val="0020211A"/>
    <w:rsid w:val="002021C8"/>
    <w:rsid w:val="00202226"/>
    <w:rsid w:val="0020225C"/>
    <w:rsid w:val="00202373"/>
    <w:rsid w:val="002024A5"/>
    <w:rsid w:val="002026E4"/>
    <w:rsid w:val="0020278F"/>
    <w:rsid w:val="002027B6"/>
    <w:rsid w:val="002027F9"/>
    <w:rsid w:val="002029C2"/>
    <w:rsid w:val="00202AD3"/>
    <w:rsid w:val="00202B42"/>
    <w:rsid w:val="00202B6F"/>
    <w:rsid w:val="00202CBC"/>
    <w:rsid w:val="00202DC7"/>
    <w:rsid w:val="00202DEC"/>
    <w:rsid w:val="00202E71"/>
    <w:rsid w:val="00202F6D"/>
    <w:rsid w:val="00202FD4"/>
    <w:rsid w:val="0020309A"/>
    <w:rsid w:val="002031E7"/>
    <w:rsid w:val="002031FF"/>
    <w:rsid w:val="00203239"/>
    <w:rsid w:val="0020325F"/>
    <w:rsid w:val="002032F9"/>
    <w:rsid w:val="002033CB"/>
    <w:rsid w:val="0020349E"/>
    <w:rsid w:val="002034AC"/>
    <w:rsid w:val="0020356D"/>
    <w:rsid w:val="00203580"/>
    <w:rsid w:val="00203593"/>
    <w:rsid w:val="00203725"/>
    <w:rsid w:val="00203802"/>
    <w:rsid w:val="00203809"/>
    <w:rsid w:val="0020381A"/>
    <w:rsid w:val="00203836"/>
    <w:rsid w:val="00203858"/>
    <w:rsid w:val="00203895"/>
    <w:rsid w:val="002038A4"/>
    <w:rsid w:val="00203A04"/>
    <w:rsid w:val="00203A58"/>
    <w:rsid w:val="00203B69"/>
    <w:rsid w:val="00203BA3"/>
    <w:rsid w:val="00203BCE"/>
    <w:rsid w:val="00203C03"/>
    <w:rsid w:val="00203C06"/>
    <w:rsid w:val="00203C96"/>
    <w:rsid w:val="00203CA6"/>
    <w:rsid w:val="00203CE2"/>
    <w:rsid w:val="00203D83"/>
    <w:rsid w:val="00203ED0"/>
    <w:rsid w:val="0020409A"/>
    <w:rsid w:val="002040C1"/>
    <w:rsid w:val="0020411D"/>
    <w:rsid w:val="00204207"/>
    <w:rsid w:val="002043C6"/>
    <w:rsid w:val="0020460C"/>
    <w:rsid w:val="002046A7"/>
    <w:rsid w:val="00204715"/>
    <w:rsid w:val="00204794"/>
    <w:rsid w:val="00204881"/>
    <w:rsid w:val="002048F1"/>
    <w:rsid w:val="00204A67"/>
    <w:rsid w:val="00204ABC"/>
    <w:rsid w:val="00204AF6"/>
    <w:rsid w:val="00204B22"/>
    <w:rsid w:val="00204B3B"/>
    <w:rsid w:val="00204B99"/>
    <w:rsid w:val="00204C8A"/>
    <w:rsid w:val="00204CD6"/>
    <w:rsid w:val="00204CE2"/>
    <w:rsid w:val="00204D0F"/>
    <w:rsid w:val="00204E79"/>
    <w:rsid w:val="00204FE8"/>
    <w:rsid w:val="00205002"/>
    <w:rsid w:val="0020510C"/>
    <w:rsid w:val="0020516E"/>
    <w:rsid w:val="002054E9"/>
    <w:rsid w:val="00205540"/>
    <w:rsid w:val="0020573C"/>
    <w:rsid w:val="00205788"/>
    <w:rsid w:val="002057B9"/>
    <w:rsid w:val="002059FB"/>
    <w:rsid w:val="00205CAA"/>
    <w:rsid w:val="00205D67"/>
    <w:rsid w:val="00205E51"/>
    <w:rsid w:val="00205EB0"/>
    <w:rsid w:val="00205FFC"/>
    <w:rsid w:val="0020607A"/>
    <w:rsid w:val="00206084"/>
    <w:rsid w:val="00206124"/>
    <w:rsid w:val="00206134"/>
    <w:rsid w:val="0020622E"/>
    <w:rsid w:val="0020627A"/>
    <w:rsid w:val="00206387"/>
    <w:rsid w:val="002063E9"/>
    <w:rsid w:val="002064C6"/>
    <w:rsid w:val="002064F3"/>
    <w:rsid w:val="00206500"/>
    <w:rsid w:val="0020668D"/>
    <w:rsid w:val="00206743"/>
    <w:rsid w:val="00206757"/>
    <w:rsid w:val="0020675D"/>
    <w:rsid w:val="002067BF"/>
    <w:rsid w:val="00206938"/>
    <w:rsid w:val="00206976"/>
    <w:rsid w:val="00206AF7"/>
    <w:rsid w:val="00206BA8"/>
    <w:rsid w:val="00206C63"/>
    <w:rsid w:val="00206D23"/>
    <w:rsid w:val="00206DD0"/>
    <w:rsid w:val="00206E3C"/>
    <w:rsid w:val="00206EB3"/>
    <w:rsid w:val="00206F9C"/>
    <w:rsid w:val="00207006"/>
    <w:rsid w:val="0020706E"/>
    <w:rsid w:val="002071A9"/>
    <w:rsid w:val="002071B9"/>
    <w:rsid w:val="002071DE"/>
    <w:rsid w:val="00207265"/>
    <w:rsid w:val="002072B4"/>
    <w:rsid w:val="0020731A"/>
    <w:rsid w:val="002073CE"/>
    <w:rsid w:val="002074E3"/>
    <w:rsid w:val="002076EE"/>
    <w:rsid w:val="0020774D"/>
    <w:rsid w:val="002077AC"/>
    <w:rsid w:val="0020783D"/>
    <w:rsid w:val="0020791A"/>
    <w:rsid w:val="002079FB"/>
    <w:rsid w:val="00207A6D"/>
    <w:rsid w:val="00207B34"/>
    <w:rsid w:val="00207BCF"/>
    <w:rsid w:val="00207DAA"/>
    <w:rsid w:val="00207E7C"/>
    <w:rsid w:val="00207F5D"/>
    <w:rsid w:val="00207FA5"/>
    <w:rsid w:val="00210117"/>
    <w:rsid w:val="00210283"/>
    <w:rsid w:val="002102C1"/>
    <w:rsid w:val="002102E4"/>
    <w:rsid w:val="002103A0"/>
    <w:rsid w:val="002104BE"/>
    <w:rsid w:val="00210563"/>
    <w:rsid w:val="0021057B"/>
    <w:rsid w:val="002105BB"/>
    <w:rsid w:val="002106C8"/>
    <w:rsid w:val="002107EA"/>
    <w:rsid w:val="0021088D"/>
    <w:rsid w:val="002108EE"/>
    <w:rsid w:val="002108F7"/>
    <w:rsid w:val="00210929"/>
    <w:rsid w:val="00210967"/>
    <w:rsid w:val="00210985"/>
    <w:rsid w:val="002109E1"/>
    <w:rsid w:val="00210BC1"/>
    <w:rsid w:val="00210C77"/>
    <w:rsid w:val="00210CBB"/>
    <w:rsid w:val="00210CE2"/>
    <w:rsid w:val="00210DC1"/>
    <w:rsid w:val="00210E35"/>
    <w:rsid w:val="00210E51"/>
    <w:rsid w:val="00210E7B"/>
    <w:rsid w:val="00210EB5"/>
    <w:rsid w:val="00210EBD"/>
    <w:rsid w:val="0021140A"/>
    <w:rsid w:val="0021151A"/>
    <w:rsid w:val="002115A1"/>
    <w:rsid w:val="00211624"/>
    <w:rsid w:val="0021164F"/>
    <w:rsid w:val="0021167A"/>
    <w:rsid w:val="002116DF"/>
    <w:rsid w:val="00211833"/>
    <w:rsid w:val="002118C7"/>
    <w:rsid w:val="00211905"/>
    <w:rsid w:val="00211910"/>
    <w:rsid w:val="00211919"/>
    <w:rsid w:val="00211995"/>
    <w:rsid w:val="00211B38"/>
    <w:rsid w:val="00211B6E"/>
    <w:rsid w:val="00211C51"/>
    <w:rsid w:val="00211CA2"/>
    <w:rsid w:val="00211D75"/>
    <w:rsid w:val="00211E4E"/>
    <w:rsid w:val="00211F88"/>
    <w:rsid w:val="00211FF5"/>
    <w:rsid w:val="00212084"/>
    <w:rsid w:val="0021210E"/>
    <w:rsid w:val="002121A9"/>
    <w:rsid w:val="00212279"/>
    <w:rsid w:val="002122EB"/>
    <w:rsid w:val="002122F8"/>
    <w:rsid w:val="00212305"/>
    <w:rsid w:val="00212340"/>
    <w:rsid w:val="00212438"/>
    <w:rsid w:val="0021260F"/>
    <w:rsid w:val="002128D3"/>
    <w:rsid w:val="00212969"/>
    <w:rsid w:val="0021297B"/>
    <w:rsid w:val="00212A27"/>
    <w:rsid w:val="00212A8C"/>
    <w:rsid w:val="00212B02"/>
    <w:rsid w:val="00212B24"/>
    <w:rsid w:val="00212B39"/>
    <w:rsid w:val="00212B9C"/>
    <w:rsid w:val="00212D39"/>
    <w:rsid w:val="00212E70"/>
    <w:rsid w:val="00212EE0"/>
    <w:rsid w:val="00213146"/>
    <w:rsid w:val="002131E6"/>
    <w:rsid w:val="002133CF"/>
    <w:rsid w:val="002134B0"/>
    <w:rsid w:val="002134C9"/>
    <w:rsid w:val="00213575"/>
    <w:rsid w:val="00213576"/>
    <w:rsid w:val="002135C9"/>
    <w:rsid w:val="00213698"/>
    <w:rsid w:val="00213A7C"/>
    <w:rsid w:val="00213B58"/>
    <w:rsid w:val="00213DB4"/>
    <w:rsid w:val="00213F6F"/>
    <w:rsid w:val="00213FC8"/>
    <w:rsid w:val="00214185"/>
    <w:rsid w:val="0021418B"/>
    <w:rsid w:val="00214191"/>
    <w:rsid w:val="002141AA"/>
    <w:rsid w:val="002141C3"/>
    <w:rsid w:val="0021441C"/>
    <w:rsid w:val="00214586"/>
    <w:rsid w:val="002145B2"/>
    <w:rsid w:val="002145D2"/>
    <w:rsid w:val="002147D1"/>
    <w:rsid w:val="00214893"/>
    <w:rsid w:val="002148F5"/>
    <w:rsid w:val="00214A1C"/>
    <w:rsid w:val="00214A8E"/>
    <w:rsid w:val="00214A9B"/>
    <w:rsid w:val="00214B3B"/>
    <w:rsid w:val="00214B87"/>
    <w:rsid w:val="00214C71"/>
    <w:rsid w:val="00214C83"/>
    <w:rsid w:val="00214D1C"/>
    <w:rsid w:val="00214D52"/>
    <w:rsid w:val="00214D59"/>
    <w:rsid w:val="00215072"/>
    <w:rsid w:val="002151AE"/>
    <w:rsid w:val="0021524A"/>
    <w:rsid w:val="002154CF"/>
    <w:rsid w:val="00215600"/>
    <w:rsid w:val="002156F3"/>
    <w:rsid w:val="002157D1"/>
    <w:rsid w:val="002157EF"/>
    <w:rsid w:val="002158A2"/>
    <w:rsid w:val="002158BC"/>
    <w:rsid w:val="002158FA"/>
    <w:rsid w:val="002158FC"/>
    <w:rsid w:val="002158FF"/>
    <w:rsid w:val="002159B9"/>
    <w:rsid w:val="002159FB"/>
    <w:rsid w:val="00215A75"/>
    <w:rsid w:val="00215BFA"/>
    <w:rsid w:val="00215C8E"/>
    <w:rsid w:val="00215D65"/>
    <w:rsid w:val="002160F1"/>
    <w:rsid w:val="002161ED"/>
    <w:rsid w:val="00216245"/>
    <w:rsid w:val="00216322"/>
    <w:rsid w:val="0021637A"/>
    <w:rsid w:val="002163DF"/>
    <w:rsid w:val="002164F7"/>
    <w:rsid w:val="00216537"/>
    <w:rsid w:val="00216556"/>
    <w:rsid w:val="0021658B"/>
    <w:rsid w:val="0021659E"/>
    <w:rsid w:val="0021668E"/>
    <w:rsid w:val="002166DC"/>
    <w:rsid w:val="00216721"/>
    <w:rsid w:val="0021674C"/>
    <w:rsid w:val="002167E5"/>
    <w:rsid w:val="00216812"/>
    <w:rsid w:val="00216834"/>
    <w:rsid w:val="002168F5"/>
    <w:rsid w:val="00216AFF"/>
    <w:rsid w:val="00216D00"/>
    <w:rsid w:val="00216D27"/>
    <w:rsid w:val="00216F28"/>
    <w:rsid w:val="0021705B"/>
    <w:rsid w:val="002170FE"/>
    <w:rsid w:val="002171A9"/>
    <w:rsid w:val="002171D9"/>
    <w:rsid w:val="00217213"/>
    <w:rsid w:val="0021729E"/>
    <w:rsid w:val="002172E0"/>
    <w:rsid w:val="00217422"/>
    <w:rsid w:val="0021747F"/>
    <w:rsid w:val="0021752E"/>
    <w:rsid w:val="002175C5"/>
    <w:rsid w:val="002175F6"/>
    <w:rsid w:val="0021771B"/>
    <w:rsid w:val="002177F6"/>
    <w:rsid w:val="00217814"/>
    <w:rsid w:val="00217AD3"/>
    <w:rsid w:val="00217CB6"/>
    <w:rsid w:val="00217CEC"/>
    <w:rsid w:val="00217EFC"/>
    <w:rsid w:val="002200BA"/>
    <w:rsid w:val="002201CF"/>
    <w:rsid w:val="002201E6"/>
    <w:rsid w:val="00220200"/>
    <w:rsid w:val="00220215"/>
    <w:rsid w:val="0022021B"/>
    <w:rsid w:val="0022027D"/>
    <w:rsid w:val="00220347"/>
    <w:rsid w:val="002203ED"/>
    <w:rsid w:val="00220412"/>
    <w:rsid w:val="00220456"/>
    <w:rsid w:val="002206FE"/>
    <w:rsid w:val="002207B1"/>
    <w:rsid w:val="0022084B"/>
    <w:rsid w:val="00220937"/>
    <w:rsid w:val="0022096A"/>
    <w:rsid w:val="00220BE6"/>
    <w:rsid w:val="00220BF8"/>
    <w:rsid w:val="00220C24"/>
    <w:rsid w:val="00220C79"/>
    <w:rsid w:val="00220C97"/>
    <w:rsid w:val="00220D7E"/>
    <w:rsid w:val="00220DA6"/>
    <w:rsid w:val="00220E84"/>
    <w:rsid w:val="00221151"/>
    <w:rsid w:val="002211DF"/>
    <w:rsid w:val="0022126B"/>
    <w:rsid w:val="002212E0"/>
    <w:rsid w:val="002212EC"/>
    <w:rsid w:val="00221352"/>
    <w:rsid w:val="00221369"/>
    <w:rsid w:val="002214C3"/>
    <w:rsid w:val="00221535"/>
    <w:rsid w:val="0022161A"/>
    <w:rsid w:val="0022162C"/>
    <w:rsid w:val="00221698"/>
    <w:rsid w:val="002216CD"/>
    <w:rsid w:val="0022176A"/>
    <w:rsid w:val="0022179D"/>
    <w:rsid w:val="00221901"/>
    <w:rsid w:val="00221993"/>
    <w:rsid w:val="002219B8"/>
    <w:rsid w:val="00221B61"/>
    <w:rsid w:val="00221CC2"/>
    <w:rsid w:val="00221DCB"/>
    <w:rsid w:val="00221E66"/>
    <w:rsid w:val="00221F9C"/>
    <w:rsid w:val="00222162"/>
    <w:rsid w:val="002221A6"/>
    <w:rsid w:val="002221D7"/>
    <w:rsid w:val="00222262"/>
    <w:rsid w:val="002223C6"/>
    <w:rsid w:val="0022271B"/>
    <w:rsid w:val="00222758"/>
    <w:rsid w:val="00222765"/>
    <w:rsid w:val="0022278E"/>
    <w:rsid w:val="002227FE"/>
    <w:rsid w:val="0022283D"/>
    <w:rsid w:val="002228BE"/>
    <w:rsid w:val="002229BE"/>
    <w:rsid w:val="00222A53"/>
    <w:rsid w:val="00222C11"/>
    <w:rsid w:val="00222CA1"/>
    <w:rsid w:val="00222CCF"/>
    <w:rsid w:val="00222EB7"/>
    <w:rsid w:val="00222F38"/>
    <w:rsid w:val="00222F55"/>
    <w:rsid w:val="00222F74"/>
    <w:rsid w:val="00223028"/>
    <w:rsid w:val="00223188"/>
    <w:rsid w:val="00223292"/>
    <w:rsid w:val="002232A5"/>
    <w:rsid w:val="002232EA"/>
    <w:rsid w:val="00223344"/>
    <w:rsid w:val="0022345F"/>
    <w:rsid w:val="00223536"/>
    <w:rsid w:val="0022367F"/>
    <w:rsid w:val="00223750"/>
    <w:rsid w:val="002237F2"/>
    <w:rsid w:val="002238FB"/>
    <w:rsid w:val="002239CB"/>
    <w:rsid w:val="00223BA6"/>
    <w:rsid w:val="00223E30"/>
    <w:rsid w:val="00223E52"/>
    <w:rsid w:val="00223EB5"/>
    <w:rsid w:val="00223EBB"/>
    <w:rsid w:val="00223F54"/>
    <w:rsid w:val="00223F6C"/>
    <w:rsid w:val="002240E1"/>
    <w:rsid w:val="002240FB"/>
    <w:rsid w:val="00224227"/>
    <w:rsid w:val="00224292"/>
    <w:rsid w:val="00224335"/>
    <w:rsid w:val="00224359"/>
    <w:rsid w:val="00224737"/>
    <w:rsid w:val="002247B0"/>
    <w:rsid w:val="002247B6"/>
    <w:rsid w:val="002247CB"/>
    <w:rsid w:val="0022484B"/>
    <w:rsid w:val="0022490F"/>
    <w:rsid w:val="00224964"/>
    <w:rsid w:val="002249AB"/>
    <w:rsid w:val="00224A63"/>
    <w:rsid w:val="00224ACD"/>
    <w:rsid w:val="00224B5D"/>
    <w:rsid w:val="00224BC8"/>
    <w:rsid w:val="00224BD7"/>
    <w:rsid w:val="00224C21"/>
    <w:rsid w:val="00224C4C"/>
    <w:rsid w:val="00224CB4"/>
    <w:rsid w:val="00224E1A"/>
    <w:rsid w:val="00224E44"/>
    <w:rsid w:val="00224EB2"/>
    <w:rsid w:val="00224EE9"/>
    <w:rsid w:val="00224EF9"/>
    <w:rsid w:val="00224F03"/>
    <w:rsid w:val="00224F04"/>
    <w:rsid w:val="00224F7E"/>
    <w:rsid w:val="00224FCF"/>
    <w:rsid w:val="00225145"/>
    <w:rsid w:val="002251E0"/>
    <w:rsid w:val="002253E0"/>
    <w:rsid w:val="0022541F"/>
    <w:rsid w:val="002254D2"/>
    <w:rsid w:val="002255D5"/>
    <w:rsid w:val="0022566C"/>
    <w:rsid w:val="002256B8"/>
    <w:rsid w:val="00225784"/>
    <w:rsid w:val="00225982"/>
    <w:rsid w:val="00225A6F"/>
    <w:rsid w:val="00225ADF"/>
    <w:rsid w:val="00225B6D"/>
    <w:rsid w:val="00225B84"/>
    <w:rsid w:val="00225C72"/>
    <w:rsid w:val="00225C8A"/>
    <w:rsid w:val="00225C91"/>
    <w:rsid w:val="00225DD5"/>
    <w:rsid w:val="00225E37"/>
    <w:rsid w:val="00225FB9"/>
    <w:rsid w:val="002260CC"/>
    <w:rsid w:val="00226392"/>
    <w:rsid w:val="00226400"/>
    <w:rsid w:val="0022678D"/>
    <w:rsid w:val="002268F5"/>
    <w:rsid w:val="002268F7"/>
    <w:rsid w:val="002269A7"/>
    <w:rsid w:val="00226B52"/>
    <w:rsid w:val="00226B89"/>
    <w:rsid w:val="00226DD8"/>
    <w:rsid w:val="00226E3C"/>
    <w:rsid w:val="00226EA8"/>
    <w:rsid w:val="00226F7E"/>
    <w:rsid w:val="00226FDE"/>
    <w:rsid w:val="00227038"/>
    <w:rsid w:val="002270C1"/>
    <w:rsid w:val="002273D4"/>
    <w:rsid w:val="002276FB"/>
    <w:rsid w:val="00227719"/>
    <w:rsid w:val="00227784"/>
    <w:rsid w:val="00227809"/>
    <w:rsid w:val="002278B2"/>
    <w:rsid w:val="00227B08"/>
    <w:rsid w:val="00227BB5"/>
    <w:rsid w:val="00227E13"/>
    <w:rsid w:val="00227E1D"/>
    <w:rsid w:val="00230079"/>
    <w:rsid w:val="002300B8"/>
    <w:rsid w:val="002301A3"/>
    <w:rsid w:val="002301BC"/>
    <w:rsid w:val="002302FD"/>
    <w:rsid w:val="00230584"/>
    <w:rsid w:val="002305D3"/>
    <w:rsid w:val="00230801"/>
    <w:rsid w:val="00230902"/>
    <w:rsid w:val="00230A6F"/>
    <w:rsid w:val="00230AB8"/>
    <w:rsid w:val="00230B3A"/>
    <w:rsid w:val="00230B6F"/>
    <w:rsid w:val="00230CE0"/>
    <w:rsid w:val="00230D24"/>
    <w:rsid w:val="00230D27"/>
    <w:rsid w:val="00230D53"/>
    <w:rsid w:val="00230D80"/>
    <w:rsid w:val="00230DA2"/>
    <w:rsid w:val="00230F40"/>
    <w:rsid w:val="00230F90"/>
    <w:rsid w:val="0023106B"/>
    <w:rsid w:val="00231123"/>
    <w:rsid w:val="00231171"/>
    <w:rsid w:val="00231190"/>
    <w:rsid w:val="002311B8"/>
    <w:rsid w:val="00231365"/>
    <w:rsid w:val="00231394"/>
    <w:rsid w:val="002315E0"/>
    <w:rsid w:val="002316BF"/>
    <w:rsid w:val="00231704"/>
    <w:rsid w:val="00231730"/>
    <w:rsid w:val="00231764"/>
    <w:rsid w:val="002317C8"/>
    <w:rsid w:val="00231910"/>
    <w:rsid w:val="00231943"/>
    <w:rsid w:val="00231971"/>
    <w:rsid w:val="00231A89"/>
    <w:rsid w:val="00231BD2"/>
    <w:rsid w:val="00231BFB"/>
    <w:rsid w:val="00231D67"/>
    <w:rsid w:val="00231D93"/>
    <w:rsid w:val="00231E4C"/>
    <w:rsid w:val="00231E6C"/>
    <w:rsid w:val="00231E96"/>
    <w:rsid w:val="00231FF7"/>
    <w:rsid w:val="002320A6"/>
    <w:rsid w:val="002320AC"/>
    <w:rsid w:val="002320B6"/>
    <w:rsid w:val="0023210D"/>
    <w:rsid w:val="00232111"/>
    <w:rsid w:val="00232164"/>
    <w:rsid w:val="00232218"/>
    <w:rsid w:val="00232221"/>
    <w:rsid w:val="00232298"/>
    <w:rsid w:val="002322B1"/>
    <w:rsid w:val="002323D2"/>
    <w:rsid w:val="00232408"/>
    <w:rsid w:val="00232438"/>
    <w:rsid w:val="00232473"/>
    <w:rsid w:val="002324B2"/>
    <w:rsid w:val="00232633"/>
    <w:rsid w:val="00232836"/>
    <w:rsid w:val="00232919"/>
    <w:rsid w:val="00232922"/>
    <w:rsid w:val="002329E3"/>
    <w:rsid w:val="00232A53"/>
    <w:rsid w:val="00232B4E"/>
    <w:rsid w:val="00232B8C"/>
    <w:rsid w:val="00232C6F"/>
    <w:rsid w:val="00232D58"/>
    <w:rsid w:val="00232DBE"/>
    <w:rsid w:val="00232E61"/>
    <w:rsid w:val="00232E65"/>
    <w:rsid w:val="00232EB3"/>
    <w:rsid w:val="00232F58"/>
    <w:rsid w:val="002330A8"/>
    <w:rsid w:val="00233101"/>
    <w:rsid w:val="002331D7"/>
    <w:rsid w:val="0023338E"/>
    <w:rsid w:val="0023343C"/>
    <w:rsid w:val="0023344C"/>
    <w:rsid w:val="00233484"/>
    <w:rsid w:val="002334CE"/>
    <w:rsid w:val="00233522"/>
    <w:rsid w:val="00233591"/>
    <w:rsid w:val="00233599"/>
    <w:rsid w:val="00233662"/>
    <w:rsid w:val="00233672"/>
    <w:rsid w:val="0023378F"/>
    <w:rsid w:val="00233855"/>
    <w:rsid w:val="002338CF"/>
    <w:rsid w:val="00233902"/>
    <w:rsid w:val="002339D3"/>
    <w:rsid w:val="00233AB4"/>
    <w:rsid w:val="00233B04"/>
    <w:rsid w:val="00233CA9"/>
    <w:rsid w:val="00233CAB"/>
    <w:rsid w:val="00233D24"/>
    <w:rsid w:val="00233FF3"/>
    <w:rsid w:val="002340CF"/>
    <w:rsid w:val="00234231"/>
    <w:rsid w:val="00234361"/>
    <w:rsid w:val="002343D5"/>
    <w:rsid w:val="0023445B"/>
    <w:rsid w:val="0023446E"/>
    <w:rsid w:val="002344C0"/>
    <w:rsid w:val="002344D6"/>
    <w:rsid w:val="00234709"/>
    <w:rsid w:val="00234739"/>
    <w:rsid w:val="0023483B"/>
    <w:rsid w:val="00234894"/>
    <w:rsid w:val="002349D1"/>
    <w:rsid w:val="002349F6"/>
    <w:rsid w:val="00234B51"/>
    <w:rsid w:val="00234BB7"/>
    <w:rsid w:val="00234C50"/>
    <w:rsid w:val="00234D17"/>
    <w:rsid w:val="00234F61"/>
    <w:rsid w:val="00235065"/>
    <w:rsid w:val="00235168"/>
    <w:rsid w:val="0023519E"/>
    <w:rsid w:val="002352A1"/>
    <w:rsid w:val="002353D9"/>
    <w:rsid w:val="00235539"/>
    <w:rsid w:val="00235729"/>
    <w:rsid w:val="00235733"/>
    <w:rsid w:val="00235759"/>
    <w:rsid w:val="0023583C"/>
    <w:rsid w:val="00235841"/>
    <w:rsid w:val="002358CB"/>
    <w:rsid w:val="00235939"/>
    <w:rsid w:val="00235948"/>
    <w:rsid w:val="00235A4B"/>
    <w:rsid w:val="00235C6D"/>
    <w:rsid w:val="00235CD5"/>
    <w:rsid w:val="00235DCF"/>
    <w:rsid w:val="00235DFB"/>
    <w:rsid w:val="00235E4F"/>
    <w:rsid w:val="00235E58"/>
    <w:rsid w:val="00235E6A"/>
    <w:rsid w:val="00235EB0"/>
    <w:rsid w:val="00235EC4"/>
    <w:rsid w:val="00235FD4"/>
    <w:rsid w:val="00236193"/>
    <w:rsid w:val="0023625B"/>
    <w:rsid w:val="00236325"/>
    <w:rsid w:val="00236956"/>
    <w:rsid w:val="002369F2"/>
    <w:rsid w:val="00236A0B"/>
    <w:rsid w:val="00236A17"/>
    <w:rsid w:val="00236A85"/>
    <w:rsid w:val="00236A94"/>
    <w:rsid w:val="00236B92"/>
    <w:rsid w:val="00236BEC"/>
    <w:rsid w:val="00236CCA"/>
    <w:rsid w:val="00236CDD"/>
    <w:rsid w:val="00236CDF"/>
    <w:rsid w:val="00236D37"/>
    <w:rsid w:val="00236DD3"/>
    <w:rsid w:val="00236EB3"/>
    <w:rsid w:val="00237212"/>
    <w:rsid w:val="0023724B"/>
    <w:rsid w:val="0023751E"/>
    <w:rsid w:val="00237543"/>
    <w:rsid w:val="0023758C"/>
    <w:rsid w:val="0023759C"/>
    <w:rsid w:val="002375D7"/>
    <w:rsid w:val="0023760D"/>
    <w:rsid w:val="0023768E"/>
    <w:rsid w:val="00237834"/>
    <w:rsid w:val="00237A3E"/>
    <w:rsid w:val="00237A4F"/>
    <w:rsid w:val="00237BA9"/>
    <w:rsid w:val="00237BAE"/>
    <w:rsid w:val="00237BCD"/>
    <w:rsid w:val="00237C0C"/>
    <w:rsid w:val="00237C64"/>
    <w:rsid w:val="00237CE9"/>
    <w:rsid w:val="00237DE4"/>
    <w:rsid w:val="00237E29"/>
    <w:rsid w:val="00237ED2"/>
    <w:rsid w:val="00237F7F"/>
    <w:rsid w:val="00237FAF"/>
    <w:rsid w:val="00237FB7"/>
    <w:rsid w:val="00240091"/>
    <w:rsid w:val="00240097"/>
    <w:rsid w:val="002400C0"/>
    <w:rsid w:val="00240261"/>
    <w:rsid w:val="00240335"/>
    <w:rsid w:val="00240349"/>
    <w:rsid w:val="0024041B"/>
    <w:rsid w:val="00240653"/>
    <w:rsid w:val="0024075B"/>
    <w:rsid w:val="002408A1"/>
    <w:rsid w:val="00240975"/>
    <w:rsid w:val="00240AEE"/>
    <w:rsid w:val="00240DC4"/>
    <w:rsid w:val="00240DF0"/>
    <w:rsid w:val="00240F5F"/>
    <w:rsid w:val="00240F64"/>
    <w:rsid w:val="00240F9E"/>
    <w:rsid w:val="0024110B"/>
    <w:rsid w:val="00241259"/>
    <w:rsid w:val="0024137C"/>
    <w:rsid w:val="002413E8"/>
    <w:rsid w:val="00241749"/>
    <w:rsid w:val="00241924"/>
    <w:rsid w:val="002419DC"/>
    <w:rsid w:val="00241A23"/>
    <w:rsid w:val="00241C91"/>
    <w:rsid w:val="00241CA3"/>
    <w:rsid w:val="00241D53"/>
    <w:rsid w:val="00241D7B"/>
    <w:rsid w:val="00241DCF"/>
    <w:rsid w:val="00241E70"/>
    <w:rsid w:val="00241E74"/>
    <w:rsid w:val="00241FC5"/>
    <w:rsid w:val="00242106"/>
    <w:rsid w:val="00242207"/>
    <w:rsid w:val="0024221F"/>
    <w:rsid w:val="00242264"/>
    <w:rsid w:val="0024232A"/>
    <w:rsid w:val="002423D2"/>
    <w:rsid w:val="002423D4"/>
    <w:rsid w:val="002423FE"/>
    <w:rsid w:val="00242403"/>
    <w:rsid w:val="00242438"/>
    <w:rsid w:val="00242449"/>
    <w:rsid w:val="002425DD"/>
    <w:rsid w:val="00242635"/>
    <w:rsid w:val="00242647"/>
    <w:rsid w:val="002426E1"/>
    <w:rsid w:val="0024286D"/>
    <w:rsid w:val="002428E8"/>
    <w:rsid w:val="002428EF"/>
    <w:rsid w:val="00242A68"/>
    <w:rsid w:val="00242A91"/>
    <w:rsid w:val="00242AC8"/>
    <w:rsid w:val="00242ACA"/>
    <w:rsid w:val="00242B43"/>
    <w:rsid w:val="00242C0A"/>
    <w:rsid w:val="00242C1E"/>
    <w:rsid w:val="00242CD6"/>
    <w:rsid w:val="00242CEB"/>
    <w:rsid w:val="00242DE8"/>
    <w:rsid w:val="00242E68"/>
    <w:rsid w:val="00242EA3"/>
    <w:rsid w:val="00242FE5"/>
    <w:rsid w:val="002430A7"/>
    <w:rsid w:val="002433D0"/>
    <w:rsid w:val="0024349C"/>
    <w:rsid w:val="00243592"/>
    <w:rsid w:val="00243635"/>
    <w:rsid w:val="0024363A"/>
    <w:rsid w:val="0024387E"/>
    <w:rsid w:val="002439BF"/>
    <w:rsid w:val="00243A94"/>
    <w:rsid w:val="00243B5B"/>
    <w:rsid w:val="00243B65"/>
    <w:rsid w:val="00243D57"/>
    <w:rsid w:val="00243D5C"/>
    <w:rsid w:val="00243D7B"/>
    <w:rsid w:val="00243DA2"/>
    <w:rsid w:val="00243ED0"/>
    <w:rsid w:val="00243F14"/>
    <w:rsid w:val="00243F4F"/>
    <w:rsid w:val="00243F8F"/>
    <w:rsid w:val="00243F9A"/>
    <w:rsid w:val="00244086"/>
    <w:rsid w:val="00244132"/>
    <w:rsid w:val="002442CB"/>
    <w:rsid w:val="00244391"/>
    <w:rsid w:val="00244485"/>
    <w:rsid w:val="002444BB"/>
    <w:rsid w:val="002444FA"/>
    <w:rsid w:val="00244576"/>
    <w:rsid w:val="002445BC"/>
    <w:rsid w:val="00244650"/>
    <w:rsid w:val="002446A6"/>
    <w:rsid w:val="002447FA"/>
    <w:rsid w:val="00244972"/>
    <w:rsid w:val="00244A03"/>
    <w:rsid w:val="00244A8D"/>
    <w:rsid w:val="00244AA7"/>
    <w:rsid w:val="00244AB1"/>
    <w:rsid w:val="00244B6A"/>
    <w:rsid w:val="00244BA4"/>
    <w:rsid w:val="00244C5C"/>
    <w:rsid w:val="00244CA7"/>
    <w:rsid w:val="00244D75"/>
    <w:rsid w:val="00244D8E"/>
    <w:rsid w:val="00244E01"/>
    <w:rsid w:val="00244E6B"/>
    <w:rsid w:val="00244F01"/>
    <w:rsid w:val="00244F7D"/>
    <w:rsid w:val="00245007"/>
    <w:rsid w:val="0024511D"/>
    <w:rsid w:val="0024512D"/>
    <w:rsid w:val="002451A5"/>
    <w:rsid w:val="002451C8"/>
    <w:rsid w:val="0024523F"/>
    <w:rsid w:val="002452D9"/>
    <w:rsid w:val="00245322"/>
    <w:rsid w:val="0024542C"/>
    <w:rsid w:val="002454E7"/>
    <w:rsid w:val="0024552E"/>
    <w:rsid w:val="0024592D"/>
    <w:rsid w:val="00245957"/>
    <w:rsid w:val="00245978"/>
    <w:rsid w:val="002459DC"/>
    <w:rsid w:val="00245B0D"/>
    <w:rsid w:val="00245C2A"/>
    <w:rsid w:val="00245CAA"/>
    <w:rsid w:val="00245CBD"/>
    <w:rsid w:val="00245DAB"/>
    <w:rsid w:val="00245DD5"/>
    <w:rsid w:val="00245ED3"/>
    <w:rsid w:val="00245F0A"/>
    <w:rsid w:val="00245F26"/>
    <w:rsid w:val="00245F75"/>
    <w:rsid w:val="00245FD3"/>
    <w:rsid w:val="002462D3"/>
    <w:rsid w:val="002462EF"/>
    <w:rsid w:val="00246306"/>
    <w:rsid w:val="0024631D"/>
    <w:rsid w:val="002463C6"/>
    <w:rsid w:val="002464C2"/>
    <w:rsid w:val="00246601"/>
    <w:rsid w:val="002466F7"/>
    <w:rsid w:val="00246851"/>
    <w:rsid w:val="00246881"/>
    <w:rsid w:val="00246A83"/>
    <w:rsid w:val="00246B9D"/>
    <w:rsid w:val="00246BDB"/>
    <w:rsid w:val="00246CEA"/>
    <w:rsid w:val="00246D45"/>
    <w:rsid w:val="00246D6F"/>
    <w:rsid w:val="00246FCD"/>
    <w:rsid w:val="0024707D"/>
    <w:rsid w:val="002470EB"/>
    <w:rsid w:val="002472FD"/>
    <w:rsid w:val="002475E8"/>
    <w:rsid w:val="00247690"/>
    <w:rsid w:val="00247778"/>
    <w:rsid w:val="00247782"/>
    <w:rsid w:val="00247792"/>
    <w:rsid w:val="002478D8"/>
    <w:rsid w:val="002478E5"/>
    <w:rsid w:val="002478E9"/>
    <w:rsid w:val="00247A98"/>
    <w:rsid w:val="00247C58"/>
    <w:rsid w:val="00247CEC"/>
    <w:rsid w:val="00247D54"/>
    <w:rsid w:val="00247E9B"/>
    <w:rsid w:val="00247EEE"/>
    <w:rsid w:val="00247F91"/>
    <w:rsid w:val="00250000"/>
    <w:rsid w:val="002501BE"/>
    <w:rsid w:val="002502B1"/>
    <w:rsid w:val="00250324"/>
    <w:rsid w:val="00250345"/>
    <w:rsid w:val="00250409"/>
    <w:rsid w:val="00250493"/>
    <w:rsid w:val="00250549"/>
    <w:rsid w:val="00250583"/>
    <w:rsid w:val="0025064F"/>
    <w:rsid w:val="0025069D"/>
    <w:rsid w:val="00250778"/>
    <w:rsid w:val="00250865"/>
    <w:rsid w:val="00250969"/>
    <w:rsid w:val="00250A0F"/>
    <w:rsid w:val="00250C1E"/>
    <w:rsid w:val="00250C51"/>
    <w:rsid w:val="00250D9F"/>
    <w:rsid w:val="00250E07"/>
    <w:rsid w:val="00251008"/>
    <w:rsid w:val="002510AE"/>
    <w:rsid w:val="002510CC"/>
    <w:rsid w:val="002510D5"/>
    <w:rsid w:val="002510E8"/>
    <w:rsid w:val="0025110B"/>
    <w:rsid w:val="00251168"/>
    <w:rsid w:val="002512ED"/>
    <w:rsid w:val="00251350"/>
    <w:rsid w:val="00251412"/>
    <w:rsid w:val="00251414"/>
    <w:rsid w:val="00251450"/>
    <w:rsid w:val="002514A6"/>
    <w:rsid w:val="00251538"/>
    <w:rsid w:val="00251594"/>
    <w:rsid w:val="0025164B"/>
    <w:rsid w:val="0025187C"/>
    <w:rsid w:val="00251A95"/>
    <w:rsid w:val="00251B70"/>
    <w:rsid w:val="00251BF0"/>
    <w:rsid w:val="00251D93"/>
    <w:rsid w:val="00251EAC"/>
    <w:rsid w:val="0025202B"/>
    <w:rsid w:val="0025212A"/>
    <w:rsid w:val="00252346"/>
    <w:rsid w:val="0025260D"/>
    <w:rsid w:val="0025266F"/>
    <w:rsid w:val="00252727"/>
    <w:rsid w:val="00252754"/>
    <w:rsid w:val="00252771"/>
    <w:rsid w:val="00252854"/>
    <w:rsid w:val="002528A8"/>
    <w:rsid w:val="002529A8"/>
    <w:rsid w:val="00252A14"/>
    <w:rsid w:val="00252A9E"/>
    <w:rsid w:val="00252D59"/>
    <w:rsid w:val="00252E12"/>
    <w:rsid w:val="00252E16"/>
    <w:rsid w:val="00252E1B"/>
    <w:rsid w:val="00252E87"/>
    <w:rsid w:val="00252EB3"/>
    <w:rsid w:val="00252F0B"/>
    <w:rsid w:val="00252FE4"/>
    <w:rsid w:val="0025305E"/>
    <w:rsid w:val="00253099"/>
    <w:rsid w:val="002530C1"/>
    <w:rsid w:val="002530E8"/>
    <w:rsid w:val="00253116"/>
    <w:rsid w:val="0025314A"/>
    <w:rsid w:val="00253163"/>
    <w:rsid w:val="00253165"/>
    <w:rsid w:val="00253332"/>
    <w:rsid w:val="002533A4"/>
    <w:rsid w:val="002534F6"/>
    <w:rsid w:val="00253519"/>
    <w:rsid w:val="00253523"/>
    <w:rsid w:val="00253548"/>
    <w:rsid w:val="0025357E"/>
    <w:rsid w:val="002535A8"/>
    <w:rsid w:val="00253611"/>
    <w:rsid w:val="0025362F"/>
    <w:rsid w:val="00253670"/>
    <w:rsid w:val="002536E7"/>
    <w:rsid w:val="002537A5"/>
    <w:rsid w:val="00253C42"/>
    <w:rsid w:val="00253E62"/>
    <w:rsid w:val="00253E9B"/>
    <w:rsid w:val="0025403A"/>
    <w:rsid w:val="002541DB"/>
    <w:rsid w:val="0025446C"/>
    <w:rsid w:val="00254472"/>
    <w:rsid w:val="00254480"/>
    <w:rsid w:val="0025448F"/>
    <w:rsid w:val="002544E9"/>
    <w:rsid w:val="00254535"/>
    <w:rsid w:val="00254570"/>
    <w:rsid w:val="00254587"/>
    <w:rsid w:val="002546C9"/>
    <w:rsid w:val="002546DF"/>
    <w:rsid w:val="00254780"/>
    <w:rsid w:val="00254781"/>
    <w:rsid w:val="00254864"/>
    <w:rsid w:val="002548FF"/>
    <w:rsid w:val="00254926"/>
    <w:rsid w:val="00254947"/>
    <w:rsid w:val="002549B2"/>
    <w:rsid w:val="002549FC"/>
    <w:rsid w:val="00254A2C"/>
    <w:rsid w:val="00254A83"/>
    <w:rsid w:val="00254C4E"/>
    <w:rsid w:val="00254CB7"/>
    <w:rsid w:val="00254D57"/>
    <w:rsid w:val="00254E37"/>
    <w:rsid w:val="00254F87"/>
    <w:rsid w:val="002550AB"/>
    <w:rsid w:val="002550D3"/>
    <w:rsid w:val="002550FF"/>
    <w:rsid w:val="0025515B"/>
    <w:rsid w:val="00255198"/>
    <w:rsid w:val="002551D6"/>
    <w:rsid w:val="002552E9"/>
    <w:rsid w:val="002553A5"/>
    <w:rsid w:val="00255558"/>
    <w:rsid w:val="0025559E"/>
    <w:rsid w:val="0025561F"/>
    <w:rsid w:val="002557A0"/>
    <w:rsid w:val="002557B1"/>
    <w:rsid w:val="002557B3"/>
    <w:rsid w:val="00255885"/>
    <w:rsid w:val="002558FF"/>
    <w:rsid w:val="00255969"/>
    <w:rsid w:val="00255A57"/>
    <w:rsid w:val="00255AB9"/>
    <w:rsid w:val="00255BD4"/>
    <w:rsid w:val="00255BDF"/>
    <w:rsid w:val="00255C18"/>
    <w:rsid w:val="00255CFE"/>
    <w:rsid w:val="00255D6D"/>
    <w:rsid w:val="00255DCE"/>
    <w:rsid w:val="00255DE6"/>
    <w:rsid w:val="00255E4A"/>
    <w:rsid w:val="00255EBB"/>
    <w:rsid w:val="00255EE8"/>
    <w:rsid w:val="00255F12"/>
    <w:rsid w:val="00256033"/>
    <w:rsid w:val="00256063"/>
    <w:rsid w:val="002560FD"/>
    <w:rsid w:val="00256153"/>
    <w:rsid w:val="002562A5"/>
    <w:rsid w:val="002562E7"/>
    <w:rsid w:val="0025634B"/>
    <w:rsid w:val="0025653A"/>
    <w:rsid w:val="002566A0"/>
    <w:rsid w:val="00256701"/>
    <w:rsid w:val="002567A0"/>
    <w:rsid w:val="002567AF"/>
    <w:rsid w:val="00256BE5"/>
    <w:rsid w:val="00256CEE"/>
    <w:rsid w:val="00256E5B"/>
    <w:rsid w:val="00256F2D"/>
    <w:rsid w:val="0025704C"/>
    <w:rsid w:val="002570F7"/>
    <w:rsid w:val="00257189"/>
    <w:rsid w:val="002571A5"/>
    <w:rsid w:val="002572A3"/>
    <w:rsid w:val="0025731F"/>
    <w:rsid w:val="00257381"/>
    <w:rsid w:val="002574CD"/>
    <w:rsid w:val="0025758C"/>
    <w:rsid w:val="00257730"/>
    <w:rsid w:val="00257782"/>
    <w:rsid w:val="002577E9"/>
    <w:rsid w:val="0025793C"/>
    <w:rsid w:val="00257AF5"/>
    <w:rsid w:val="00257B86"/>
    <w:rsid w:val="00257C62"/>
    <w:rsid w:val="00257CDA"/>
    <w:rsid w:val="00257DF6"/>
    <w:rsid w:val="00257EDF"/>
    <w:rsid w:val="00257FCC"/>
    <w:rsid w:val="00260025"/>
    <w:rsid w:val="00260062"/>
    <w:rsid w:val="00260117"/>
    <w:rsid w:val="002601D1"/>
    <w:rsid w:val="00260402"/>
    <w:rsid w:val="00260873"/>
    <w:rsid w:val="00260A49"/>
    <w:rsid w:val="00260B5C"/>
    <w:rsid w:val="00260BAB"/>
    <w:rsid w:val="00260BAF"/>
    <w:rsid w:val="00260CF7"/>
    <w:rsid w:val="00260E81"/>
    <w:rsid w:val="00261058"/>
    <w:rsid w:val="002610E7"/>
    <w:rsid w:val="00261121"/>
    <w:rsid w:val="0026121D"/>
    <w:rsid w:val="00261265"/>
    <w:rsid w:val="0026130C"/>
    <w:rsid w:val="0026139E"/>
    <w:rsid w:val="0026146F"/>
    <w:rsid w:val="002614E6"/>
    <w:rsid w:val="00261541"/>
    <w:rsid w:val="00261690"/>
    <w:rsid w:val="0026169A"/>
    <w:rsid w:val="0026169D"/>
    <w:rsid w:val="002617AC"/>
    <w:rsid w:val="002618EB"/>
    <w:rsid w:val="00261937"/>
    <w:rsid w:val="002619DA"/>
    <w:rsid w:val="00261A92"/>
    <w:rsid w:val="00261AA2"/>
    <w:rsid w:val="00261ADE"/>
    <w:rsid w:val="00261B96"/>
    <w:rsid w:val="00261B9B"/>
    <w:rsid w:val="00261BEC"/>
    <w:rsid w:val="00261BF4"/>
    <w:rsid w:val="00261C1B"/>
    <w:rsid w:val="00261CAD"/>
    <w:rsid w:val="00261D19"/>
    <w:rsid w:val="00261D1E"/>
    <w:rsid w:val="00261E08"/>
    <w:rsid w:val="00261E76"/>
    <w:rsid w:val="00261F55"/>
    <w:rsid w:val="00262033"/>
    <w:rsid w:val="00262097"/>
    <w:rsid w:val="002620C3"/>
    <w:rsid w:val="00262263"/>
    <w:rsid w:val="00262265"/>
    <w:rsid w:val="002623C3"/>
    <w:rsid w:val="0026256D"/>
    <w:rsid w:val="0026258F"/>
    <w:rsid w:val="00262594"/>
    <w:rsid w:val="00262600"/>
    <w:rsid w:val="00262626"/>
    <w:rsid w:val="00262644"/>
    <w:rsid w:val="00262754"/>
    <w:rsid w:val="002627E2"/>
    <w:rsid w:val="002628B9"/>
    <w:rsid w:val="002628D7"/>
    <w:rsid w:val="002628E6"/>
    <w:rsid w:val="00262A68"/>
    <w:rsid w:val="00262AEE"/>
    <w:rsid w:val="00262BCB"/>
    <w:rsid w:val="00262DB0"/>
    <w:rsid w:val="00262E1F"/>
    <w:rsid w:val="00262E42"/>
    <w:rsid w:val="00262E74"/>
    <w:rsid w:val="00262E84"/>
    <w:rsid w:val="00263056"/>
    <w:rsid w:val="00263085"/>
    <w:rsid w:val="0026311B"/>
    <w:rsid w:val="0026315F"/>
    <w:rsid w:val="00263287"/>
    <w:rsid w:val="0026335F"/>
    <w:rsid w:val="0026338F"/>
    <w:rsid w:val="00263434"/>
    <w:rsid w:val="002634A2"/>
    <w:rsid w:val="002634DE"/>
    <w:rsid w:val="0026350F"/>
    <w:rsid w:val="0026364A"/>
    <w:rsid w:val="0026371E"/>
    <w:rsid w:val="00263B46"/>
    <w:rsid w:val="00263B75"/>
    <w:rsid w:val="00263C64"/>
    <w:rsid w:val="00263D52"/>
    <w:rsid w:val="00263D64"/>
    <w:rsid w:val="00263EFA"/>
    <w:rsid w:val="00264185"/>
    <w:rsid w:val="002641C2"/>
    <w:rsid w:val="0026422F"/>
    <w:rsid w:val="0026429C"/>
    <w:rsid w:val="0026434F"/>
    <w:rsid w:val="00264358"/>
    <w:rsid w:val="00264548"/>
    <w:rsid w:val="00264917"/>
    <w:rsid w:val="002649FA"/>
    <w:rsid w:val="00264AE9"/>
    <w:rsid w:val="00264B22"/>
    <w:rsid w:val="00264BAC"/>
    <w:rsid w:val="00264D36"/>
    <w:rsid w:val="00264FC1"/>
    <w:rsid w:val="00265004"/>
    <w:rsid w:val="00265038"/>
    <w:rsid w:val="00265041"/>
    <w:rsid w:val="0026505F"/>
    <w:rsid w:val="002650BC"/>
    <w:rsid w:val="0026511A"/>
    <w:rsid w:val="002651AA"/>
    <w:rsid w:val="00265269"/>
    <w:rsid w:val="002652D6"/>
    <w:rsid w:val="0026530D"/>
    <w:rsid w:val="0026532A"/>
    <w:rsid w:val="0026554E"/>
    <w:rsid w:val="00265619"/>
    <w:rsid w:val="0026563A"/>
    <w:rsid w:val="00265712"/>
    <w:rsid w:val="0026582A"/>
    <w:rsid w:val="0026592B"/>
    <w:rsid w:val="002659A9"/>
    <w:rsid w:val="00265AF8"/>
    <w:rsid w:val="00265C75"/>
    <w:rsid w:val="00265CAF"/>
    <w:rsid w:val="00265CE3"/>
    <w:rsid w:val="00265D21"/>
    <w:rsid w:val="00265D30"/>
    <w:rsid w:val="00265DCD"/>
    <w:rsid w:val="00265F0A"/>
    <w:rsid w:val="00265F1A"/>
    <w:rsid w:val="00266116"/>
    <w:rsid w:val="002661EF"/>
    <w:rsid w:val="0026625D"/>
    <w:rsid w:val="00266322"/>
    <w:rsid w:val="0026645D"/>
    <w:rsid w:val="00266490"/>
    <w:rsid w:val="00266745"/>
    <w:rsid w:val="0026674E"/>
    <w:rsid w:val="00266772"/>
    <w:rsid w:val="0026690A"/>
    <w:rsid w:val="00266969"/>
    <w:rsid w:val="00266998"/>
    <w:rsid w:val="00266A3C"/>
    <w:rsid w:val="00266AF8"/>
    <w:rsid w:val="00266B31"/>
    <w:rsid w:val="00266B61"/>
    <w:rsid w:val="00266BA8"/>
    <w:rsid w:val="00266BDC"/>
    <w:rsid w:val="00266CF9"/>
    <w:rsid w:val="00267075"/>
    <w:rsid w:val="002670F9"/>
    <w:rsid w:val="00267104"/>
    <w:rsid w:val="00267206"/>
    <w:rsid w:val="00267271"/>
    <w:rsid w:val="00267348"/>
    <w:rsid w:val="00267364"/>
    <w:rsid w:val="00267366"/>
    <w:rsid w:val="00267386"/>
    <w:rsid w:val="002673C8"/>
    <w:rsid w:val="002675E6"/>
    <w:rsid w:val="00267643"/>
    <w:rsid w:val="00267680"/>
    <w:rsid w:val="00267B59"/>
    <w:rsid w:val="00267C22"/>
    <w:rsid w:val="00267CDA"/>
    <w:rsid w:val="00267D32"/>
    <w:rsid w:val="00267D7D"/>
    <w:rsid w:val="00267D9C"/>
    <w:rsid w:val="00267E32"/>
    <w:rsid w:val="00267EAE"/>
    <w:rsid w:val="00267FC9"/>
    <w:rsid w:val="0027010D"/>
    <w:rsid w:val="0027016F"/>
    <w:rsid w:val="0027018E"/>
    <w:rsid w:val="0027026B"/>
    <w:rsid w:val="002702D0"/>
    <w:rsid w:val="00270350"/>
    <w:rsid w:val="00270355"/>
    <w:rsid w:val="0027046C"/>
    <w:rsid w:val="002704A9"/>
    <w:rsid w:val="00270530"/>
    <w:rsid w:val="00270553"/>
    <w:rsid w:val="0027062C"/>
    <w:rsid w:val="00270647"/>
    <w:rsid w:val="002706DC"/>
    <w:rsid w:val="00270714"/>
    <w:rsid w:val="0027077C"/>
    <w:rsid w:val="00270B94"/>
    <w:rsid w:val="00270B9B"/>
    <w:rsid w:val="00270B9C"/>
    <w:rsid w:val="00270C7B"/>
    <w:rsid w:val="00270CA9"/>
    <w:rsid w:val="00270CE2"/>
    <w:rsid w:val="00270E35"/>
    <w:rsid w:val="00270E72"/>
    <w:rsid w:val="00270F55"/>
    <w:rsid w:val="00270FB8"/>
    <w:rsid w:val="00271000"/>
    <w:rsid w:val="00271178"/>
    <w:rsid w:val="002711AC"/>
    <w:rsid w:val="00271363"/>
    <w:rsid w:val="00271606"/>
    <w:rsid w:val="00271658"/>
    <w:rsid w:val="002716F2"/>
    <w:rsid w:val="00271785"/>
    <w:rsid w:val="00271894"/>
    <w:rsid w:val="00271A14"/>
    <w:rsid w:val="00271A7D"/>
    <w:rsid w:val="00271AF8"/>
    <w:rsid w:val="00271BED"/>
    <w:rsid w:val="00271C71"/>
    <w:rsid w:val="00271C94"/>
    <w:rsid w:val="00271CFA"/>
    <w:rsid w:val="00271CFB"/>
    <w:rsid w:val="00271D5F"/>
    <w:rsid w:val="00271D6A"/>
    <w:rsid w:val="00271DC9"/>
    <w:rsid w:val="00271DFC"/>
    <w:rsid w:val="00272042"/>
    <w:rsid w:val="0027216D"/>
    <w:rsid w:val="002721D9"/>
    <w:rsid w:val="002721DB"/>
    <w:rsid w:val="00272205"/>
    <w:rsid w:val="002722B8"/>
    <w:rsid w:val="002725C6"/>
    <w:rsid w:val="002727C0"/>
    <w:rsid w:val="002727D4"/>
    <w:rsid w:val="0027281E"/>
    <w:rsid w:val="00272842"/>
    <w:rsid w:val="00272883"/>
    <w:rsid w:val="00272997"/>
    <w:rsid w:val="00272A06"/>
    <w:rsid w:val="00272AE8"/>
    <w:rsid w:val="00272C49"/>
    <w:rsid w:val="00272CF8"/>
    <w:rsid w:val="00272E15"/>
    <w:rsid w:val="00272FD4"/>
    <w:rsid w:val="0027307C"/>
    <w:rsid w:val="002730BF"/>
    <w:rsid w:val="0027316F"/>
    <w:rsid w:val="0027319B"/>
    <w:rsid w:val="0027339E"/>
    <w:rsid w:val="0027340A"/>
    <w:rsid w:val="002734AC"/>
    <w:rsid w:val="00273656"/>
    <w:rsid w:val="00273798"/>
    <w:rsid w:val="0027386C"/>
    <w:rsid w:val="00273881"/>
    <w:rsid w:val="00273A1E"/>
    <w:rsid w:val="00273A60"/>
    <w:rsid w:val="00273A83"/>
    <w:rsid w:val="00273B22"/>
    <w:rsid w:val="00273C3B"/>
    <w:rsid w:val="00273C3D"/>
    <w:rsid w:val="00273C4F"/>
    <w:rsid w:val="00273C68"/>
    <w:rsid w:val="00273CC1"/>
    <w:rsid w:val="00273CF7"/>
    <w:rsid w:val="00273E2D"/>
    <w:rsid w:val="00273E88"/>
    <w:rsid w:val="00273EDD"/>
    <w:rsid w:val="002740F2"/>
    <w:rsid w:val="0027430D"/>
    <w:rsid w:val="002743DC"/>
    <w:rsid w:val="00274476"/>
    <w:rsid w:val="00274484"/>
    <w:rsid w:val="0027449F"/>
    <w:rsid w:val="002744F8"/>
    <w:rsid w:val="0027454D"/>
    <w:rsid w:val="00274551"/>
    <w:rsid w:val="002745AA"/>
    <w:rsid w:val="002747AD"/>
    <w:rsid w:val="002747B3"/>
    <w:rsid w:val="0027485C"/>
    <w:rsid w:val="0027488F"/>
    <w:rsid w:val="0027489B"/>
    <w:rsid w:val="002748D8"/>
    <w:rsid w:val="0027491C"/>
    <w:rsid w:val="00274972"/>
    <w:rsid w:val="00274A61"/>
    <w:rsid w:val="00274AA3"/>
    <w:rsid w:val="00274ABD"/>
    <w:rsid w:val="00274E15"/>
    <w:rsid w:val="00274E57"/>
    <w:rsid w:val="00274F32"/>
    <w:rsid w:val="00275014"/>
    <w:rsid w:val="00275061"/>
    <w:rsid w:val="002750D1"/>
    <w:rsid w:val="00275105"/>
    <w:rsid w:val="00275140"/>
    <w:rsid w:val="00275149"/>
    <w:rsid w:val="0027515C"/>
    <w:rsid w:val="002752FA"/>
    <w:rsid w:val="002754D3"/>
    <w:rsid w:val="002755EC"/>
    <w:rsid w:val="0027563A"/>
    <w:rsid w:val="002756BF"/>
    <w:rsid w:val="0027570C"/>
    <w:rsid w:val="00275719"/>
    <w:rsid w:val="00275749"/>
    <w:rsid w:val="00275806"/>
    <w:rsid w:val="0027599B"/>
    <w:rsid w:val="00275C44"/>
    <w:rsid w:val="00275C4B"/>
    <w:rsid w:val="00275DAB"/>
    <w:rsid w:val="00275DD7"/>
    <w:rsid w:val="00275FED"/>
    <w:rsid w:val="00275FF8"/>
    <w:rsid w:val="0027606A"/>
    <w:rsid w:val="002760C8"/>
    <w:rsid w:val="00276125"/>
    <w:rsid w:val="00276192"/>
    <w:rsid w:val="002761D4"/>
    <w:rsid w:val="002762C3"/>
    <w:rsid w:val="00276397"/>
    <w:rsid w:val="00276432"/>
    <w:rsid w:val="002764C0"/>
    <w:rsid w:val="002765B1"/>
    <w:rsid w:val="0027661A"/>
    <w:rsid w:val="002766C8"/>
    <w:rsid w:val="002766E1"/>
    <w:rsid w:val="002768D2"/>
    <w:rsid w:val="0027692F"/>
    <w:rsid w:val="002769F6"/>
    <w:rsid w:val="00276A1A"/>
    <w:rsid w:val="00276AB8"/>
    <w:rsid w:val="00276AE4"/>
    <w:rsid w:val="00276BE1"/>
    <w:rsid w:val="00276C3A"/>
    <w:rsid w:val="00276C7A"/>
    <w:rsid w:val="00276D5B"/>
    <w:rsid w:val="00276DFB"/>
    <w:rsid w:val="00276E53"/>
    <w:rsid w:val="00276FD4"/>
    <w:rsid w:val="0027707E"/>
    <w:rsid w:val="002770BD"/>
    <w:rsid w:val="0027711B"/>
    <w:rsid w:val="00277185"/>
    <w:rsid w:val="002771D8"/>
    <w:rsid w:val="002772F0"/>
    <w:rsid w:val="00277408"/>
    <w:rsid w:val="0027755C"/>
    <w:rsid w:val="00277579"/>
    <w:rsid w:val="00277703"/>
    <w:rsid w:val="00277773"/>
    <w:rsid w:val="002778D5"/>
    <w:rsid w:val="00277948"/>
    <w:rsid w:val="00277B3B"/>
    <w:rsid w:val="00277D06"/>
    <w:rsid w:val="00277E1C"/>
    <w:rsid w:val="00277EC8"/>
    <w:rsid w:val="00277FDE"/>
    <w:rsid w:val="00280088"/>
    <w:rsid w:val="002800A8"/>
    <w:rsid w:val="002800E0"/>
    <w:rsid w:val="002800E3"/>
    <w:rsid w:val="00280215"/>
    <w:rsid w:val="0028028F"/>
    <w:rsid w:val="002802E8"/>
    <w:rsid w:val="00280316"/>
    <w:rsid w:val="00280325"/>
    <w:rsid w:val="002803AD"/>
    <w:rsid w:val="002804BF"/>
    <w:rsid w:val="002804C0"/>
    <w:rsid w:val="002804F8"/>
    <w:rsid w:val="00280576"/>
    <w:rsid w:val="002805AA"/>
    <w:rsid w:val="002805C1"/>
    <w:rsid w:val="002805D5"/>
    <w:rsid w:val="0028072C"/>
    <w:rsid w:val="002808B3"/>
    <w:rsid w:val="002808CB"/>
    <w:rsid w:val="00280981"/>
    <w:rsid w:val="002809AC"/>
    <w:rsid w:val="00280A09"/>
    <w:rsid w:val="00280C2E"/>
    <w:rsid w:val="00280C88"/>
    <w:rsid w:val="00280D29"/>
    <w:rsid w:val="00280E00"/>
    <w:rsid w:val="00280EF1"/>
    <w:rsid w:val="00280F4C"/>
    <w:rsid w:val="00281132"/>
    <w:rsid w:val="0028121B"/>
    <w:rsid w:val="002812E5"/>
    <w:rsid w:val="00281351"/>
    <w:rsid w:val="002813B8"/>
    <w:rsid w:val="0028144B"/>
    <w:rsid w:val="00281650"/>
    <w:rsid w:val="0028171D"/>
    <w:rsid w:val="00281790"/>
    <w:rsid w:val="00281897"/>
    <w:rsid w:val="00281916"/>
    <w:rsid w:val="00281936"/>
    <w:rsid w:val="00281944"/>
    <w:rsid w:val="002819BA"/>
    <w:rsid w:val="00281A05"/>
    <w:rsid w:val="00281A40"/>
    <w:rsid w:val="00281A95"/>
    <w:rsid w:val="00281BE3"/>
    <w:rsid w:val="00281DF3"/>
    <w:rsid w:val="00281E38"/>
    <w:rsid w:val="00281FB0"/>
    <w:rsid w:val="00281FB7"/>
    <w:rsid w:val="00281FCE"/>
    <w:rsid w:val="002820A9"/>
    <w:rsid w:val="002821CD"/>
    <w:rsid w:val="002822EA"/>
    <w:rsid w:val="0028230B"/>
    <w:rsid w:val="0028241F"/>
    <w:rsid w:val="00282559"/>
    <w:rsid w:val="002826A9"/>
    <w:rsid w:val="002826AF"/>
    <w:rsid w:val="00282782"/>
    <w:rsid w:val="0028278E"/>
    <w:rsid w:val="00282838"/>
    <w:rsid w:val="0028285F"/>
    <w:rsid w:val="00282980"/>
    <w:rsid w:val="002829C9"/>
    <w:rsid w:val="00282A61"/>
    <w:rsid w:val="00282ACB"/>
    <w:rsid w:val="00282C1D"/>
    <w:rsid w:val="00282CD6"/>
    <w:rsid w:val="00282CD7"/>
    <w:rsid w:val="00282CEB"/>
    <w:rsid w:val="00282DB5"/>
    <w:rsid w:val="00282E85"/>
    <w:rsid w:val="00282F21"/>
    <w:rsid w:val="00282FD3"/>
    <w:rsid w:val="00283087"/>
    <w:rsid w:val="0028312B"/>
    <w:rsid w:val="0028314C"/>
    <w:rsid w:val="0028315F"/>
    <w:rsid w:val="002831B6"/>
    <w:rsid w:val="00283201"/>
    <w:rsid w:val="00283264"/>
    <w:rsid w:val="0028328D"/>
    <w:rsid w:val="002832DD"/>
    <w:rsid w:val="00283342"/>
    <w:rsid w:val="002833B8"/>
    <w:rsid w:val="002834FE"/>
    <w:rsid w:val="0028361C"/>
    <w:rsid w:val="00283700"/>
    <w:rsid w:val="00283717"/>
    <w:rsid w:val="002837E5"/>
    <w:rsid w:val="002838DF"/>
    <w:rsid w:val="00283972"/>
    <w:rsid w:val="002839B8"/>
    <w:rsid w:val="00283A7D"/>
    <w:rsid w:val="00283B1E"/>
    <w:rsid w:val="00283CD3"/>
    <w:rsid w:val="00283D89"/>
    <w:rsid w:val="00283ED9"/>
    <w:rsid w:val="00283FDD"/>
    <w:rsid w:val="0028409E"/>
    <w:rsid w:val="0028418E"/>
    <w:rsid w:val="002841A0"/>
    <w:rsid w:val="002841B9"/>
    <w:rsid w:val="002841C8"/>
    <w:rsid w:val="002843CB"/>
    <w:rsid w:val="002844D8"/>
    <w:rsid w:val="00284548"/>
    <w:rsid w:val="0028454F"/>
    <w:rsid w:val="00284586"/>
    <w:rsid w:val="002845DA"/>
    <w:rsid w:val="00284650"/>
    <w:rsid w:val="0028477C"/>
    <w:rsid w:val="002847AD"/>
    <w:rsid w:val="00284876"/>
    <w:rsid w:val="00284A85"/>
    <w:rsid w:val="00284ABD"/>
    <w:rsid w:val="00284AD7"/>
    <w:rsid w:val="00284B2C"/>
    <w:rsid w:val="00284D35"/>
    <w:rsid w:val="00284F80"/>
    <w:rsid w:val="00284FC7"/>
    <w:rsid w:val="00284FD3"/>
    <w:rsid w:val="00285029"/>
    <w:rsid w:val="0028504A"/>
    <w:rsid w:val="002850E0"/>
    <w:rsid w:val="002852AA"/>
    <w:rsid w:val="002852D7"/>
    <w:rsid w:val="00285389"/>
    <w:rsid w:val="00285494"/>
    <w:rsid w:val="002854BD"/>
    <w:rsid w:val="002855DB"/>
    <w:rsid w:val="00285719"/>
    <w:rsid w:val="0028573D"/>
    <w:rsid w:val="00285753"/>
    <w:rsid w:val="00285873"/>
    <w:rsid w:val="002858B5"/>
    <w:rsid w:val="002858C0"/>
    <w:rsid w:val="00285925"/>
    <w:rsid w:val="00285A0B"/>
    <w:rsid w:val="00285ABD"/>
    <w:rsid w:val="00285B2E"/>
    <w:rsid w:val="00285B44"/>
    <w:rsid w:val="00285C74"/>
    <w:rsid w:val="00285D1B"/>
    <w:rsid w:val="00285D1E"/>
    <w:rsid w:val="00285E70"/>
    <w:rsid w:val="00285FEF"/>
    <w:rsid w:val="002860C4"/>
    <w:rsid w:val="00286256"/>
    <w:rsid w:val="002862A3"/>
    <w:rsid w:val="0028631F"/>
    <w:rsid w:val="0028632B"/>
    <w:rsid w:val="00286364"/>
    <w:rsid w:val="002865B6"/>
    <w:rsid w:val="00286622"/>
    <w:rsid w:val="0028688A"/>
    <w:rsid w:val="0028689C"/>
    <w:rsid w:val="002869C6"/>
    <w:rsid w:val="00286AA2"/>
    <w:rsid w:val="00286AEA"/>
    <w:rsid w:val="00286AEF"/>
    <w:rsid w:val="00286B07"/>
    <w:rsid w:val="00286B8C"/>
    <w:rsid w:val="00286C8F"/>
    <w:rsid w:val="00286DD4"/>
    <w:rsid w:val="00286DFF"/>
    <w:rsid w:val="00286E0A"/>
    <w:rsid w:val="00286F2D"/>
    <w:rsid w:val="00286FCE"/>
    <w:rsid w:val="00287049"/>
    <w:rsid w:val="002870EF"/>
    <w:rsid w:val="00287137"/>
    <w:rsid w:val="00287252"/>
    <w:rsid w:val="00287261"/>
    <w:rsid w:val="002872AE"/>
    <w:rsid w:val="002873E0"/>
    <w:rsid w:val="00287500"/>
    <w:rsid w:val="0028754A"/>
    <w:rsid w:val="002875E7"/>
    <w:rsid w:val="00287652"/>
    <w:rsid w:val="00287686"/>
    <w:rsid w:val="002876F6"/>
    <w:rsid w:val="00287760"/>
    <w:rsid w:val="00287806"/>
    <w:rsid w:val="00287835"/>
    <w:rsid w:val="002878A7"/>
    <w:rsid w:val="00287936"/>
    <w:rsid w:val="002879C4"/>
    <w:rsid w:val="00287B45"/>
    <w:rsid w:val="00287B5A"/>
    <w:rsid w:val="00287B8D"/>
    <w:rsid w:val="00287BED"/>
    <w:rsid w:val="00287C78"/>
    <w:rsid w:val="00287CE5"/>
    <w:rsid w:val="00287D1D"/>
    <w:rsid w:val="00287DF0"/>
    <w:rsid w:val="00287F90"/>
    <w:rsid w:val="002901F0"/>
    <w:rsid w:val="00290287"/>
    <w:rsid w:val="002902B1"/>
    <w:rsid w:val="00290412"/>
    <w:rsid w:val="0029043D"/>
    <w:rsid w:val="00290451"/>
    <w:rsid w:val="002904E1"/>
    <w:rsid w:val="0029050E"/>
    <w:rsid w:val="002905E9"/>
    <w:rsid w:val="0029061C"/>
    <w:rsid w:val="002906A1"/>
    <w:rsid w:val="002906E7"/>
    <w:rsid w:val="00290765"/>
    <w:rsid w:val="002907EB"/>
    <w:rsid w:val="0029089B"/>
    <w:rsid w:val="0029093E"/>
    <w:rsid w:val="00290C80"/>
    <w:rsid w:val="00290C88"/>
    <w:rsid w:val="00290E35"/>
    <w:rsid w:val="00290E5F"/>
    <w:rsid w:val="00290E7A"/>
    <w:rsid w:val="00290EBD"/>
    <w:rsid w:val="00290F5B"/>
    <w:rsid w:val="00290FF9"/>
    <w:rsid w:val="00290FFB"/>
    <w:rsid w:val="00291099"/>
    <w:rsid w:val="002910B2"/>
    <w:rsid w:val="00291117"/>
    <w:rsid w:val="00291493"/>
    <w:rsid w:val="002914B6"/>
    <w:rsid w:val="00291526"/>
    <w:rsid w:val="0029152D"/>
    <w:rsid w:val="002915A6"/>
    <w:rsid w:val="0029160D"/>
    <w:rsid w:val="00291924"/>
    <w:rsid w:val="00291940"/>
    <w:rsid w:val="00291950"/>
    <w:rsid w:val="002919DF"/>
    <w:rsid w:val="00291C09"/>
    <w:rsid w:val="00291E54"/>
    <w:rsid w:val="00291E6B"/>
    <w:rsid w:val="00291E8B"/>
    <w:rsid w:val="00291F0A"/>
    <w:rsid w:val="00291F51"/>
    <w:rsid w:val="00292145"/>
    <w:rsid w:val="0029231A"/>
    <w:rsid w:val="002924C8"/>
    <w:rsid w:val="002925C4"/>
    <w:rsid w:val="002925F1"/>
    <w:rsid w:val="0029264C"/>
    <w:rsid w:val="002926C0"/>
    <w:rsid w:val="002927FB"/>
    <w:rsid w:val="00292801"/>
    <w:rsid w:val="002928EC"/>
    <w:rsid w:val="00292B96"/>
    <w:rsid w:val="00292BA8"/>
    <w:rsid w:val="00292C5A"/>
    <w:rsid w:val="00292CB2"/>
    <w:rsid w:val="00292D9C"/>
    <w:rsid w:val="00292DA9"/>
    <w:rsid w:val="00292E8E"/>
    <w:rsid w:val="00292F8B"/>
    <w:rsid w:val="00292FA9"/>
    <w:rsid w:val="002930C3"/>
    <w:rsid w:val="0029310D"/>
    <w:rsid w:val="00293177"/>
    <w:rsid w:val="0029318E"/>
    <w:rsid w:val="00293277"/>
    <w:rsid w:val="00293361"/>
    <w:rsid w:val="00293415"/>
    <w:rsid w:val="0029360A"/>
    <w:rsid w:val="00293908"/>
    <w:rsid w:val="00293B04"/>
    <w:rsid w:val="00293BCB"/>
    <w:rsid w:val="00293D2C"/>
    <w:rsid w:val="00293D47"/>
    <w:rsid w:val="00293F9E"/>
    <w:rsid w:val="00293FCF"/>
    <w:rsid w:val="0029403B"/>
    <w:rsid w:val="00294184"/>
    <w:rsid w:val="00294191"/>
    <w:rsid w:val="002942BF"/>
    <w:rsid w:val="00294384"/>
    <w:rsid w:val="00294631"/>
    <w:rsid w:val="002946EE"/>
    <w:rsid w:val="00294704"/>
    <w:rsid w:val="002947BF"/>
    <w:rsid w:val="00294820"/>
    <w:rsid w:val="00294931"/>
    <w:rsid w:val="00294966"/>
    <w:rsid w:val="00294A64"/>
    <w:rsid w:val="00294D25"/>
    <w:rsid w:val="00294DC4"/>
    <w:rsid w:val="00294DEC"/>
    <w:rsid w:val="00294E1D"/>
    <w:rsid w:val="00294E47"/>
    <w:rsid w:val="00294F83"/>
    <w:rsid w:val="00294F93"/>
    <w:rsid w:val="00294FD6"/>
    <w:rsid w:val="00295142"/>
    <w:rsid w:val="00295197"/>
    <w:rsid w:val="002951EE"/>
    <w:rsid w:val="002951EF"/>
    <w:rsid w:val="002951F9"/>
    <w:rsid w:val="00295207"/>
    <w:rsid w:val="002952BF"/>
    <w:rsid w:val="002953F7"/>
    <w:rsid w:val="00295511"/>
    <w:rsid w:val="0029566C"/>
    <w:rsid w:val="002956F1"/>
    <w:rsid w:val="002956F7"/>
    <w:rsid w:val="002957AA"/>
    <w:rsid w:val="002958B5"/>
    <w:rsid w:val="002958E4"/>
    <w:rsid w:val="00295907"/>
    <w:rsid w:val="0029597D"/>
    <w:rsid w:val="00295AED"/>
    <w:rsid w:val="00295AEF"/>
    <w:rsid w:val="00295B92"/>
    <w:rsid w:val="00295BC2"/>
    <w:rsid w:val="00295C17"/>
    <w:rsid w:val="00295C81"/>
    <w:rsid w:val="00295E50"/>
    <w:rsid w:val="00295F56"/>
    <w:rsid w:val="00295F5A"/>
    <w:rsid w:val="0029605F"/>
    <w:rsid w:val="00296074"/>
    <w:rsid w:val="00296079"/>
    <w:rsid w:val="002962DA"/>
    <w:rsid w:val="0029636C"/>
    <w:rsid w:val="002963D8"/>
    <w:rsid w:val="002964C9"/>
    <w:rsid w:val="002964DD"/>
    <w:rsid w:val="00296516"/>
    <w:rsid w:val="0029651D"/>
    <w:rsid w:val="00296589"/>
    <w:rsid w:val="00296896"/>
    <w:rsid w:val="002969CC"/>
    <w:rsid w:val="002969F6"/>
    <w:rsid w:val="00296C1D"/>
    <w:rsid w:val="00296C42"/>
    <w:rsid w:val="00296DB4"/>
    <w:rsid w:val="00296DCE"/>
    <w:rsid w:val="00296EF8"/>
    <w:rsid w:val="00296FD6"/>
    <w:rsid w:val="002970D2"/>
    <w:rsid w:val="0029743D"/>
    <w:rsid w:val="00297478"/>
    <w:rsid w:val="002974A8"/>
    <w:rsid w:val="002975A5"/>
    <w:rsid w:val="002976BF"/>
    <w:rsid w:val="002978CD"/>
    <w:rsid w:val="002978DD"/>
    <w:rsid w:val="002979F6"/>
    <w:rsid w:val="00297B56"/>
    <w:rsid w:val="00297CEF"/>
    <w:rsid w:val="00297D8B"/>
    <w:rsid w:val="00297D95"/>
    <w:rsid w:val="00297D9D"/>
    <w:rsid w:val="00297E33"/>
    <w:rsid w:val="00297ECE"/>
    <w:rsid w:val="00297EE3"/>
    <w:rsid w:val="00298BA4"/>
    <w:rsid w:val="002A0008"/>
    <w:rsid w:val="002A00E0"/>
    <w:rsid w:val="002A00FF"/>
    <w:rsid w:val="002A019D"/>
    <w:rsid w:val="002A0354"/>
    <w:rsid w:val="002A0429"/>
    <w:rsid w:val="002A0444"/>
    <w:rsid w:val="002A057F"/>
    <w:rsid w:val="002A06A5"/>
    <w:rsid w:val="002A0739"/>
    <w:rsid w:val="002A073B"/>
    <w:rsid w:val="002A07D3"/>
    <w:rsid w:val="002A07F5"/>
    <w:rsid w:val="002A0894"/>
    <w:rsid w:val="002A095F"/>
    <w:rsid w:val="002A0AB1"/>
    <w:rsid w:val="002A0BF0"/>
    <w:rsid w:val="002A0C79"/>
    <w:rsid w:val="002A0D0B"/>
    <w:rsid w:val="002A0D28"/>
    <w:rsid w:val="002A0D2E"/>
    <w:rsid w:val="002A0E27"/>
    <w:rsid w:val="002A0E90"/>
    <w:rsid w:val="002A0ECA"/>
    <w:rsid w:val="002A0F23"/>
    <w:rsid w:val="002A10EF"/>
    <w:rsid w:val="002A11D6"/>
    <w:rsid w:val="002A1222"/>
    <w:rsid w:val="002A1368"/>
    <w:rsid w:val="002A13C6"/>
    <w:rsid w:val="002A15A0"/>
    <w:rsid w:val="002A16A5"/>
    <w:rsid w:val="002A1851"/>
    <w:rsid w:val="002A186A"/>
    <w:rsid w:val="002A18BF"/>
    <w:rsid w:val="002A1A20"/>
    <w:rsid w:val="002A1A68"/>
    <w:rsid w:val="002A1B03"/>
    <w:rsid w:val="002A1BD8"/>
    <w:rsid w:val="002A1D42"/>
    <w:rsid w:val="002A1E55"/>
    <w:rsid w:val="002A1F01"/>
    <w:rsid w:val="002A1F15"/>
    <w:rsid w:val="002A1F85"/>
    <w:rsid w:val="002A1FE4"/>
    <w:rsid w:val="002A21F9"/>
    <w:rsid w:val="002A226C"/>
    <w:rsid w:val="002A228C"/>
    <w:rsid w:val="002A23FB"/>
    <w:rsid w:val="002A2417"/>
    <w:rsid w:val="002A244B"/>
    <w:rsid w:val="002A2597"/>
    <w:rsid w:val="002A2659"/>
    <w:rsid w:val="002A26A1"/>
    <w:rsid w:val="002A2722"/>
    <w:rsid w:val="002A27A2"/>
    <w:rsid w:val="002A27F6"/>
    <w:rsid w:val="002A2812"/>
    <w:rsid w:val="002A28E3"/>
    <w:rsid w:val="002A29FA"/>
    <w:rsid w:val="002A2A73"/>
    <w:rsid w:val="002A2C72"/>
    <w:rsid w:val="002A2D4B"/>
    <w:rsid w:val="002A2D7D"/>
    <w:rsid w:val="002A2F11"/>
    <w:rsid w:val="002A2F23"/>
    <w:rsid w:val="002A2F50"/>
    <w:rsid w:val="002A30B4"/>
    <w:rsid w:val="002A315B"/>
    <w:rsid w:val="002A321B"/>
    <w:rsid w:val="002A329C"/>
    <w:rsid w:val="002A32D8"/>
    <w:rsid w:val="002A3327"/>
    <w:rsid w:val="002A338E"/>
    <w:rsid w:val="002A3415"/>
    <w:rsid w:val="002A34F1"/>
    <w:rsid w:val="002A3501"/>
    <w:rsid w:val="002A3532"/>
    <w:rsid w:val="002A3600"/>
    <w:rsid w:val="002A36F6"/>
    <w:rsid w:val="002A38F6"/>
    <w:rsid w:val="002A3AE5"/>
    <w:rsid w:val="002A3B04"/>
    <w:rsid w:val="002A3B6E"/>
    <w:rsid w:val="002A3B74"/>
    <w:rsid w:val="002A3BE8"/>
    <w:rsid w:val="002A3D34"/>
    <w:rsid w:val="002A3D84"/>
    <w:rsid w:val="002A3E73"/>
    <w:rsid w:val="002A4197"/>
    <w:rsid w:val="002A4306"/>
    <w:rsid w:val="002A43FD"/>
    <w:rsid w:val="002A443A"/>
    <w:rsid w:val="002A44BD"/>
    <w:rsid w:val="002A4507"/>
    <w:rsid w:val="002A4595"/>
    <w:rsid w:val="002A45CD"/>
    <w:rsid w:val="002A4620"/>
    <w:rsid w:val="002A4768"/>
    <w:rsid w:val="002A47AC"/>
    <w:rsid w:val="002A47D5"/>
    <w:rsid w:val="002A4866"/>
    <w:rsid w:val="002A49AD"/>
    <w:rsid w:val="002A49F8"/>
    <w:rsid w:val="002A4C16"/>
    <w:rsid w:val="002A4C65"/>
    <w:rsid w:val="002A4E3C"/>
    <w:rsid w:val="002A4E67"/>
    <w:rsid w:val="002A4FC9"/>
    <w:rsid w:val="002A4FEC"/>
    <w:rsid w:val="002A50BB"/>
    <w:rsid w:val="002A521F"/>
    <w:rsid w:val="002A5355"/>
    <w:rsid w:val="002A5362"/>
    <w:rsid w:val="002A536D"/>
    <w:rsid w:val="002A539F"/>
    <w:rsid w:val="002A5479"/>
    <w:rsid w:val="002A5562"/>
    <w:rsid w:val="002A5655"/>
    <w:rsid w:val="002A592E"/>
    <w:rsid w:val="002A5977"/>
    <w:rsid w:val="002A598D"/>
    <w:rsid w:val="002A5997"/>
    <w:rsid w:val="002A59A3"/>
    <w:rsid w:val="002A5A6E"/>
    <w:rsid w:val="002A5A74"/>
    <w:rsid w:val="002A5B9D"/>
    <w:rsid w:val="002A5C4F"/>
    <w:rsid w:val="002A5DB0"/>
    <w:rsid w:val="002A5DDC"/>
    <w:rsid w:val="002A5EB5"/>
    <w:rsid w:val="002A5EE4"/>
    <w:rsid w:val="002A5FBA"/>
    <w:rsid w:val="002A5FCF"/>
    <w:rsid w:val="002A6020"/>
    <w:rsid w:val="002A640F"/>
    <w:rsid w:val="002A6411"/>
    <w:rsid w:val="002A6468"/>
    <w:rsid w:val="002A64CF"/>
    <w:rsid w:val="002A64EB"/>
    <w:rsid w:val="002A65CA"/>
    <w:rsid w:val="002A6675"/>
    <w:rsid w:val="002A6680"/>
    <w:rsid w:val="002A67CE"/>
    <w:rsid w:val="002A6898"/>
    <w:rsid w:val="002A6932"/>
    <w:rsid w:val="002A69AE"/>
    <w:rsid w:val="002A6AD8"/>
    <w:rsid w:val="002A6B20"/>
    <w:rsid w:val="002A6C4C"/>
    <w:rsid w:val="002A6CFE"/>
    <w:rsid w:val="002A6D34"/>
    <w:rsid w:val="002A6E8B"/>
    <w:rsid w:val="002A6EB3"/>
    <w:rsid w:val="002A6F0B"/>
    <w:rsid w:val="002A6F64"/>
    <w:rsid w:val="002A6FBE"/>
    <w:rsid w:val="002A6FC1"/>
    <w:rsid w:val="002A7377"/>
    <w:rsid w:val="002A748F"/>
    <w:rsid w:val="002A753E"/>
    <w:rsid w:val="002A7588"/>
    <w:rsid w:val="002A760D"/>
    <w:rsid w:val="002A77ED"/>
    <w:rsid w:val="002A78C8"/>
    <w:rsid w:val="002A78F0"/>
    <w:rsid w:val="002A7939"/>
    <w:rsid w:val="002A795F"/>
    <w:rsid w:val="002A79B5"/>
    <w:rsid w:val="002A7C5C"/>
    <w:rsid w:val="002A7E42"/>
    <w:rsid w:val="002A7F49"/>
    <w:rsid w:val="002AC51D"/>
    <w:rsid w:val="002B00A9"/>
    <w:rsid w:val="002B00D3"/>
    <w:rsid w:val="002B026B"/>
    <w:rsid w:val="002B0308"/>
    <w:rsid w:val="002B030E"/>
    <w:rsid w:val="002B0604"/>
    <w:rsid w:val="002B070B"/>
    <w:rsid w:val="002B075B"/>
    <w:rsid w:val="002B0A6D"/>
    <w:rsid w:val="002B0AC7"/>
    <w:rsid w:val="002B0B13"/>
    <w:rsid w:val="002B0B65"/>
    <w:rsid w:val="002B0C21"/>
    <w:rsid w:val="002B0CBB"/>
    <w:rsid w:val="002B0CED"/>
    <w:rsid w:val="002B0D10"/>
    <w:rsid w:val="002B0D9F"/>
    <w:rsid w:val="002B0E04"/>
    <w:rsid w:val="002B0EE3"/>
    <w:rsid w:val="002B0F77"/>
    <w:rsid w:val="002B0FF4"/>
    <w:rsid w:val="002B1066"/>
    <w:rsid w:val="002B13FE"/>
    <w:rsid w:val="002B147F"/>
    <w:rsid w:val="002B1838"/>
    <w:rsid w:val="002B1A80"/>
    <w:rsid w:val="002B1BD9"/>
    <w:rsid w:val="002B1D48"/>
    <w:rsid w:val="002B1F4B"/>
    <w:rsid w:val="002B1FB3"/>
    <w:rsid w:val="002B20D1"/>
    <w:rsid w:val="002B2184"/>
    <w:rsid w:val="002B218F"/>
    <w:rsid w:val="002B21AA"/>
    <w:rsid w:val="002B22DE"/>
    <w:rsid w:val="002B2304"/>
    <w:rsid w:val="002B2607"/>
    <w:rsid w:val="002B265A"/>
    <w:rsid w:val="002B2690"/>
    <w:rsid w:val="002B27F1"/>
    <w:rsid w:val="002B2948"/>
    <w:rsid w:val="002B29DA"/>
    <w:rsid w:val="002B2A44"/>
    <w:rsid w:val="002B2CB3"/>
    <w:rsid w:val="002B2D49"/>
    <w:rsid w:val="002B2FBC"/>
    <w:rsid w:val="002B2FC0"/>
    <w:rsid w:val="002B307C"/>
    <w:rsid w:val="002B3563"/>
    <w:rsid w:val="002B36BC"/>
    <w:rsid w:val="002B395A"/>
    <w:rsid w:val="002B3A68"/>
    <w:rsid w:val="002B3AB3"/>
    <w:rsid w:val="002B3BF8"/>
    <w:rsid w:val="002B3CA4"/>
    <w:rsid w:val="002B3DB1"/>
    <w:rsid w:val="002B3E06"/>
    <w:rsid w:val="002B3F16"/>
    <w:rsid w:val="002B3F47"/>
    <w:rsid w:val="002B4066"/>
    <w:rsid w:val="002B42F6"/>
    <w:rsid w:val="002B4309"/>
    <w:rsid w:val="002B44C5"/>
    <w:rsid w:val="002B46E4"/>
    <w:rsid w:val="002B4965"/>
    <w:rsid w:val="002B4A07"/>
    <w:rsid w:val="002B4AA6"/>
    <w:rsid w:val="002B4BFD"/>
    <w:rsid w:val="002B4CFC"/>
    <w:rsid w:val="002B4DB4"/>
    <w:rsid w:val="002B4E02"/>
    <w:rsid w:val="002B4E3C"/>
    <w:rsid w:val="002B4FF1"/>
    <w:rsid w:val="002B51FB"/>
    <w:rsid w:val="002B5274"/>
    <w:rsid w:val="002B527F"/>
    <w:rsid w:val="002B5373"/>
    <w:rsid w:val="002B5640"/>
    <w:rsid w:val="002B5682"/>
    <w:rsid w:val="002B57C9"/>
    <w:rsid w:val="002B5867"/>
    <w:rsid w:val="002B59CF"/>
    <w:rsid w:val="002B5A19"/>
    <w:rsid w:val="002B5AFB"/>
    <w:rsid w:val="002B5B31"/>
    <w:rsid w:val="002B5B76"/>
    <w:rsid w:val="002B5BF7"/>
    <w:rsid w:val="002B5C04"/>
    <w:rsid w:val="002B5C35"/>
    <w:rsid w:val="002B5CF8"/>
    <w:rsid w:val="002B5D06"/>
    <w:rsid w:val="002B5D60"/>
    <w:rsid w:val="002B5D8A"/>
    <w:rsid w:val="002B5E57"/>
    <w:rsid w:val="002B5E82"/>
    <w:rsid w:val="002B5FFF"/>
    <w:rsid w:val="002B6049"/>
    <w:rsid w:val="002B604B"/>
    <w:rsid w:val="002B6071"/>
    <w:rsid w:val="002B6228"/>
    <w:rsid w:val="002B6250"/>
    <w:rsid w:val="002B62F7"/>
    <w:rsid w:val="002B6362"/>
    <w:rsid w:val="002B63C3"/>
    <w:rsid w:val="002B63E9"/>
    <w:rsid w:val="002B669D"/>
    <w:rsid w:val="002B66E0"/>
    <w:rsid w:val="002B6828"/>
    <w:rsid w:val="002B69A4"/>
    <w:rsid w:val="002B6A9E"/>
    <w:rsid w:val="002B6B5E"/>
    <w:rsid w:val="002B6D8F"/>
    <w:rsid w:val="002B6E7D"/>
    <w:rsid w:val="002B6EE8"/>
    <w:rsid w:val="002B6EF9"/>
    <w:rsid w:val="002B6F2E"/>
    <w:rsid w:val="002B6FD1"/>
    <w:rsid w:val="002B70D6"/>
    <w:rsid w:val="002B7488"/>
    <w:rsid w:val="002B757C"/>
    <w:rsid w:val="002B7595"/>
    <w:rsid w:val="002B760C"/>
    <w:rsid w:val="002B7684"/>
    <w:rsid w:val="002B77E5"/>
    <w:rsid w:val="002B783F"/>
    <w:rsid w:val="002B785C"/>
    <w:rsid w:val="002B78C6"/>
    <w:rsid w:val="002B791C"/>
    <w:rsid w:val="002B798B"/>
    <w:rsid w:val="002B79C4"/>
    <w:rsid w:val="002B7AB1"/>
    <w:rsid w:val="002B7B09"/>
    <w:rsid w:val="002B7B32"/>
    <w:rsid w:val="002B7BF4"/>
    <w:rsid w:val="002B7C31"/>
    <w:rsid w:val="002B7C41"/>
    <w:rsid w:val="002B7D23"/>
    <w:rsid w:val="002B7DFF"/>
    <w:rsid w:val="002B7E40"/>
    <w:rsid w:val="002B7F6B"/>
    <w:rsid w:val="002C0000"/>
    <w:rsid w:val="002C00C4"/>
    <w:rsid w:val="002C0100"/>
    <w:rsid w:val="002C010E"/>
    <w:rsid w:val="002C0170"/>
    <w:rsid w:val="002C01C4"/>
    <w:rsid w:val="002C01FE"/>
    <w:rsid w:val="002C023F"/>
    <w:rsid w:val="002C033B"/>
    <w:rsid w:val="002C040C"/>
    <w:rsid w:val="002C042E"/>
    <w:rsid w:val="002C0637"/>
    <w:rsid w:val="002C06B8"/>
    <w:rsid w:val="002C0775"/>
    <w:rsid w:val="002C07D4"/>
    <w:rsid w:val="002C08E3"/>
    <w:rsid w:val="002C0905"/>
    <w:rsid w:val="002C090B"/>
    <w:rsid w:val="002C0971"/>
    <w:rsid w:val="002C09C4"/>
    <w:rsid w:val="002C0A1D"/>
    <w:rsid w:val="002C0A95"/>
    <w:rsid w:val="002C0AEB"/>
    <w:rsid w:val="002C0CCB"/>
    <w:rsid w:val="002C0D87"/>
    <w:rsid w:val="002C0DD2"/>
    <w:rsid w:val="002C0E7F"/>
    <w:rsid w:val="002C0FE7"/>
    <w:rsid w:val="002C1039"/>
    <w:rsid w:val="002C1097"/>
    <w:rsid w:val="002C11A5"/>
    <w:rsid w:val="002C13CF"/>
    <w:rsid w:val="002C13DF"/>
    <w:rsid w:val="002C1405"/>
    <w:rsid w:val="002C1408"/>
    <w:rsid w:val="002C140C"/>
    <w:rsid w:val="002C1445"/>
    <w:rsid w:val="002C149D"/>
    <w:rsid w:val="002C15DC"/>
    <w:rsid w:val="002C173C"/>
    <w:rsid w:val="002C198E"/>
    <w:rsid w:val="002C1A1A"/>
    <w:rsid w:val="002C1AE1"/>
    <w:rsid w:val="002C1B08"/>
    <w:rsid w:val="002C1BB6"/>
    <w:rsid w:val="002C1BEC"/>
    <w:rsid w:val="002C1CA8"/>
    <w:rsid w:val="002C1CE1"/>
    <w:rsid w:val="002C1D18"/>
    <w:rsid w:val="002C1D3A"/>
    <w:rsid w:val="002C1DCD"/>
    <w:rsid w:val="002C1E88"/>
    <w:rsid w:val="002C1EF4"/>
    <w:rsid w:val="002C202B"/>
    <w:rsid w:val="002C2048"/>
    <w:rsid w:val="002C20FA"/>
    <w:rsid w:val="002C2128"/>
    <w:rsid w:val="002C2138"/>
    <w:rsid w:val="002C2246"/>
    <w:rsid w:val="002C2578"/>
    <w:rsid w:val="002C264C"/>
    <w:rsid w:val="002C266B"/>
    <w:rsid w:val="002C2739"/>
    <w:rsid w:val="002C277D"/>
    <w:rsid w:val="002C27D6"/>
    <w:rsid w:val="002C2935"/>
    <w:rsid w:val="002C2943"/>
    <w:rsid w:val="002C2B64"/>
    <w:rsid w:val="002C2CD8"/>
    <w:rsid w:val="002C2D5D"/>
    <w:rsid w:val="002C2D64"/>
    <w:rsid w:val="002C2D91"/>
    <w:rsid w:val="002C2E9F"/>
    <w:rsid w:val="002C2F40"/>
    <w:rsid w:val="002C3058"/>
    <w:rsid w:val="002C311A"/>
    <w:rsid w:val="002C3181"/>
    <w:rsid w:val="002C31EA"/>
    <w:rsid w:val="002C339C"/>
    <w:rsid w:val="002C34B4"/>
    <w:rsid w:val="002C34CF"/>
    <w:rsid w:val="002C3760"/>
    <w:rsid w:val="002C37DC"/>
    <w:rsid w:val="002C37E4"/>
    <w:rsid w:val="002C37F0"/>
    <w:rsid w:val="002C382D"/>
    <w:rsid w:val="002C3932"/>
    <w:rsid w:val="002C39DC"/>
    <w:rsid w:val="002C3A71"/>
    <w:rsid w:val="002C3B70"/>
    <w:rsid w:val="002C3B81"/>
    <w:rsid w:val="002C3BB5"/>
    <w:rsid w:val="002C3CD0"/>
    <w:rsid w:val="002C3CFC"/>
    <w:rsid w:val="002C3D3B"/>
    <w:rsid w:val="002C3DD4"/>
    <w:rsid w:val="002C3DE3"/>
    <w:rsid w:val="002C3EC2"/>
    <w:rsid w:val="002C3F6B"/>
    <w:rsid w:val="002C3F7F"/>
    <w:rsid w:val="002C3FD5"/>
    <w:rsid w:val="002C3FD7"/>
    <w:rsid w:val="002C4070"/>
    <w:rsid w:val="002C40FB"/>
    <w:rsid w:val="002C421C"/>
    <w:rsid w:val="002C425C"/>
    <w:rsid w:val="002C430A"/>
    <w:rsid w:val="002C4315"/>
    <w:rsid w:val="002C433F"/>
    <w:rsid w:val="002C437E"/>
    <w:rsid w:val="002C4679"/>
    <w:rsid w:val="002C4793"/>
    <w:rsid w:val="002C47DF"/>
    <w:rsid w:val="002C481E"/>
    <w:rsid w:val="002C4830"/>
    <w:rsid w:val="002C4915"/>
    <w:rsid w:val="002C4B4D"/>
    <w:rsid w:val="002C4B98"/>
    <w:rsid w:val="002C4BD9"/>
    <w:rsid w:val="002C4C19"/>
    <w:rsid w:val="002C4CD5"/>
    <w:rsid w:val="002C5033"/>
    <w:rsid w:val="002C528D"/>
    <w:rsid w:val="002C5329"/>
    <w:rsid w:val="002C5480"/>
    <w:rsid w:val="002C552D"/>
    <w:rsid w:val="002C5665"/>
    <w:rsid w:val="002C5678"/>
    <w:rsid w:val="002C567D"/>
    <w:rsid w:val="002C573E"/>
    <w:rsid w:val="002C588A"/>
    <w:rsid w:val="002C59AF"/>
    <w:rsid w:val="002C59C8"/>
    <w:rsid w:val="002C5A98"/>
    <w:rsid w:val="002C5AF0"/>
    <w:rsid w:val="002C5BA9"/>
    <w:rsid w:val="002C5C86"/>
    <w:rsid w:val="002C6037"/>
    <w:rsid w:val="002C60E5"/>
    <w:rsid w:val="002C610B"/>
    <w:rsid w:val="002C6142"/>
    <w:rsid w:val="002C617E"/>
    <w:rsid w:val="002C635A"/>
    <w:rsid w:val="002C6391"/>
    <w:rsid w:val="002C63DC"/>
    <w:rsid w:val="002C640F"/>
    <w:rsid w:val="002C64E9"/>
    <w:rsid w:val="002C64F9"/>
    <w:rsid w:val="002C658B"/>
    <w:rsid w:val="002C65EC"/>
    <w:rsid w:val="002C6619"/>
    <w:rsid w:val="002C6658"/>
    <w:rsid w:val="002C66BA"/>
    <w:rsid w:val="002C675A"/>
    <w:rsid w:val="002C6930"/>
    <w:rsid w:val="002C693B"/>
    <w:rsid w:val="002C69AA"/>
    <w:rsid w:val="002C6A4E"/>
    <w:rsid w:val="002C6C86"/>
    <w:rsid w:val="002C6D4A"/>
    <w:rsid w:val="002C6EB7"/>
    <w:rsid w:val="002C6FD7"/>
    <w:rsid w:val="002C709F"/>
    <w:rsid w:val="002C70DD"/>
    <w:rsid w:val="002C71D6"/>
    <w:rsid w:val="002C7260"/>
    <w:rsid w:val="002C733D"/>
    <w:rsid w:val="002C747D"/>
    <w:rsid w:val="002C760A"/>
    <w:rsid w:val="002C777F"/>
    <w:rsid w:val="002C7940"/>
    <w:rsid w:val="002C79FA"/>
    <w:rsid w:val="002C7A19"/>
    <w:rsid w:val="002C7AAB"/>
    <w:rsid w:val="002C7B6D"/>
    <w:rsid w:val="002C7CEA"/>
    <w:rsid w:val="002C7CF4"/>
    <w:rsid w:val="002C7D8A"/>
    <w:rsid w:val="002C7FCF"/>
    <w:rsid w:val="002C7FE2"/>
    <w:rsid w:val="002C7FFA"/>
    <w:rsid w:val="002D014D"/>
    <w:rsid w:val="002D015E"/>
    <w:rsid w:val="002D01CB"/>
    <w:rsid w:val="002D01D4"/>
    <w:rsid w:val="002D01D5"/>
    <w:rsid w:val="002D02BA"/>
    <w:rsid w:val="002D03A9"/>
    <w:rsid w:val="002D03B9"/>
    <w:rsid w:val="002D0588"/>
    <w:rsid w:val="002D05F1"/>
    <w:rsid w:val="002D07EE"/>
    <w:rsid w:val="002D082C"/>
    <w:rsid w:val="002D08B4"/>
    <w:rsid w:val="002D08E3"/>
    <w:rsid w:val="002D08EF"/>
    <w:rsid w:val="002D0910"/>
    <w:rsid w:val="002D095E"/>
    <w:rsid w:val="002D0967"/>
    <w:rsid w:val="002D09A3"/>
    <w:rsid w:val="002D0A37"/>
    <w:rsid w:val="002D0C40"/>
    <w:rsid w:val="002D0D52"/>
    <w:rsid w:val="002D0F55"/>
    <w:rsid w:val="002D0F5A"/>
    <w:rsid w:val="002D1006"/>
    <w:rsid w:val="002D1064"/>
    <w:rsid w:val="002D10CA"/>
    <w:rsid w:val="002D10CE"/>
    <w:rsid w:val="002D10ED"/>
    <w:rsid w:val="002D141E"/>
    <w:rsid w:val="002D1455"/>
    <w:rsid w:val="002D1458"/>
    <w:rsid w:val="002D14B9"/>
    <w:rsid w:val="002D155F"/>
    <w:rsid w:val="002D17C6"/>
    <w:rsid w:val="002D18D1"/>
    <w:rsid w:val="002D196A"/>
    <w:rsid w:val="002D19A2"/>
    <w:rsid w:val="002D19C0"/>
    <w:rsid w:val="002D1A21"/>
    <w:rsid w:val="002D1A24"/>
    <w:rsid w:val="002D1A71"/>
    <w:rsid w:val="002D1BA7"/>
    <w:rsid w:val="002D1BC6"/>
    <w:rsid w:val="002D1D1C"/>
    <w:rsid w:val="002D1E39"/>
    <w:rsid w:val="002D1E48"/>
    <w:rsid w:val="002D1EBC"/>
    <w:rsid w:val="002D1FDF"/>
    <w:rsid w:val="002D209A"/>
    <w:rsid w:val="002D2178"/>
    <w:rsid w:val="002D2346"/>
    <w:rsid w:val="002D2498"/>
    <w:rsid w:val="002D2548"/>
    <w:rsid w:val="002D25A4"/>
    <w:rsid w:val="002D26E6"/>
    <w:rsid w:val="002D2826"/>
    <w:rsid w:val="002D28DB"/>
    <w:rsid w:val="002D29BC"/>
    <w:rsid w:val="002D2B49"/>
    <w:rsid w:val="002D2BBC"/>
    <w:rsid w:val="002D2CB5"/>
    <w:rsid w:val="002D2D91"/>
    <w:rsid w:val="002D2D9E"/>
    <w:rsid w:val="002D2DF5"/>
    <w:rsid w:val="002D2E20"/>
    <w:rsid w:val="002D2FF6"/>
    <w:rsid w:val="002D30F7"/>
    <w:rsid w:val="002D3213"/>
    <w:rsid w:val="002D323C"/>
    <w:rsid w:val="002D32CE"/>
    <w:rsid w:val="002D3367"/>
    <w:rsid w:val="002D339E"/>
    <w:rsid w:val="002D34E5"/>
    <w:rsid w:val="002D3505"/>
    <w:rsid w:val="002D3571"/>
    <w:rsid w:val="002D35BC"/>
    <w:rsid w:val="002D37E3"/>
    <w:rsid w:val="002D38B4"/>
    <w:rsid w:val="002D3ACF"/>
    <w:rsid w:val="002D3AD5"/>
    <w:rsid w:val="002D3B5F"/>
    <w:rsid w:val="002D3C2D"/>
    <w:rsid w:val="002D3CD2"/>
    <w:rsid w:val="002D3D3A"/>
    <w:rsid w:val="002D3D9D"/>
    <w:rsid w:val="002D3E89"/>
    <w:rsid w:val="002D3ECF"/>
    <w:rsid w:val="002D3F89"/>
    <w:rsid w:val="002D4011"/>
    <w:rsid w:val="002D4052"/>
    <w:rsid w:val="002D40F4"/>
    <w:rsid w:val="002D415A"/>
    <w:rsid w:val="002D4262"/>
    <w:rsid w:val="002D42B4"/>
    <w:rsid w:val="002D43B8"/>
    <w:rsid w:val="002D43DF"/>
    <w:rsid w:val="002D44C2"/>
    <w:rsid w:val="002D454C"/>
    <w:rsid w:val="002D461D"/>
    <w:rsid w:val="002D4693"/>
    <w:rsid w:val="002D46AD"/>
    <w:rsid w:val="002D46C3"/>
    <w:rsid w:val="002D47C7"/>
    <w:rsid w:val="002D47E7"/>
    <w:rsid w:val="002D48AA"/>
    <w:rsid w:val="002D4917"/>
    <w:rsid w:val="002D492A"/>
    <w:rsid w:val="002D4A36"/>
    <w:rsid w:val="002D4C22"/>
    <w:rsid w:val="002D4C29"/>
    <w:rsid w:val="002D4DF2"/>
    <w:rsid w:val="002D4EB9"/>
    <w:rsid w:val="002D4EF9"/>
    <w:rsid w:val="002D508F"/>
    <w:rsid w:val="002D50D9"/>
    <w:rsid w:val="002D50FA"/>
    <w:rsid w:val="002D52CB"/>
    <w:rsid w:val="002D552D"/>
    <w:rsid w:val="002D5693"/>
    <w:rsid w:val="002D5832"/>
    <w:rsid w:val="002D58AE"/>
    <w:rsid w:val="002D58EA"/>
    <w:rsid w:val="002D5973"/>
    <w:rsid w:val="002D5AB3"/>
    <w:rsid w:val="002D5AD7"/>
    <w:rsid w:val="002D5BD8"/>
    <w:rsid w:val="002D5C2F"/>
    <w:rsid w:val="002D5CF7"/>
    <w:rsid w:val="002D5DA8"/>
    <w:rsid w:val="002D5DBF"/>
    <w:rsid w:val="002D5E4B"/>
    <w:rsid w:val="002D5E8E"/>
    <w:rsid w:val="002D5F51"/>
    <w:rsid w:val="002D5F7C"/>
    <w:rsid w:val="002D5F94"/>
    <w:rsid w:val="002D602F"/>
    <w:rsid w:val="002D608D"/>
    <w:rsid w:val="002D64CD"/>
    <w:rsid w:val="002D65FA"/>
    <w:rsid w:val="002D6702"/>
    <w:rsid w:val="002D6930"/>
    <w:rsid w:val="002D69EC"/>
    <w:rsid w:val="002D6A02"/>
    <w:rsid w:val="002D6AB3"/>
    <w:rsid w:val="002D6B02"/>
    <w:rsid w:val="002D6DA7"/>
    <w:rsid w:val="002D6DD1"/>
    <w:rsid w:val="002D6FBC"/>
    <w:rsid w:val="002D70ED"/>
    <w:rsid w:val="002D7141"/>
    <w:rsid w:val="002D71E9"/>
    <w:rsid w:val="002D72CC"/>
    <w:rsid w:val="002D7310"/>
    <w:rsid w:val="002D73A7"/>
    <w:rsid w:val="002D73D6"/>
    <w:rsid w:val="002D75C6"/>
    <w:rsid w:val="002D75EF"/>
    <w:rsid w:val="002D7645"/>
    <w:rsid w:val="002D78B3"/>
    <w:rsid w:val="002D7964"/>
    <w:rsid w:val="002D7974"/>
    <w:rsid w:val="002D798E"/>
    <w:rsid w:val="002D79C7"/>
    <w:rsid w:val="002D79D4"/>
    <w:rsid w:val="002D7A6F"/>
    <w:rsid w:val="002D7E8D"/>
    <w:rsid w:val="002D7F2A"/>
    <w:rsid w:val="002D7FE1"/>
    <w:rsid w:val="002E00FB"/>
    <w:rsid w:val="002E017B"/>
    <w:rsid w:val="002E0181"/>
    <w:rsid w:val="002E01FF"/>
    <w:rsid w:val="002E0227"/>
    <w:rsid w:val="002E0231"/>
    <w:rsid w:val="002E02B6"/>
    <w:rsid w:val="002E0514"/>
    <w:rsid w:val="002E05C1"/>
    <w:rsid w:val="002E05C4"/>
    <w:rsid w:val="002E072C"/>
    <w:rsid w:val="002E08A7"/>
    <w:rsid w:val="002E08F0"/>
    <w:rsid w:val="002E0954"/>
    <w:rsid w:val="002E0A65"/>
    <w:rsid w:val="002E0AB2"/>
    <w:rsid w:val="002E0C50"/>
    <w:rsid w:val="002E0D0A"/>
    <w:rsid w:val="002E0D2A"/>
    <w:rsid w:val="002E0F60"/>
    <w:rsid w:val="002E0F8D"/>
    <w:rsid w:val="002E113A"/>
    <w:rsid w:val="002E124B"/>
    <w:rsid w:val="002E1381"/>
    <w:rsid w:val="002E13AB"/>
    <w:rsid w:val="002E13F9"/>
    <w:rsid w:val="002E14BE"/>
    <w:rsid w:val="002E14F2"/>
    <w:rsid w:val="002E165E"/>
    <w:rsid w:val="002E16F6"/>
    <w:rsid w:val="002E1878"/>
    <w:rsid w:val="002E193D"/>
    <w:rsid w:val="002E1A08"/>
    <w:rsid w:val="002E1ABF"/>
    <w:rsid w:val="002E1ADD"/>
    <w:rsid w:val="002E1D2D"/>
    <w:rsid w:val="002E1D86"/>
    <w:rsid w:val="002E1DD5"/>
    <w:rsid w:val="002E1FD5"/>
    <w:rsid w:val="002E20EA"/>
    <w:rsid w:val="002E21E9"/>
    <w:rsid w:val="002E21FD"/>
    <w:rsid w:val="002E22E1"/>
    <w:rsid w:val="002E24F7"/>
    <w:rsid w:val="002E2528"/>
    <w:rsid w:val="002E258F"/>
    <w:rsid w:val="002E262D"/>
    <w:rsid w:val="002E2666"/>
    <w:rsid w:val="002E26E3"/>
    <w:rsid w:val="002E2722"/>
    <w:rsid w:val="002E2786"/>
    <w:rsid w:val="002E2797"/>
    <w:rsid w:val="002E27A9"/>
    <w:rsid w:val="002E27B7"/>
    <w:rsid w:val="002E294D"/>
    <w:rsid w:val="002E2A2C"/>
    <w:rsid w:val="002E2B99"/>
    <w:rsid w:val="002E2BFD"/>
    <w:rsid w:val="002E2C35"/>
    <w:rsid w:val="002E2D06"/>
    <w:rsid w:val="002E2D0F"/>
    <w:rsid w:val="002E2F97"/>
    <w:rsid w:val="002E31BD"/>
    <w:rsid w:val="002E324E"/>
    <w:rsid w:val="002E32FF"/>
    <w:rsid w:val="002E3387"/>
    <w:rsid w:val="002E33DE"/>
    <w:rsid w:val="002E33F8"/>
    <w:rsid w:val="002E3424"/>
    <w:rsid w:val="002E352B"/>
    <w:rsid w:val="002E365D"/>
    <w:rsid w:val="002E3804"/>
    <w:rsid w:val="002E3805"/>
    <w:rsid w:val="002E380E"/>
    <w:rsid w:val="002E3815"/>
    <w:rsid w:val="002E3852"/>
    <w:rsid w:val="002E3AAE"/>
    <w:rsid w:val="002E3AB9"/>
    <w:rsid w:val="002E3B15"/>
    <w:rsid w:val="002E3C73"/>
    <w:rsid w:val="002E3CD9"/>
    <w:rsid w:val="002E3E1B"/>
    <w:rsid w:val="002E3EC7"/>
    <w:rsid w:val="002E3F48"/>
    <w:rsid w:val="002E3FA2"/>
    <w:rsid w:val="002E3FD3"/>
    <w:rsid w:val="002E403E"/>
    <w:rsid w:val="002E4063"/>
    <w:rsid w:val="002E41FA"/>
    <w:rsid w:val="002E4202"/>
    <w:rsid w:val="002E42B4"/>
    <w:rsid w:val="002E4447"/>
    <w:rsid w:val="002E45A5"/>
    <w:rsid w:val="002E46A2"/>
    <w:rsid w:val="002E46BD"/>
    <w:rsid w:val="002E470A"/>
    <w:rsid w:val="002E475C"/>
    <w:rsid w:val="002E47D0"/>
    <w:rsid w:val="002E4951"/>
    <w:rsid w:val="002E4962"/>
    <w:rsid w:val="002E4A33"/>
    <w:rsid w:val="002E4BE3"/>
    <w:rsid w:val="002E4C74"/>
    <w:rsid w:val="002E4CF1"/>
    <w:rsid w:val="002E4D34"/>
    <w:rsid w:val="002E4F9C"/>
    <w:rsid w:val="002E50C0"/>
    <w:rsid w:val="002E513C"/>
    <w:rsid w:val="002E5142"/>
    <w:rsid w:val="002E5155"/>
    <w:rsid w:val="002E51B6"/>
    <w:rsid w:val="002E52C8"/>
    <w:rsid w:val="002E52CC"/>
    <w:rsid w:val="002E5388"/>
    <w:rsid w:val="002E5420"/>
    <w:rsid w:val="002E543A"/>
    <w:rsid w:val="002E5450"/>
    <w:rsid w:val="002E5555"/>
    <w:rsid w:val="002E5841"/>
    <w:rsid w:val="002E586B"/>
    <w:rsid w:val="002E5891"/>
    <w:rsid w:val="002E58FF"/>
    <w:rsid w:val="002E5CDA"/>
    <w:rsid w:val="002E5DF7"/>
    <w:rsid w:val="002E5ED8"/>
    <w:rsid w:val="002E5F3A"/>
    <w:rsid w:val="002E5F59"/>
    <w:rsid w:val="002E6031"/>
    <w:rsid w:val="002E60A9"/>
    <w:rsid w:val="002E62F5"/>
    <w:rsid w:val="002E63F9"/>
    <w:rsid w:val="002E659D"/>
    <w:rsid w:val="002E664F"/>
    <w:rsid w:val="002E66AA"/>
    <w:rsid w:val="002E6723"/>
    <w:rsid w:val="002E6962"/>
    <w:rsid w:val="002E6987"/>
    <w:rsid w:val="002E6A3F"/>
    <w:rsid w:val="002E6A97"/>
    <w:rsid w:val="002E6ABB"/>
    <w:rsid w:val="002E6BAB"/>
    <w:rsid w:val="002E6C70"/>
    <w:rsid w:val="002E6DFD"/>
    <w:rsid w:val="002E6E9F"/>
    <w:rsid w:val="002E6F14"/>
    <w:rsid w:val="002E6F56"/>
    <w:rsid w:val="002E6FC5"/>
    <w:rsid w:val="002E7147"/>
    <w:rsid w:val="002E717E"/>
    <w:rsid w:val="002E7192"/>
    <w:rsid w:val="002E726D"/>
    <w:rsid w:val="002E728C"/>
    <w:rsid w:val="002E7308"/>
    <w:rsid w:val="002E7359"/>
    <w:rsid w:val="002E73D0"/>
    <w:rsid w:val="002E74BE"/>
    <w:rsid w:val="002E76C5"/>
    <w:rsid w:val="002E7855"/>
    <w:rsid w:val="002E7ACA"/>
    <w:rsid w:val="002E7ADE"/>
    <w:rsid w:val="002E7B2C"/>
    <w:rsid w:val="002E7B46"/>
    <w:rsid w:val="002E7BD8"/>
    <w:rsid w:val="002E7C53"/>
    <w:rsid w:val="002E7DA4"/>
    <w:rsid w:val="002E7F55"/>
    <w:rsid w:val="002E7F61"/>
    <w:rsid w:val="002E7FBA"/>
    <w:rsid w:val="002E7FF1"/>
    <w:rsid w:val="002E7FF9"/>
    <w:rsid w:val="002F016F"/>
    <w:rsid w:val="002F038D"/>
    <w:rsid w:val="002F0470"/>
    <w:rsid w:val="002F0572"/>
    <w:rsid w:val="002F05D2"/>
    <w:rsid w:val="002F05E2"/>
    <w:rsid w:val="002F05E5"/>
    <w:rsid w:val="002F05E9"/>
    <w:rsid w:val="002F0604"/>
    <w:rsid w:val="002F06E4"/>
    <w:rsid w:val="002F06E7"/>
    <w:rsid w:val="002F06F5"/>
    <w:rsid w:val="002F078D"/>
    <w:rsid w:val="002F0853"/>
    <w:rsid w:val="002F0911"/>
    <w:rsid w:val="002F0A06"/>
    <w:rsid w:val="002F0A2E"/>
    <w:rsid w:val="002F0A73"/>
    <w:rsid w:val="002F0AA3"/>
    <w:rsid w:val="002F0B23"/>
    <w:rsid w:val="002F0C19"/>
    <w:rsid w:val="002F0C1C"/>
    <w:rsid w:val="002F0C7C"/>
    <w:rsid w:val="002F0CB9"/>
    <w:rsid w:val="002F0D17"/>
    <w:rsid w:val="002F0E3E"/>
    <w:rsid w:val="002F0FC2"/>
    <w:rsid w:val="002F108A"/>
    <w:rsid w:val="002F110F"/>
    <w:rsid w:val="002F112E"/>
    <w:rsid w:val="002F11C6"/>
    <w:rsid w:val="002F1223"/>
    <w:rsid w:val="002F12E0"/>
    <w:rsid w:val="002F1334"/>
    <w:rsid w:val="002F1853"/>
    <w:rsid w:val="002F1930"/>
    <w:rsid w:val="002F199D"/>
    <w:rsid w:val="002F19AF"/>
    <w:rsid w:val="002F19DB"/>
    <w:rsid w:val="002F1A40"/>
    <w:rsid w:val="002F1B8C"/>
    <w:rsid w:val="002F1E20"/>
    <w:rsid w:val="002F1F82"/>
    <w:rsid w:val="002F1F90"/>
    <w:rsid w:val="002F1FF3"/>
    <w:rsid w:val="002F20C2"/>
    <w:rsid w:val="002F21D1"/>
    <w:rsid w:val="002F223C"/>
    <w:rsid w:val="002F22F4"/>
    <w:rsid w:val="002F22F6"/>
    <w:rsid w:val="002F2352"/>
    <w:rsid w:val="002F235B"/>
    <w:rsid w:val="002F24A3"/>
    <w:rsid w:val="002F2554"/>
    <w:rsid w:val="002F263D"/>
    <w:rsid w:val="002F2650"/>
    <w:rsid w:val="002F26A7"/>
    <w:rsid w:val="002F2720"/>
    <w:rsid w:val="002F277F"/>
    <w:rsid w:val="002F27C5"/>
    <w:rsid w:val="002F287D"/>
    <w:rsid w:val="002F2962"/>
    <w:rsid w:val="002F2A69"/>
    <w:rsid w:val="002F2AD9"/>
    <w:rsid w:val="002F2BDE"/>
    <w:rsid w:val="002F2D00"/>
    <w:rsid w:val="002F2D3C"/>
    <w:rsid w:val="002F2DE6"/>
    <w:rsid w:val="002F2DF6"/>
    <w:rsid w:val="002F2EF7"/>
    <w:rsid w:val="002F30C3"/>
    <w:rsid w:val="002F30CC"/>
    <w:rsid w:val="002F31BC"/>
    <w:rsid w:val="002F322F"/>
    <w:rsid w:val="002F3249"/>
    <w:rsid w:val="002F328A"/>
    <w:rsid w:val="002F32A8"/>
    <w:rsid w:val="002F33CD"/>
    <w:rsid w:val="002F33E0"/>
    <w:rsid w:val="002F3446"/>
    <w:rsid w:val="002F34B8"/>
    <w:rsid w:val="002F3508"/>
    <w:rsid w:val="002F3698"/>
    <w:rsid w:val="002F36AC"/>
    <w:rsid w:val="002F374F"/>
    <w:rsid w:val="002F375F"/>
    <w:rsid w:val="002F37C9"/>
    <w:rsid w:val="002F37FD"/>
    <w:rsid w:val="002F3B1E"/>
    <w:rsid w:val="002F3B59"/>
    <w:rsid w:val="002F3B99"/>
    <w:rsid w:val="002F3BED"/>
    <w:rsid w:val="002F3C0F"/>
    <w:rsid w:val="002F3C8E"/>
    <w:rsid w:val="002F3D3C"/>
    <w:rsid w:val="002F3E0D"/>
    <w:rsid w:val="002F3E29"/>
    <w:rsid w:val="002F402E"/>
    <w:rsid w:val="002F404D"/>
    <w:rsid w:val="002F42C4"/>
    <w:rsid w:val="002F442E"/>
    <w:rsid w:val="002F453A"/>
    <w:rsid w:val="002F45AF"/>
    <w:rsid w:val="002F47D8"/>
    <w:rsid w:val="002F4822"/>
    <w:rsid w:val="002F489C"/>
    <w:rsid w:val="002F4A1C"/>
    <w:rsid w:val="002F4ADB"/>
    <w:rsid w:val="002F4BA2"/>
    <w:rsid w:val="002F4C34"/>
    <w:rsid w:val="002F4D36"/>
    <w:rsid w:val="002F4D48"/>
    <w:rsid w:val="002F4D7F"/>
    <w:rsid w:val="002F5018"/>
    <w:rsid w:val="002F5019"/>
    <w:rsid w:val="002F5163"/>
    <w:rsid w:val="002F517A"/>
    <w:rsid w:val="002F51D2"/>
    <w:rsid w:val="002F5276"/>
    <w:rsid w:val="002F533A"/>
    <w:rsid w:val="002F5363"/>
    <w:rsid w:val="002F53A1"/>
    <w:rsid w:val="002F5648"/>
    <w:rsid w:val="002F5663"/>
    <w:rsid w:val="002F5890"/>
    <w:rsid w:val="002F58BF"/>
    <w:rsid w:val="002F58E4"/>
    <w:rsid w:val="002F59BA"/>
    <w:rsid w:val="002F5AF0"/>
    <w:rsid w:val="002F5B55"/>
    <w:rsid w:val="002F5B73"/>
    <w:rsid w:val="002F5D16"/>
    <w:rsid w:val="002F5D4B"/>
    <w:rsid w:val="002F5DD9"/>
    <w:rsid w:val="002F5EC1"/>
    <w:rsid w:val="002F60CA"/>
    <w:rsid w:val="002F6129"/>
    <w:rsid w:val="002F6221"/>
    <w:rsid w:val="002F622D"/>
    <w:rsid w:val="002F6266"/>
    <w:rsid w:val="002F62A7"/>
    <w:rsid w:val="002F62CF"/>
    <w:rsid w:val="002F63E5"/>
    <w:rsid w:val="002F6471"/>
    <w:rsid w:val="002F647E"/>
    <w:rsid w:val="002F656D"/>
    <w:rsid w:val="002F658E"/>
    <w:rsid w:val="002F6692"/>
    <w:rsid w:val="002F66BA"/>
    <w:rsid w:val="002F6780"/>
    <w:rsid w:val="002F681F"/>
    <w:rsid w:val="002F69D9"/>
    <w:rsid w:val="002F6A6D"/>
    <w:rsid w:val="002F6A78"/>
    <w:rsid w:val="002F6A92"/>
    <w:rsid w:val="002F6B1F"/>
    <w:rsid w:val="002F6B2A"/>
    <w:rsid w:val="002F6B2D"/>
    <w:rsid w:val="002F6BEE"/>
    <w:rsid w:val="002F6C32"/>
    <w:rsid w:val="002F6CB5"/>
    <w:rsid w:val="002F6D67"/>
    <w:rsid w:val="002F6E50"/>
    <w:rsid w:val="002F6E56"/>
    <w:rsid w:val="002F6EE2"/>
    <w:rsid w:val="002F6F72"/>
    <w:rsid w:val="002F70CD"/>
    <w:rsid w:val="002F717B"/>
    <w:rsid w:val="002F7331"/>
    <w:rsid w:val="002F73CD"/>
    <w:rsid w:val="002F741E"/>
    <w:rsid w:val="002F747F"/>
    <w:rsid w:val="002F74A6"/>
    <w:rsid w:val="002F7635"/>
    <w:rsid w:val="002F765E"/>
    <w:rsid w:val="002F7666"/>
    <w:rsid w:val="002F7686"/>
    <w:rsid w:val="002F784C"/>
    <w:rsid w:val="002F78FC"/>
    <w:rsid w:val="002F792B"/>
    <w:rsid w:val="002F7983"/>
    <w:rsid w:val="002F7984"/>
    <w:rsid w:val="002F79AE"/>
    <w:rsid w:val="002F7C0B"/>
    <w:rsid w:val="002F7CA5"/>
    <w:rsid w:val="002F7E04"/>
    <w:rsid w:val="002F7ED9"/>
    <w:rsid w:val="002F7EDA"/>
    <w:rsid w:val="00300077"/>
    <w:rsid w:val="0030016A"/>
    <w:rsid w:val="0030027C"/>
    <w:rsid w:val="003002E7"/>
    <w:rsid w:val="00300345"/>
    <w:rsid w:val="00300360"/>
    <w:rsid w:val="00300385"/>
    <w:rsid w:val="00300561"/>
    <w:rsid w:val="003006E1"/>
    <w:rsid w:val="003006E8"/>
    <w:rsid w:val="0030074F"/>
    <w:rsid w:val="003008B0"/>
    <w:rsid w:val="003008CE"/>
    <w:rsid w:val="003009BA"/>
    <w:rsid w:val="003009C4"/>
    <w:rsid w:val="00300A24"/>
    <w:rsid w:val="00300A6A"/>
    <w:rsid w:val="00300AB4"/>
    <w:rsid w:val="00300ADE"/>
    <w:rsid w:val="00300BF8"/>
    <w:rsid w:val="00300C45"/>
    <w:rsid w:val="00300DA0"/>
    <w:rsid w:val="00300DCE"/>
    <w:rsid w:val="00300DE1"/>
    <w:rsid w:val="00300E61"/>
    <w:rsid w:val="00300FAB"/>
    <w:rsid w:val="0030106B"/>
    <w:rsid w:val="003011F0"/>
    <w:rsid w:val="003011F5"/>
    <w:rsid w:val="0030133D"/>
    <w:rsid w:val="0030136F"/>
    <w:rsid w:val="00301799"/>
    <w:rsid w:val="00301829"/>
    <w:rsid w:val="00301845"/>
    <w:rsid w:val="00301978"/>
    <w:rsid w:val="00301993"/>
    <w:rsid w:val="003019A4"/>
    <w:rsid w:val="00301AA0"/>
    <w:rsid w:val="00301B21"/>
    <w:rsid w:val="00301B41"/>
    <w:rsid w:val="00301B62"/>
    <w:rsid w:val="00301B8B"/>
    <w:rsid w:val="00301D47"/>
    <w:rsid w:val="00301E03"/>
    <w:rsid w:val="00301E2A"/>
    <w:rsid w:val="00301E72"/>
    <w:rsid w:val="00301EAD"/>
    <w:rsid w:val="00302011"/>
    <w:rsid w:val="0030202B"/>
    <w:rsid w:val="0030206D"/>
    <w:rsid w:val="00302073"/>
    <w:rsid w:val="0030207D"/>
    <w:rsid w:val="003020AB"/>
    <w:rsid w:val="0030216F"/>
    <w:rsid w:val="00302190"/>
    <w:rsid w:val="00302245"/>
    <w:rsid w:val="003022B3"/>
    <w:rsid w:val="00302388"/>
    <w:rsid w:val="003024D0"/>
    <w:rsid w:val="0030256B"/>
    <w:rsid w:val="00302643"/>
    <w:rsid w:val="003026EB"/>
    <w:rsid w:val="00302775"/>
    <w:rsid w:val="00302784"/>
    <w:rsid w:val="003027F8"/>
    <w:rsid w:val="0030283E"/>
    <w:rsid w:val="003028B0"/>
    <w:rsid w:val="003028C8"/>
    <w:rsid w:val="00302B93"/>
    <w:rsid w:val="00302C04"/>
    <w:rsid w:val="00302CA5"/>
    <w:rsid w:val="00302D09"/>
    <w:rsid w:val="00302D3B"/>
    <w:rsid w:val="00302D59"/>
    <w:rsid w:val="00302DCC"/>
    <w:rsid w:val="00303096"/>
    <w:rsid w:val="003030FD"/>
    <w:rsid w:val="003031FA"/>
    <w:rsid w:val="003033B2"/>
    <w:rsid w:val="003033D8"/>
    <w:rsid w:val="00303468"/>
    <w:rsid w:val="00303649"/>
    <w:rsid w:val="0030384B"/>
    <w:rsid w:val="00303B3E"/>
    <w:rsid w:val="00303CC2"/>
    <w:rsid w:val="00303F4E"/>
    <w:rsid w:val="0030404A"/>
    <w:rsid w:val="003040F3"/>
    <w:rsid w:val="003042B2"/>
    <w:rsid w:val="003042B7"/>
    <w:rsid w:val="00304319"/>
    <w:rsid w:val="0030432E"/>
    <w:rsid w:val="003043B2"/>
    <w:rsid w:val="003045CA"/>
    <w:rsid w:val="003046AE"/>
    <w:rsid w:val="00304731"/>
    <w:rsid w:val="00304775"/>
    <w:rsid w:val="003049EC"/>
    <w:rsid w:val="003049FE"/>
    <w:rsid w:val="00304C87"/>
    <w:rsid w:val="00304D20"/>
    <w:rsid w:val="00304DC7"/>
    <w:rsid w:val="00304E20"/>
    <w:rsid w:val="00304F19"/>
    <w:rsid w:val="00304FB1"/>
    <w:rsid w:val="0030502B"/>
    <w:rsid w:val="00305094"/>
    <w:rsid w:val="00305147"/>
    <w:rsid w:val="003051AB"/>
    <w:rsid w:val="00305260"/>
    <w:rsid w:val="003052EF"/>
    <w:rsid w:val="0030531F"/>
    <w:rsid w:val="0030536E"/>
    <w:rsid w:val="0030546E"/>
    <w:rsid w:val="00305604"/>
    <w:rsid w:val="00305647"/>
    <w:rsid w:val="00305701"/>
    <w:rsid w:val="00305722"/>
    <w:rsid w:val="003057B4"/>
    <w:rsid w:val="003059EF"/>
    <w:rsid w:val="00305A1E"/>
    <w:rsid w:val="00305BA7"/>
    <w:rsid w:val="00305BF8"/>
    <w:rsid w:val="00305E95"/>
    <w:rsid w:val="00305E9E"/>
    <w:rsid w:val="00305EF2"/>
    <w:rsid w:val="00305F20"/>
    <w:rsid w:val="00305F9C"/>
    <w:rsid w:val="00306135"/>
    <w:rsid w:val="00306338"/>
    <w:rsid w:val="003063A5"/>
    <w:rsid w:val="0030659E"/>
    <w:rsid w:val="003065F6"/>
    <w:rsid w:val="0030668D"/>
    <w:rsid w:val="00306697"/>
    <w:rsid w:val="003066B0"/>
    <w:rsid w:val="00306713"/>
    <w:rsid w:val="003069AB"/>
    <w:rsid w:val="00306B53"/>
    <w:rsid w:val="00306C25"/>
    <w:rsid w:val="00306DD3"/>
    <w:rsid w:val="00306E30"/>
    <w:rsid w:val="00306F2C"/>
    <w:rsid w:val="00306F31"/>
    <w:rsid w:val="00306FB0"/>
    <w:rsid w:val="003070D6"/>
    <w:rsid w:val="003070DF"/>
    <w:rsid w:val="0030729A"/>
    <w:rsid w:val="00307365"/>
    <w:rsid w:val="003073ED"/>
    <w:rsid w:val="0030745A"/>
    <w:rsid w:val="00307469"/>
    <w:rsid w:val="00307471"/>
    <w:rsid w:val="0030749A"/>
    <w:rsid w:val="0030756C"/>
    <w:rsid w:val="0030770D"/>
    <w:rsid w:val="00307790"/>
    <w:rsid w:val="00307965"/>
    <w:rsid w:val="003079B2"/>
    <w:rsid w:val="00307B43"/>
    <w:rsid w:val="00307B96"/>
    <w:rsid w:val="00307BC0"/>
    <w:rsid w:val="00307FB2"/>
    <w:rsid w:val="00310134"/>
    <w:rsid w:val="003101E5"/>
    <w:rsid w:val="00310404"/>
    <w:rsid w:val="0031052E"/>
    <w:rsid w:val="003105C4"/>
    <w:rsid w:val="003107BA"/>
    <w:rsid w:val="00310865"/>
    <w:rsid w:val="00310930"/>
    <w:rsid w:val="00310963"/>
    <w:rsid w:val="003109F9"/>
    <w:rsid w:val="003109FA"/>
    <w:rsid w:val="00310AC6"/>
    <w:rsid w:val="00310AE7"/>
    <w:rsid w:val="00310B30"/>
    <w:rsid w:val="00310B33"/>
    <w:rsid w:val="00310B80"/>
    <w:rsid w:val="00310B8B"/>
    <w:rsid w:val="00310BA0"/>
    <w:rsid w:val="00310BB4"/>
    <w:rsid w:val="00310BC2"/>
    <w:rsid w:val="00310D16"/>
    <w:rsid w:val="00310EE9"/>
    <w:rsid w:val="00310F77"/>
    <w:rsid w:val="003110E9"/>
    <w:rsid w:val="003111C4"/>
    <w:rsid w:val="003112E2"/>
    <w:rsid w:val="0031138F"/>
    <w:rsid w:val="0031155E"/>
    <w:rsid w:val="00311599"/>
    <w:rsid w:val="003115AA"/>
    <w:rsid w:val="003116CB"/>
    <w:rsid w:val="00311817"/>
    <w:rsid w:val="0031194F"/>
    <w:rsid w:val="003119EA"/>
    <w:rsid w:val="00311BB4"/>
    <w:rsid w:val="00311BF7"/>
    <w:rsid w:val="00311CEC"/>
    <w:rsid w:val="00311D34"/>
    <w:rsid w:val="00311D65"/>
    <w:rsid w:val="00311E37"/>
    <w:rsid w:val="00311FF1"/>
    <w:rsid w:val="00312142"/>
    <w:rsid w:val="003121E1"/>
    <w:rsid w:val="00312233"/>
    <w:rsid w:val="00312325"/>
    <w:rsid w:val="00312396"/>
    <w:rsid w:val="003123B4"/>
    <w:rsid w:val="00312453"/>
    <w:rsid w:val="003125DE"/>
    <w:rsid w:val="00312730"/>
    <w:rsid w:val="003128EC"/>
    <w:rsid w:val="00312C92"/>
    <w:rsid w:val="00312D26"/>
    <w:rsid w:val="00312D2D"/>
    <w:rsid w:val="00312D5E"/>
    <w:rsid w:val="00312DF0"/>
    <w:rsid w:val="00312E1C"/>
    <w:rsid w:val="0031316E"/>
    <w:rsid w:val="003131CF"/>
    <w:rsid w:val="003131F3"/>
    <w:rsid w:val="00313256"/>
    <w:rsid w:val="00313306"/>
    <w:rsid w:val="003134B1"/>
    <w:rsid w:val="00313535"/>
    <w:rsid w:val="003135FE"/>
    <w:rsid w:val="0031364C"/>
    <w:rsid w:val="003136AA"/>
    <w:rsid w:val="003137BE"/>
    <w:rsid w:val="003137DD"/>
    <w:rsid w:val="0031385E"/>
    <w:rsid w:val="00313B00"/>
    <w:rsid w:val="00313B9C"/>
    <w:rsid w:val="00313C3C"/>
    <w:rsid w:val="00313C53"/>
    <w:rsid w:val="00313C76"/>
    <w:rsid w:val="00313CA0"/>
    <w:rsid w:val="00313EF2"/>
    <w:rsid w:val="00314046"/>
    <w:rsid w:val="003140F3"/>
    <w:rsid w:val="0031411F"/>
    <w:rsid w:val="003141A9"/>
    <w:rsid w:val="00314249"/>
    <w:rsid w:val="003142D7"/>
    <w:rsid w:val="00314378"/>
    <w:rsid w:val="003143F4"/>
    <w:rsid w:val="00314525"/>
    <w:rsid w:val="00314550"/>
    <w:rsid w:val="003145DC"/>
    <w:rsid w:val="00314624"/>
    <w:rsid w:val="0031469C"/>
    <w:rsid w:val="0031474F"/>
    <w:rsid w:val="0031488A"/>
    <w:rsid w:val="003148C2"/>
    <w:rsid w:val="003148C3"/>
    <w:rsid w:val="0031497D"/>
    <w:rsid w:val="00314A00"/>
    <w:rsid w:val="00314BA6"/>
    <w:rsid w:val="00314BAC"/>
    <w:rsid w:val="00314C23"/>
    <w:rsid w:val="00314CD4"/>
    <w:rsid w:val="00314D38"/>
    <w:rsid w:val="00314D4D"/>
    <w:rsid w:val="00314E65"/>
    <w:rsid w:val="00314E97"/>
    <w:rsid w:val="00314EBE"/>
    <w:rsid w:val="00314F13"/>
    <w:rsid w:val="003151D5"/>
    <w:rsid w:val="003152C0"/>
    <w:rsid w:val="00315353"/>
    <w:rsid w:val="0031544F"/>
    <w:rsid w:val="003154FE"/>
    <w:rsid w:val="003155DD"/>
    <w:rsid w:val="00315757"/>
    <w:rsid w:val="0031577D"/>
    <w:rsid w:val="003158C0"/>
    <w:rsid w:val="0031590D"/>
    <w:rsid w:val="003159DE"/>
    <w:rsid w:val="003159FB"/>
    <w:rsid w:val="00315A03"/>
    <w:rsid w:val="00315A4B"/>
    <w:rsid w:val="00315B23"/>
    <w:rsid w:val="00315C77"/>
    <w:rsid w:val="00315C8B"/>
    <w:rsid w:val="00315C9D"/>
    <w:rsid w:val="00315DF6"/>
    <w:rsid w:val="003162D0"/>
    <w:rsid w:val="0031631F"/>
    <w:rsid w:val="0031640A"/>
    <w:rsid w:val="0031644F"/>
    <w:rsid w:val="003164BA"/>
    <w:rsid w:val="0031653E"/>
    <w:rsid w:val="00316727"/>
    <w:rsid w:val="00316A0C"/>
    <w:rsid w:val="00316A6F"/>
    <w:rsid w:val="00316A85"/>
    <w:rsid w:val="00316A98"/>
    <w:rsid w:val="00316A9B"/>
    <w:rsid w:val="00316B04"/>
    <w:rsid w:val="00316B3C"/>
    <w:rsid w:val="00316B6C"/>
    <w:rsid w:val="00316C7E"/>
    <w:rsid w:val="00316CE5"/>
    <w:rsid w:val="00316E33"/>
    <w:rsid w:val="00316E45"/>
    <w:rsid w:val="00316F10"/>
    <w:rsid w:val="00316F3E"/>
    <w:rsid w:val="00316FBF"/>
    <w:rsid w:val="0031702D"/>
    <w:rsid w:val="00317094"/>
    <w:rsid w:val="003170D3"/>
    <w:rsid w:val="003171ED"/>
    <w:rsid w:val="003172B7"/>
    <w:rsid w:val="003172C4"/>
    <w:rsid w:val="003174B8"/>
    <w:rsid w:val="003174FC"/>
    <w:rsid w:val="00317593"/>
    <w:rsid w:val="0031761D"/>
    <w:rsid w:val="0031780B"/>
    <w:rsid w:val="0031789F"/>
    <w:rsid w:val="00317900"/>
    <w:rsid w:val="0031792A"/>
    <w:rsid w:val="0031793A"/>
    <w:rsid w:val="0031795A"/>
    <w:rsid w:val="00317983"/>
    <w:rsid w:val="00317A9D"/>
    <w:rsid w:val="00317D25"/>
    <w:rsid w:val="0032038A"/>
    <w:rsid w:val="00320426"/>
    <w:rsid w:val="00320603"/>
    <w:rsid w:val="00320648"/>
    <w:rsid w:val="003207FF"/>
    <w:rsid w:val="00320828"/>
    <w:rsid w:val="0032083B"/>
    <w:rsid w:val="0032089F"/>
    <w:rsid w:val="003208D4"/>
    <w:rsid w:val="0032098B"/>
    <w:rsid w:val="003209FC"/>
    <w:rsid w:val="00320B7D"/>
    <w:rsid w:val="00320C29"/>
    <w:rsid w:val="00320C35"/>
    <w:rsid w:val="00320DF1"/>
    <w:rsid w:val="00320E73"/>
    <w:rsid w:val="00320EC7"/>
    <w:rsid w:val="00320EDC"/>
    <w:rsid w:val="00320EE3"/>
    <w:rsid w:val="00320FE7"/>
    <w:rsid w:val="00321088"/>
    <w:rsid w:val="003210FB"/>
    <w:rsid w:val="003212D7"/>
    <w:rsid w:val="00321363"/>
    <w:rsid w:val="00321511"/>
    <w:rsid w:val="003215BF"/>
    <w:rsid w:val="003216E0"/>
    <w:rsid w:val="003218E8"/>
    <w:rsid w:val="003219D4"/>
    <w:rsid w:val="00321A34"/>
    <w:rsid w:val="00321AD5"/>
    <w:rsid w:val="00321C33"/>
    <w:rsid w:val="00321C91"/>
    <w:rsid w:val="00321C97"/>
    <w:rsid w:val="00321DBA"/>
    <w:rsid w:val="00322080"/>
    <w:rsid w:val="003220A1"/>
    <w:rsid w:val="0032228D"/>
    <w:rsid w:val="003222BB"/>
    <w:rsid w:val="00322350"/>
    <w:rsid w:val="00322540"/>
    <w:rsid w:val="0032254E"/>
    <w:rsid w:val="003225FB"/>
    <w:rsid w:val="00322741"/>
    <w:rsid w:val="0032277D"/>
    <w:rsid w:val="00322806"/>
    <w:rsid w:val="003229E0"/>
    <w:rsid w:val="00322A09"/>
    <w:rsid w:val="00322B22"/>
    <w:rsid w:val="00322BF4"/>
    <w:rsid w:val="00322DCC"/>
    <w:rsid w:val="00322E3B"/>
    <w:rsid w:val="00322E8F"/>
    <w:rsid w:val="003230D1"/>
    <w:rsid w:val="00323132"/>
    <w:rsid w:val="00323162"/>
    <w:rsid w:val="0032320C"/>
    <w:rsid w:val="00323277"/>
    <w:rsid w:val="0032336E"/>
    <w:rsid w:val="00323403"/>
    <w:rsid w:val="00323534"/>
    <w:rsid w:val="003236C0"/>
    <w:rsid w:val="00323731"/>
    <w:rsid w:val="0032379B"/>
    <w:rsid w:val="0032381E"/>
    <w:rsid w:val="0032384B"/>
    <w:rsid w:val="003238A6"/>
    <w:rsid w:val="0032398B"/>
    <w:rsid w:val="00323A2C"/>
    <w:rsid w:val="00323A79"/>
    <w:rsid w:val="00323B1F"/>
    <w:rsid w:val="00323B95"/>
    <w:rsid w:val="00323BE3"/>
    <w:rsid w:val="00323CC3"/>
    <w:rsid w:val="00323CF4"/>
    <w:rsid w:val="00323E7B"/>
    <w:rsid w:val="00323F36"/>
    <w:rsid w:val="00323FD0"/>
    <w:rsid w:val="0032409B"/>
    <w:rsid w:val="00324279"/>
    <w:rsid w:val="003243AB"/>
    <w:rsid w:val="00324463"/>
    <w:rsid w:val="003245B8"/>
    <w:rsid w:val="003246D5"/>
    <w:rsid w:val="0032471D"/>
    <w:rsid w:val="003247CD"/>
    <w:rsid w:val="003248FA"/>
    <w:rsid w:val="00324908"/>
    <w:rsid w:val="003249D6"/>
    <w:rsid w:val="003249E9"/>
    <w:rsid w:val="00324A3C"/>
    <w:rsid w:val="00324ACF"/>
    <w:rsid w:val="00324AE6"/>
    <w:rsid w:val="00324AF5"/>
    <w:rsid w:val="00324C05"/>
    <w:rsid w:val="00324C19"/>
    <w:rsid w:val="00324C7D"/>
    <w:rsid w:val="00324CC9"/>
    <w:rsid w:val="00324CFE"/>
    <w:rsid w:val="00324D2B"/>
    <w:rsid w:val="00324DC0"/>
    <w:rsid w:val="00324E45"/>
    <w:rsid w:val="00324EB5"/>
    <w:rsid w:val="00325019"/>
    <w:rsid w:val="003251E0"/>
    <w:rsid w:val="0032552E"/>
    <w:rsid w:val="00325553"/>
    <w:rsid w:val="00325567"/>
    <w:rsid w:val="003255CE"/>
    <w:rsid w:val="0032564B"/>
    <w:rsid w:val="00325684"/>
    <w:rsid w:val="003256F9"/>
    <w:rsid w:val="003256FA"/>
    <w:rsid w:val="003257A1"/>
    <w:rsid w:val="003257FB"/>
    <w:rsid w:val="0032582F"/>
    <w:rsid w:val="00325832"/>
    <w:rsid w:val="0032583C"/>
    <w:rsid w:val="0032591A"/>
    <w:rsid w:val="0032594F"/>
    <w:rsid w:val="0032595E"/>
    <w:rsid w:val="0032596C"/>
    <w:rsid w:val="0032596D"/>
    <w:rsid w:val="003259BC"/>
    <w:rsid w:val="00325E56"/>
    <w:rsid w:val="00325F0D"/>
    <w:rsid w:val="0032603B"/>
    <w:rsid w:val="00326045"/>
    <w:rsid w:val="0032617A"/>
    <w:rsid w:val="003261D2"/>
    <w:rsid w:val="003262BF"/>
    <w:rsid w:val="0032634E"/>
    <w:rsid w:val="003263AE"/>
    <w:rsid w:val="003263E5"/>
    <w:rsid w:val="003264C5"/>
    <w:rsid w:val="003264E8"/>
    <w:rsid w:val="00326605"/>
    <w:rsid w:val="003266C7"/>
    <w:rsid w:val="00326741"/>
    <w:rsid w:val="003267AD"/>
    <w:rsid w:val="0032698F"/>
    <w:rsid w:val="00326A8C"/>
    <w:rsid w:val="00326AE4"/>
    <w:rsid w:val="00326B32"/>
    <w:rsid w:val="00326C78"/>
    <w:rsid w:val="00326ECA"/>
    <w:rsid w:val="0032704E"/>
    <w:rsid w:val="00327303"/>
    <w:rsid w:val="00327484"/>
    <w:rsid w:val="003274E7"/>
    <w:rsid w:val="00327509"/>
    <w:rsid w:val="00327563"/>
    <w:rsid w:val="0032766F"/>
    <w:rsid w:val="00327673"/>
    <w:rsid w:val="0032767D"/>
    <w:rsid w:val="00327740"/>
    <w:rsid w:val="003277B2"/>
    <w:rsid w:val="00327890"/>
    <w:rsid w:val="00327896"/>
    <w:rsid w:val="00327978"/>
    <w:rsid w:val="0032799E"/>
    <w:rsid w:val="003279C2"/>
    <w:rsid w:val="00327ADC"/>
    <w:rsid w:val="00327C1A"/>
    <w:rsid w:val="00327D0A"/>
    <w:rsid w:val="00327D75"/>
    <w:rsid w:val="00327D99"/>
    <w:rsid w:val="00327E4E"/>
    <w:rsid w:val="00327F4F"/>
    <w:rsid w:val="0033001B"/>
    <w:rsid w:val="00330102"/>
    <w:rsid w:val="0033023C"/>
    <w:rsid w:val="003302F4"/>
    <w:rsid w:val="00330408"/>
    <w:rsid w:val="00330440"/>
    <w:rsid w:val="00330443"/>
    <w:rsid w:val="00330556"/>
    <w:rsid w:val="00330758"/>
    <w:rsid w:val="003309F1"/>
    <w:rsid w:val="00330AF0"/>
    <w:rsid w:val="00330B5F"/>
    <w:rsid w:val="00330BAD"/>
    <w:rsid w:val="00330C77"/>
    <w:rsid w:val="00330C95"/>
    <w:rsid w:val="00330D22"/>
    <w:rsid w:val="00330E25"/>
    <w:rsid w:val="00330ED4"/>
    <w:rsid w:val="00330F1F"/>
    <w:rsid w:val="0033105A"/>
    <w:rsid w:val="00331090"/>
    <w:rsid w:val="00331122"/>
    <w:rsid w:val="0033112D"/>
    <w:rsid w:val="003311B8"/>
    <w:rsid w:val="003311BD"/>
    <w:rsid w:val="00331235"/>
    <w:rsid w:val="0033134F"/>
    <w:rsid w:val="003314D6"/>
    <w:rsid w:val="003314FA"/>
    <w:rsid w:val="0033158F"/>
    <w:rsid w:val="003315BE"/>
    <w:rsid w:val="0033171B"/>
    <w:rsid w:val="003317A6"/>
    <w:rsid w:val="003318F5"/>
    <w:rsid w:val="00331958"/>
    <w:rsid w:val="00331A75"/>
    <w:rsid w:val="00331AF0"/>
    <w:rsid w:val="00331B05"/>
    <w:rsid w:val="00331B0B"/>
    <w:rsid w:val="00331B22"/>
    <w:rsid w:val="00331B47"/>
    <w:rsid w:val="00331C10"/>
    <w:rsid w:val="00331DC4"/>
    <w:rsid w:val="00331E69"/>
    <w:rsid w:val="00331E9F"/>
    <w:rsid w:val="00331EBD"/>
    <w:rsid w:val="00332054"/>
    <w:rsid w:val="00332306"/>
    <w:rsid w:val="00332324"/>
    <w:rsid w:val="00332400"/>
    <w:rsid w:val="003325D6"/>
    <w:rsid w:val="00332629"/>
    <w:rsid w:val="0033265F"/>
    <w:rsid w:val="003326C5"/>
    <w:rsid w:val="00332791"/>
    <w:rsid w:val="0033286E"/>
    <w:rsid w:val="00332918"/>
    <w:rsid w:val="00332991"/>
    <w:rsid w:val="003329F2"/>
    <w:rsid w:val="00332A50"/>
    <w:rsid w:val="00332AE2"/>
    <w:rsid w:val="00332C62"/>
    <w:rsid w:val="00332CE9"/>
    <w:rsid w:val="00332CFB"/>
    <w:rsid w:val="00332D2F"/>
    <w:rsid w:val="0033306F"/>
    <w:rsid w:val="003330C6"/>
    <w:rsid w:val="00333169"/>
    <w:rsid w:val="00333193"/>
    <w:rsid w:val="003331B4"/>
    <w:rsid w:val="00333251"/>
    <w:rsid w:val="00333252"/>
    <w:rsid w:val="00333331"/>
    <w:rsid w:val="00333405"/>
    <w:rsid w:val="00333417"/>
    <w:rsid w:val="00333511"/>
    <w:rsid w:val="0033351B"/>
    <w:rsid w:val="003335BB"/>
    <w:rsid w:val="0033373C"/>
    <w:rsid w:val="00333741"/>
    <w:rsid w:val="00333840"/>
    <w:rsid w:val="003339A3"/>
    <w:rsid w:val="00333A57"/>
    <w:rsid w:val="00333A61"/>
    <w:rsid w:val="00333B05"/>
    <w:rsid w:val="00333BC4"/>
    <w:rsid w:val="00333D5A"/>
    <w:rsid w:val="00333F11"/>
    <w:rsid w:val="00333F7E"/>
    <w:rsid w:val="00333FD1"/>
    <w:rsid w:val="0033411E"/>
    <w:rsid w:val="003341AE"/>
    <w:rsid w:val="003342F7"/>
    <w:rsid w:val="00334338"/>
    <w:rsid w:val="003343B8"/>
    <w:rsid w:val="0033446F"/>
    <w:rsid w:val="0033453A"/>
    <w:rsid w:val="00334559"/>
    <w:rsid w:val="0033466B"/>
    <w:rsid w:val="003346D1"/>
    <w:rsid w:val="0033477C"/>
    <w:rsid w:val="00334908"/>
    <w:rsid w:val="003349B4"/>
    <w:rsid w:val="00334A0D"/>
    <w:rsid w:val="00334A88"/>
    <w:rsid w:val="00334BD1"/>
    <w:rsid w:val="00334CF1"/>
    <w:rsid w:val="00334D1A"/>
    <w:rsid w:val="00334D1F"/>
    <w:rsid w:val="00334D87"/>
    <w:rsid w:val="00334E09"/>
    <w:rsid w:val="00334E10"/>
    <w:rsid w:val="00334E9C"/>
    <w:rsid w:val="00334FDA"/>
    <w:rsid w:val="00335068"/>
    <w:rsid w:val="00335076"/>
    <w:rsid w:val="00335079"/>
    <w:rsid w:val="003350AB"/>
    <w:rsid w:val="003350E0"/>
    <w:rsid w:val="003351A5"/>
    <w:rsid w:val="003351DB"/>
    <w:rsid w:val="003351DC"/>
    <w:rsid w:val="00335357"/>
    <w:rsid w:val="00335403"/>
    <w:rsid w:val="0033561B"/>
    <w:rsid w:val="00335783"/>
    <w:rsid w:val="003358C7"/>
    <w:rsid w:val="003358D2"/>
    <w:rsid w:val="003358E9"/>
    <w:rsid w:val="00335947"/>
    <w:rsid w:val="00335A2C"/>
    <w:rsid w:val="00335A40"/>
    <w:rsid w:val="00335B0F"/>
    <w:rsid w:val="00335BD9"/>
    <w:rsid w:val="00335CBA"/>
    <w:rsid w:val="00335DC3"/>
    <w:rsid w:val="00335E28"/>
    <w:rsid w:val="00335F3A"/>
    <w:rsid w:val="003360D8"/>
    <w:rsid w:val="0033610E"/>
    <w:rsid w:val="00336123"/>
    <w:rsid w:val="00336169"/>
    <w:rsid w:val="00336416"/>
    <w:rsid w:val="0033643C"/>
    <w:rsid w:val="00336517"/>
    <w:rsid w:val="00336553"/>
    <w:rsid w:val="003366D8"/>
    <w:rsid w:val="003366FA"/>
    <w:rsid w:val="00336761"/>
    <w:rsid w:val="003367B1"/>
    <w:rsid w:val="00336935"/>
    <w:rsid w:val="003369E2"/>
    <w:rsid w:val="00336A37"/>
    <w:rsid w:val="00336A80"/>
    <w:rsid w:val="00336A8E"/>
    <w:rsid w:val="00336AF4"/>
    <w:rsid w:val="00336BC8"/>
    <w:rsid w:val="00336BE1"/>
    <w:rsid w:val="00336E82"/>
    <w:rsid w:val="00336FCD"/>
    <w:rsid w:val="00337022"/>
    <w:rsid w:val="003370F3"/>
    <w:rsid w:val="00337133"/>
    <w:rsid w:val="00337203"/>
    <w:rsid w:val="0033721B"/>
    <w:rsid w:val="00337246"/>
    <w:rsid w:val="003372A5"/>
    <w:rsid w:val="003372BA"/>
    <w:rsid w:val="003373FF"/>
    <w:rsid w:val="00337440"/>
    <w:rsid w:val="0033787D"/>
    <w:rsid w:val="003378B4"/>
    <w:rsid w:val="003378DE"/>
    <w:rsid w:val="0033793F"/>
    <w:rsid w:val="00337945"/>
    <w:rsid w:val="003379CF"/>
    <w:rsid w:val="00337B80"/>
    <w:rsid w:val="00337CF5"/>
    <w:rsid w:val="00337D66"/>
    <w:rsid w:val="00337E07"/>
    <w:rsid w:val="00337FD2"/>
    <w:rsid w:val="00340164"/>
    <w:rsid w:val="003401F5"/>
    <w:rsid w:val="0034020A"/>
    <w:rsid w:val="00340290"/>
    <w:rsid w:val="003402E0"/>
    <w:rsid w:val="003402F7"/>
    <w:rsid w:val="0034042E"/>
    <w:rsid w:val="00340598"/>
    <w:rsid w:val="0034066E"/>
    <w:rsid w:val="003406A4"/>
    <w:rsid w:val="00340865"/>
    <w:rsid w:val="00340A99"/>
    <w:rsid w:val="00340A9B"/>
    <w:rsid w:val="00340B18"/>
    <w:rsid w:val="00340B66"/>
    <w:rsid w:val="00340BB4"/>
    <w:rsid w:val="00340C8E"/>
    <w:rsid w:val="00340CD4"/>
    <w:rsid w:val="00340DF7"/>
    <w:rsid w:val="00340E31"/>
    <w:rsid w:val="00340F96"/>
    <w:rsid w:val="00341226"/>
    <w:rsid w:val="0034123E"/>
    <w:rsid w:val="0034124E"/>
    <w:rsid w:val="003412B7"/>
    <w:rsid w:val="00341337"/>
    <w:rsid w:val="00341370"/>
    <w:rsid w:val="00341381"/>
    <w:rsid w:val="003413FC"/>
    <w:rsid w:val="00341580"/>
    <w:rsid w:val="003415B9"/>
    <w:rsid w:val="0034164D"/>
    <w:rsid w:val="00341926"/>
    <w:rsid w:val="00341964"/>
    <w:rsid w:val="00341995"/>
    <w:rsid w:val="003419FF"/>
    <w:rsid w:val="00341A70"/>
    <w:rsid w:val="00341C04"/>
    <w:rsid w:val="00341CBF"/>
    <w:rsid w:val="00341CE6"/>
    <w:rsid w:val="00341E16"/>
    <w:rsid w:val="00342066"/>
    <w:rsid w:val="0034209B"/>
    <w:rsid w:val="003420E0"/>
    <w:rsid w:val="00342313"/>
    <w:rsid w:val="0034239D"/>
    <w:rsid w:val="003423B4"/>
    <w:rsid w:val="0034244A"/>
    <w:rsid w:val="003425BE"/>
    <w:rsid w:val="00342796"/>
    <w:rsid w:val="003427D0"/>
    <w:rsid w:val="003427F9"/>
    <w:rsid w:val="00342A7A"/>
    <w:rsid w:val="00342AC4"/>
    <w:rsid w:val="00342C01"/>
    <w:rsid w:val="00342C2F"/>
    <w:rsid w:val="00342D5C"/>
    <w:rsid w:val="00342E16"/>
    <w:rsid w:val="00342EF6"/>
    <w:rsid w:val="00342F28"/>
    <w:rsid w:val="00343041"/>
    <w:rsid w:val="003431B7"/>
    <w:rsid w:val="003431E1"/>
    <w:rsid w:val="0034324F"/>
    <w:rsid w:val="00343367"/>
    <w:rsid w:val="0034359E"/>
    <w:rsid w:val="003435AE"/>
    <w:rsid w:val="00343762"/>
    <w:rsid w:val="003437C8"/>
    <w:rsid w:val="0034388C"/>
    <w:rsid w:val="003438C9"/>
    <w:rsid w:val="003439AC"/>
    <w:rsid w:val="00343ADB"/>
    <w:rsid w:val="00343AE7"/>
    <w:rsid w:val="00343CFD"/>
    <w:rsid w:val="00343FAF"/>
    <w:rsid w:val="00343FC5"/>
    <w:rsid w:val="00344074"/>
    <w:rsid w:val="00344129"/>
    <w:rsid w:val="003441D9"/>
    <w:rsid w:val="003441FF"/>
    <w:rsid w:val="003443FA"/>
    <w:rsid w:val="00344427"/>
    <w:rsid w:val="0034451D"/>
    <w:rsid w:val="00344638"/>
    <w:rsid w:val="0034463C"/>
    <w:rsid w:val="003446C5"/>
    <w:rsid w:val="003447EF"/>
    <w:rsid w:val="0034488C"/>
    <w:rsid w:val="00344917"/>
    <w:rsid w:val="003449BD"/>
    <w:rsid w:val="003449CD"/>
    <w:rsid w:val="00344A1A"/>
    <w:rsid w:val="00344A1E"/>
    <w:rsid w:val="00344A27"/>
    <w:rsid w:val="00344A4D"/>
    <w:rsid w:val="00344A6E"/>
    <w:rsid w:val="00344E0D"/>
    <w:rsid w:val="00345109"/>
    <w:rsid w:val="0034515B"/>
    <w:rsid w:val="00345213"/>
    <w:rsid w:val="0034523B"/>
    <w:rsid w:val="003453C0"/>
    <w:rsid w:val="003453FB"/>
    <w:rsid w:val="00345636"/>
    <w:rsid w:val="0034577B"/>
    <w:rsid w:val="00345866"/>
    <w:rsid w:val="003458C1"/>
    <w:rsid w:val="0034594E"/>
    <w:rsid w:val="00345981"/>
    <w:rsid w:val="003459AD"/>
    <w:rsid w:val="00345B0D"/>
    <w:rsid w:val="00345B12"/>
    <w:rsid w:val="00345C11"/>
    <w:rsid w:val="00345D57"/>
    <w:rsid w:val="00345D5F"/>
    <w:rsid w:val="00346033"/>
    <w:rsid w:val="00346140"/>
    <w:rsid w:val="00346209"/>
    <w:rsid w:val="003462A6"/>
    <w:rsid w:val="0034642B"/>
    <w:rsid w:val="0034650F"/>
    <w:rsid w:val="00346563"/>
    <w:rsid w:val="00346568"/>
    <w:rsid w:val="003465F1"/>
    <w:rsid w:val="003465F4"/>
    <w:rsid w:val="003467B5"/>
    <w:rsid w:val="0034680C"/>
    <w:rsid w:val="00346A76"/>
    <w:rsid w:val="00346B3F"/>
    <w:rsid w:val="00346BCF"/>
    <w:rsid w:val="00346C7D"/>
    <w:rsid w:val="00346D2C"/>
    <w:rsid w:val="00346D72"/>
    <w:rsid w:val="00346E98"/>
    <w:rsid w:val="00346EC7"/>
    <w:rsid w:val="00346F3C"/>
    <w:rsid w:val="00346F67"/>
    <w:rsid w:val="0034710C"/>
    <w:rsid w:val="0034735F"/>
    <w:rsid w:val="003473B8"/>
    <w:rsid w:val="003473DA"/>
    <w:rsid w:val="00347427"/>
    <w:rsid w:val="003474B0"/>
    <w:rsid w:val="0034750F"/>
    <w:rsid w:val="00347517"/>
    <w:rsid w:val="00347693"/>
    <w:rsid w:val="003476CB"/>
    <w:rsid w:val="00347831"/>
    <w:rsid w:val="0034786F"/>
    <w:rsid w:val="00347878"/>
    <w:rsid w:val="00347A81"/>
    <w:rsid w:val="00347AF3"/>
    <w:rsid w:val="00347B33"/>
    <w:rsid w:val="00347C40"/>
    <w:rsid w:val="00347D5C"/>
    <w:rsid w:val="00347D8D"/>
    <w:rsid w:val="00347E71"/>
    <w:rsid w:val="00347E81"/>
    <w:rsid w:val="00347EA6"/>
    <w:rsid w:val="00347F67"/>
    <w:rsid w:val="003480C1"/>
    <w:rsid w:val="003500B1"/>
    <w:rsid w:val="003500C5"/>
    <w:rsid w:val="00350445"/>
    <w:rsid w:val="0035070D"/>
    <w:rsid w:val="00350751"/>
    <w:rsid w:val="003507D0"/>
    <w:rsid w:val="00350810"/>
    <w:rsid w:val="0035084F"/>
    <w:rsid w:val="003508AE"/>
    <w:rsid w:val="00350A6C"/>
    <w:rsid w:val="00350B6C"/>
    <w:rsid w:val="00350C89"/>
    <w:rsid w:val="00351076"/>
    <w:rsid w:val="003510B4"/>
    <w:rsid w:val="003511BC"/>
    <w:rsid w:val="003511C7"/>
    <w:rsid w:val="00351232"/>
    <w:rsid w:val="003512C0"/>
    <w:rsid w:val="00351378"/>
    <w:rsid w:val="00351484"/>
    <w:rsid w:val="0035149C"/>
    <w:rsid w:val="003516EB"/>
    <w:rsid w:val="00351745"/>
    <w:rsid w:val="0035174C"/>
    <w:rsid w:val="003517E4"/>
    <w:rsid w:val="003518D6"/>
    <w:rsid w:val="00351912"/>
    <w:rsid w:val="003519E8"/>
    <w:rsid w:val="00351AE7"/>
    <w:rsid w:val="00351AF1"/>
    <w:rsid w:val="00351AF9"/>
    <w:rsid w:val="00351B7C"/>
    <w:rsid w:val="00351E07"/>
    <w:rsid w:val="00351EFC"/>
    <w:rsid w:val="00351FAE"/>
    <w:rsid w:val="0035201B"/>
    <w:rsid w:val="0035206A"/>
    <w:rsid w:val="0035216F"/>
    <w:rsid w:val="00352176"/>
    <w:rsid w:val="0035227D"/>
    <w:rsid w:val="00352324"/>
    <w:rsid w:val="00352355"/>
    <w:rsid w:val="003523B3"/>
    <w:rsid w:val="00352461"/>
    <w:rsid w:val="00352486"/>
    <w:rsid w:val="00352493"/>
    <w:rsid w:val="003525BB"/>
    <w:rsid w:val="0035268B"/>
    <w:rsid w:val="00352701"/>
    <w:rsid w:val="003528DF"/>
    <w:rsid w:val="0035290D"/>
    <w:rsid w:val="00352984"/>
    <w:rsid w:val="003529DB"/>
    <w:rsid w:val="00352AD0"/>
    <w:rsid w:val="00352AF4"/>
    <w:rsid w:val="00352B87"/>
    <w:rsid w:val="00352BEA"/>
    <w:rsid w:val="00352BEF"/>
    <w:rsid w:val="00352BF5"/>
    <w:rsid w:val="00352C33"/>
    <w:rsid w:val="00352DDC"/>
    <w:rsid w:val="00352E31"/>
    <w:rsid w:val="00352E97"/>
    <w:rsid w:val="00352FAC"/>
    <w:rsid w:val="003530F2"/>
    <w:rsid w:val="00353249"/>
    <w:rsid w:val="0035327E"/>
    <w:rsid w:val="003532F3"/>
    <w:rsid w:val="00353317"/>
    <w:rsid w:val="0035331D"/>
    <w:rsid w:val="00353566"/>
    <w:rsid w:val="0035357D"/>
    <w:rsid w:val="003535DB"/>
    <w:rsid w:val="0035361A"/>
    <w:rsid w:val="003536BD"/>
    <w:rsid w:val="003536D5"/>
    <w:rsid w:val="003536E8"/>
    <w:rsid w:val="00353761"/>
    <w:rsid w:val="00353890"/>
    <w:rsid w:val="00353AF1"/>
    <w:rsid w:val="00353D6A"/>
    <w:rsid w:val="00353DE0"/>
    <w:rsid w:val="00353E43"/>
    <w:rsid w:val="00353F8A"/>
    <w:rsid w:val="00353F9E"/>
    <w:rsid w:val="0035406E"/>
    <w:rsid w:val="0035413E"/>
    <w:rsid w:val="00354176"/>
    <w:rsid w:val="00354286"/>
    <w:rsid w:val="003542BD"/>
    <w:rsid w:val="0035452B"/>
    <w:rsid w:val="00354605"/>
    <w:rsid w:val="0035473D"/>
    <w:rsid w:val="00354839"/>
    <w:rsid w:val="00354A30"/>
    <w:rsid w:val="00354D79"/>
    <w:rsid w:val="0035501F"/>
    <w:rsid w:val="00355320"/>
    <w:rsid w:val="00355332"/>
    <w:rsid w:val="003553A6"/>
    <w:rsid w:val="003553B7"/>
    <w:rsid w:val="003554D1"/>
    <w:rsid w:val="00355569"/>
    <w:rsid w:val="003556C8"/>
    <w:rsid w:val="0035581F"/>
    <w:rsid w:val="003558F1"/>
    <w:rsid w:val="00355912"/>
    <w:rsid w:val="00355AF8"/>
    <w:rsid w:val="00355B27"/>
    <w:rsid w:val="00355C01"/>
    <w:rsid w:val="00355C61"/>
    <w:rsid w:val="00355C65"/>
    <w:rsid w:val="00355CDE"/>
    <w:rsid w:val="00355D05"/>
    <w:rsid w:val="00355D7B"/>
    <w:rsid w:val="00355D9D"/>
    <w:rsid w:val="00355DBF"/>
    <w:rsid w:val="00355FEA"/>
    <w:rsid w:val="00356161"/>
    <w:rsid w:val="003561A7"/>
    <w:rsid w:val="00356206"/>
    <w:rsid w:val="00356253"/>
    <w:rsid w:val="00356254"/>
    <w:rsid w:val="003562EE"/>
    <w:rsid w:val="00356342"/>
    <w:rsid w:val="00356517"/>
    <w:rsid w:val="0035660C"/>
    <w:rsid w:val="00356664"/>
    <w:rsid w:val="00356755"/>
    <w:rsid w:val="00356790"/>
    <w:rsid w:val="00356799"/>
    <w:rsid w:val="003567FC"/>
    <w:rsid w:val="00356835"/>
    <w:rsid w:val="00356837"/>
    <w:rsid w:val="003568F3"/>
    <w:rsid w:val="0035691A"/>
    <w:rsid w:val="00356B47"/>
    <w:rsid w:val="00356BF9"/>
    <w:rsid w:val="00356C3A"/>
    <w:rsid w:val="00356CA5"/>
    <w:rsid w:val="00356CCC"/>
    <w:rsid w:val="00356D4F"/>
    <w:rsid w:val="00356F60"/>
    <w:rsid w:val="003571AC"/>
    <w:rsid w:val="003572C0"/>
    <w:rsid w:val="00357315"/>
    <w:rsid w:val="003573A2"/>
    <w:rsid w:val="003573C3"/>
    <w:rsid w:val="00357435"/>
    <w:rsid w:val="003574A8"/>
    <w:rsid w:val="003574DC"/>
    <w:rsid w:val="003574F4"/>
    <w:rsid w:val="0035759D"/>
    <w:rsid w:val="003577A4"/>
    <w:rsid w:val="0035793A"/>
    <w:rsid w:val="00357941"/>
    <w:rsid w:val="00357A1C"/>
    <w:rsid w:val="00357A26"/>
    <w:rsid w:val="00357A72"/>
    <w:rsid w:val="00357B02"/>
    <w:rsid w:val="00357B26"/>
    <w:rsid w:val="00357BBE"/>
    <w:rsid w:val="00357CC9"/>
    <w:rsid w:val="00357D1B"/>
    <w:rsid w:val="00357E13"/>
    <w:rsid w:val="00357F16"/>
    <w:rsid w:val="00360050"/>
    <w:rsid w:val="00360197"/>
    <w:rsid w:val="00360230"/>
    <w:rsid w:val="003602AA"/>
    <w:rsid w:val="003602CB"/>
    <w:rsid w:val="003604EB"/>
    <w:rsid w:val="00360616"/>
    <w:rsid w:val="00360641"/>
    <w:rsid w:val="0036068D"/>
    <w:rsid w:val="003606CA"/>
    <w:rsid w:val="0036078E"/>
    <w:rsid w:val="0036087F"/>
    <w:rsid w:val="003609DD"/>
    <w:rsid w:val="00360A04"/>
    <w:rsid w:val="00360ACF"/>
    <w:rsid w:val="00360C12"/>
    <w:rsid w:val="00360C3F"/>
    <w:rsid w:val="00360CF9"/>
    <w:rsid w:val="00360F0F"/>
    <w:rsid w:val="00361076"/>
    <w:rsid w:val="0036108F"/>
    <w:rsid w:val="003610B2"/>
    <w:rsid w:val="003612A7"/>
    <w:rsid w:val="003612BA"/>
    <w:rsid w:val="00361382"/>
    <w:rsid w:val="003613A7"/>
    <w:rsid w:val="003613A9"/>
    <w:rsid w:val="00361448"/>
    <w:rsid w:val="00361472"/>
    <w:rsid w:val="0036150C"/>
    <w:rsid w:val="00361687"/>
    <w:rsid w:val="0036171C"/>
    <w:rsid w:val="00361787"/>
    <w:rsid w:val="003618E6"/>
    <w:rsid w:val="003618FC"/>
    <w:rsid w:val="00361980"/>
    <w:rsid w:val="00361A3C"/>
    <w:rsid w:val="00361A91"/>
    <w:rsid w:val="00361B33"/>
    <w:rsid w:val="00361C0A"/>
    <w:rsid w:val="00361CF1"/>
    <w:rsid w:val="00361D9F"/>
    <w:rsid w:val="00361DA7"/>
    <w:rsid w:val="00361E17"/>
    <w:rsid w:val="00361FD2"/>
    <w:rsid w:val="00361FE2"/>
    <w:rsid w:val="00362002"/>
    <w:rsid w:val="0036205E"/>
    <w:rsid w:val="00362267"/>
    <w:rsid w:val="003622F1"/>
    <w:rsid w:val="0036231F"/>
    <w:rsid w:val="00362373"/>
    <w:rsid w:val="0036245C"/>
    <w:rsid w:val="0036248C"/>
    <w:rsid w:val="00362539"/>
    <w:rsid w:val="003625FF"/>
    <w:rsid w:val="003626D4"/>
    <w:rsid w:val="00362776"/>
    <w:rsid w:val="003627AD"/>
    <w:rsid w:val="00362882"/>
    <w:rsid w:val="003628D8"/>
    <w:rsid w:val="00362B10"/>
    <w:rsid w:val="00362C4B"/>
    <w:rsid w:val="00362CA2"/>
    <w:rsid w:val="00362CD6"/>
    <w:rsid w:val="00362CDC"/>
    <w:rsid w:val="00362DCB"/>
    <w:rsid w:val="00362DD9"/>
    <w:rsid w:val="00362DFF"/>
    <w:rsid w:val="00362FB5"/>
    <w:rsid w:val="003630D2"/>
    <w:rsid w:val="003630E8"/>
    <w:rsid w:val="0036320F"/>
    <w:rsid w:val="00363270"/>
    <w:rsid w:val="0036331A"/>
    <w:rsid w:val="0036336B"/>
    <w:rsid w:val="00363378"/>
    <w:rsid w:val="003633A0"/>
    <w:rsid w:val="003633C4"/>
    <w:rsid w:val="00363453"/>
    <w:rsid w:val="003634B4"/>
    <w:rsid w:val="00363560"/>
    <w:rsid w:val="00363668"/>
    <w:rsid w:val="00363694"/>
    <w:rsid w:val="0036375A"/>
    <w:rsid w:val="0036381E"/>
    <w:rsid w:val="00363869"/>
    <w:rsid w:val="0036387E"/>
    <w:rsid w:val="003638D3"/>
    <w:rsid w:val="003639D7"/>
    <w:rsid w:val="00363A12"/>
    <w:rsid w:val="00363AC2"/>
    <w:rsid w:val="00363C23"/>
    <w:rsid w:val="00363C9C"/>
    <w:rsid w:val="00363D1B"/>
    <w:rsid w:val="00363DCF"/>
    <w:rsid w:val="00363E6F"/>
    <w:rsid w:val="00363F1C"/>
    <w:rsid w:val="00363F8D"/>
    <w:rsid w:val="00363FB2"/>
    <w:rsid w:val="00364025"/>
    <w:rsid w:val="00364072"/>
    <w:rsid w:val="003641D7"/>
    <w:rsid w:val="003642A9"/>
    <w:rsid w:val="0036448A"/>
    <w:rsid w:val="003644EA"/>
    <w:rsid w:val="00364654"/>
    <w:rsid w:val="0036466E"/>
    <w:rsid w:val="0036469E"/>
    <w:rsid w:val="003647A9"/>
    <w:rsid w:val="0036482A"/>
    <w:rsid w:val="003648B5"/>
    <w:rsid w:val="003648B7"/>
    <w:rsid w:val="003648C8"/>
    <w:rsid w:val="0036493D"/>
    <w:rsid w:val="00364A55"/>
    <w:rsid w:val="00364B35"/>
    <w:rsid w:val="00364B66"/>
    <w:rsid w:val="00364C3E"/>
    <w:rsid w:val="00364CCE"/>
    <w:rsid w:val="00364D37"/>
    <w:rsid w:val="00364D76"/>
    <w:rsid w:val="00364E20"/>
    <w:rsid w:val="00364E67"/>
    <w:rsid w:val="00364F39"/>
    <w:rsid w:val="00364F51"/>
    <w:rsid w:val="00365042"/>
    <w:rsid w:val="00365064"/>
    <w:rsid w:val="00365138"/>
    <w:rsid w:val="00365244"/>
    <w:rsid w:val="003652C7"/>
    <w:rsid w:val="003653E4"/>
    <w:rsid w:val="00365589"/>
    <w:rsid w:val="00365615"/>
    <w:rsid w:val="003657A2"/>
    <w:rsid w:val="00365828"/>
    <w:rsid w:val="00365ADF"/>
    <w:rsid w:val="00365B88"/>
    <w:rsid w:val="00365BCE"/>
    <w:rsid w:val="00365C68"/>
    <w:rsid w:val="00365DBF"/>
    <w:rsid w:val="00365DF2"/>
    <w:rsid w:val="00365E09"/>
    <w:rsid w:val="00365EAF"/>
    <w:rsid w:val="00365EEF"/>
    <w:rsid w:val="00365F12"/>
    <w:rsid w:val="00365FE0"/>
    <w:rsid w:val="00366162"/>
    <w:rsid w:val="00366282"/>
    <w:rsid w:val="00366488"/>
    <w:rsid w:val="003664A6"/>
    <w:rsid w:val="003667CD"/>
    <w:rsid w:val="0036684E"/>
    <w:rsid w:val="003669BF"/>
    <w:rsid w:val="003669E4"/>
    <w:rsid w:val="003669E9"/>
    <w:rsid w:val="00366A41"/>
    <w:rsid w:val="00366A9A"/>
    <w:rsid w:val="00366AA6"/>
    <w:rsid w:val="00366CA6"/>
    <w:rsid w:val="00366D92"/>
    <w:rsid w:val="00366E6B"/>
    <w:rsid w:val="00366F37"/>
    <w:rsid w:val="00367021"/>
    <w:rsid w:val="00367047"/>
    <w:rsid w:val="00367096"/>
    <w:rsid w:val="003670CE"/>
    <w:rsid w:val="0036713C"/>
    <w:rsid w:val="00367174"/>
    <w:rsid w:val="003671DD"/>
    <w:rsid w:val="003672F1"/>
    <w:rsid w:val="00367305"/>
    <w:rsid w:val="0036736F"/>
    <w:rsid w:val="00367476"/>
    <w:rsid w:val="00367598"/>
    <w:rsid w:val="003675C8"/>
    <w:rsid w:val="00367661"/>
    <w:rsid w:val="003676E3"/>
    <w:rsid w:val="003676F7"/>
    <w:rsid w:val="0036774C"/>
    <w:rsid w:val="0036777D"/>
    <w:rsid w:val="003677C7"/>
    <w:rsid w:val="003677CB"/>
    <w:rsid w:val="00367944"/>
    <w:rsid w:val="00367A49"/>
    <w:rsid w:val="00367A6A"/>
    <w:rsid w:val="00367AA9"/>
    <w:rsid w:val="00367B08"/>
    <w:rsid w:val="00367D76"/>
    <w:rsid w:val="00367E03"/>
    <w:rsid w:val="00367F35"/>
    <w:rsid w:val="00370012"/>
    <w:rsid w:val="0037004E"/>
    <w:rsid w:val="00370085"/>
    <w:rsid w:val="0037016D"/>
    <w:rsid w:val="0037024C"/>
    <w:rsid w:val="00370279"/>
    <w:rsid w:val="0037027F"/>
    <w:rsid w:val="00370329"/>
    <w:rsid w:val="00370339"/>
    <w:rsid w:val="003703B5"/>
    <w:rsid w:val="003703C4"/>
    <w:rsid w:val="0037044F"/>
    <w:rsid w:val="003704EC"/>
    <w:rsid w:val="0037051B"/>
    <w:rsid w:val="003709B1"/>
    <w:rsid w:val="00370C45"/>
    <w:rsid w:val="00370C48"/>
    <w:rsid w:val="00370C95"/>
    <w:rsid w:val="00370D64"/>
    <w:rsid w:val="00370D87"/>
    <w:rsid w:val="00370D99"/>
    <w:rsid w:val="00370E0D"/>
    <w:rsid w:val="00370E20"/>
    <w:rsid w:val="00370F82"/>
    <w:rsid w:val="0037113D"/>
    <w:rsid w:val="003712AD"/>
    <w:rsid w:val="003712D0"/>
    <w:rsid w:val="00371333"/>
    <w:rsid w:val="00371425"/>
    <w:rsid w:val="00371462"/>
    <w:rsid w:val="003714BE"/>
    <w:rsid w:val="00371553"/>
    <w:rsid w:val="003718E3"/>
    <w:rsid w:val="00371A30"/>
    <w:rsid w:val="00371B63"/>
    <w:rsid w:val="00371D3A"/>
    <w:rsid w:val="00371DD1"/>
    <w:rsid w:val="00371DE3"/>
    <w:rsid w:val="003721D2"/>
    <w:rsid w:val="003721FD"/>
    <w:rsid w:val="00372224"/>
    <w:rsid w:val="003722B0"/>
    <w:rsid w:val="00372300"/>
    <w:rsid w:val="00372354"/>
    <w:rsid w:val="0037237E"/>
    <w:rsid w:val="00372444"/>
    <w:rsid w:val="003724A9"/>
    <w:rsid w:val="003724EE"/>
    <w:rsid w:val="00372552"/>
    <w:rsid w:val="00372624"/>
    <w:rsid w:val="003726B3"/>
    <w:rsid w:val="003727C5"/>
    <w:rsid w:val="00372807"/>
    <w:rsid w:val="003728ED"/>
    <w:rsid w:val="00372997"/>
    <w:rsid w:val="00372A77"/>
    <w:rsid w:val="00372B7A"/>
    <w:rsid w:val="00372B84"/>
    <w:rsid w:val="00372C28"/>
    <w:rsid w:val="00372DE8"/>
    <w:rsid w:val="00372E25"/>
    <w:rsid w:val="00372E54"/>
    <w:rsid w:val="00372F35"/>
    <w:rsid w:val="00372F92"/>
    <w:rsid w:val="00372FAC"/>
    <w:rsid w:val="00373090"/>
    <w:rsid w:val="003730FA"/>
    <w:rsid w:val="00373200"/>
    <w:rsid w:val="00373246"/>
    <w:rsid w:val="003732EC"/>
    <w:rsid w:val="003734E9"/>
    <w:rsid w:val="00373551"/>
    <w:rsid w:val="003735ED"/>
    <w:rsid w:val="00373600"/>
    <w:rsid w:val="0037364B"/>
    <w:rsid w:val="003736C3"/>
    <w:rsid w:val="00373871"/>
    <w:rsid w:val="0037392E"/>
    <w:rsid w:val="00373985"/>
    <w:rsid w:val="00373A65"/>
    <w:rsid w:val="00373B54"/>
    <w:rsid w:val="00373B73"/>
    <w:rsid w:val="00373BFF"/>
    <w:rsid w:val="00373C37"/>
    <w:rsid w:val="00373C8B"/>
    <w:rsid w:val="00373E3C"/>
    <w:rsid w:val="00373E70"/>
    <w:rsid w:val="0037400C"/>
    <w:rsid w:val="0037400F"/>
    <w:rsid w:val="003740BB"/>
    <w:rsid w:val="003741D1"/>
    <w:rsid w:val="00374329"/>
    <w:rsid w:val="0037439E"/>
    <w:rsid w:val="0037449D"/>
    <w:rsid w:val="003744C8"/>
    <w:rsid w:val="003744DC"/>
    <w:rsid w:val="003744FD"/>
    <w:rsid w:val="003745F6"/>
    <w:rsid w:val="00374707"/>
    <w:rsid w:val="003747D7"/>
    <w:rsid w:val="003749D2"/>
    <w:rsid w:val="00374A26"/>
    <w:rsid w:val="00374BE0"/>
    <w:rsid w:val="00374D95"/>
    <w:rsid w:val="00374F27"/>
    <w:rsid w:val="00374F6E"/>
    <w:rsid w:val="00374F9B"/>
    <w:rsid w:val="00374FA0"/>
    <w:rsid w:val="0037507D"/>
    <w:rsid w:val="003751A0"/>
    <w:rsid w:val="003751B8"/>
    <w:rsid w:val="003753AB"/>
    <w:rsid w:val="0037568F"/>
    <w:rsid w:val="003756FB"/>
    <w:rsid w:val="00375883"/>
    <w:rsid w:val="00375A09"/>
    <w:rsid w:val="00375AAF"/>
    <w:rsid w:val="00375B10"/>
    <w:rsid w:val="00375B4F"/>
    <w:rsid w:val="00375C08"/>
    <w:rsid w:val="00375C09"/>
    <w:rsid w:val="00375CC2"/>
    <w:rsid w:val="00375D10"/>
    <w:rsid w:val="00375D1B"/>
    <w:rsid w:val="00375D3D"/>
    <w:rsid w:val="00375D68"/>
    <w:rsid w:val="00375E13"/>
    <w:rsid w:val="00375F2C"/>
    <w:rsid w:val="00375F4E"/>
    <w:rsid w:val="00376073"/>
    <w:rsid w:val="0037609F"/>
    <w:rsid w:val="0037619D"/>
    <w:rsid w:val="003761A9"/>
    <w:rsid w:val="003761E4"/>
    <w:rsid w:val="0037627B"/>
    <w:rsid w:val="0037639B"/>
    <w:rsid w:val="00376401"/>
    <w:rsid w:val="00376421"/>
    <w:rsid w:val="003764CD"/>
    <w:rsid w:val="0037659C"/>
    <w:rsid w:val="003765EA"/>
    <w:rsid w:val="003766E7"/>
    <w:rsid w:val="0037671F"/>
    <w:rsid w:val="00376724"/>
    <w:rsid w:val="003767A7"/>
    <w:rsid w:val="00376823"/>
    <w:rsid w:val="00376946"/>
    <w:rsid w:val="00376A54"/>
    <w:rsid w:val="00376A89"/>
    <w:rsid w:val="00376D82"/>
    <w:rsid w:val="00376F09"/>
    <w:rsid w:val="00376F29"/>
    <w:rsid w:val="00376F85"/>
    <w:rsid w:val="00377044"/>
    <w:rsid w:val="003770A1"/>
    <w:rsid w:val="003770E7"/>
    <w:rsid w:val="00377102"/>
    <w:rsid w:val="003771EC"/>
    <w:rsid w:val="0037720A"/>
    <w:rsid w:val="0037727C"/>
    <w:rsid w:val="00377528"/>
    <w:rsid w:val="00377623"/>
    <w:rsid w:val="003776DF"/>
    <w:rsid w:val="00377816"/>
    <w:rsid w:val="003778B2"/>
    <w:rsid w:val="00377A60"/>
    <w:rsid w:val="00377C31"/>
    <w:rsid w:val="00377D06"/>
    <w:rsid w:val="00377D27"/>
    <w:rsid w:val="00377D74"/>
    <w:rsid w:val="00377E9E"/>
    <w:rsid w:val="00377F1A"/>
    <w:rsid w:val="00377F3D"/>
    <w:rsid w:val="00377FF4"/>
    <w:rsid w:val="0038006D"/>
    <w:rsid w:val="003801EE"/>
    <w:rsid w:val="0038047D"/>
    <w:rsid w:val="003804BB"/>
    <w:rsid w:val="003804C2"/>
    <w:rsid w:val="00380542"/>
    <w:rsid w:val="003806CE"/>
    <w:rsid w:val="003806E2"/>
    <w:rsid w:val="0038077D"/>
    <w:rsid w:val="00380805"/>
    <w:rsid w:val="00380858"/>
    <w:rsid w:val="00380866"/>
    <w:rsid w:val="00380C80"/>
    <w:rsid w:val="00380C9F"/>
    <w:rsid w:val="00381035"/>
    <w:rsid w:val="003810C8"/>
    <w:rsid w:val="003810D1"/>
    <w:rsid w:val="0038121B"/>
    <w:rsid w:val="003812B1"/>
    <w:rsid w:val="003814C8"/>
    <w:rsid w:val="00381540"/>
    <w:rsid w:val="003815A6"/>
    <w:rsid w:val="00381612"/>
    <w:rsid w:val="00381A51"/>
    <w:rsid w:val="00381A5D"/>
    <w:rsid w:val="00381B92"/>
    <w:rsid w:val="00381D91"/>
    <w:rsid w:val="00381D95"/>
    <w:rsid w:val="00381F2A"/>
    <w:rsid w:val="00381F36"/>
    <w:rsid w:val="0038207A"/>
    <w:rsid w:val="00382332"/>
    <w:rsid w:val="00382553"/>
    <w:rsid w:val="00382614"/>
    <w:rsid w:val="00382742"/>
    <w:rsid w:val="0038283B"/>
    <w:rsid w:val="003828EA"/>
    <w:rsid w:val="00382A31"/>
    <w:rsid w:val="00382BC5"/>
    <w:rsid w:val="00382E75"/>
    <w:rsid w:val="00382EAF"/>
    <w:rsid w:val="00382EC8"/>
    <w:rsid w:val="00382F9C"/>
    <w:rsid w:val="00383296"/>
    <w:rsid w:val="00383358"/>
    <w:rsid w:val="0038340F"/>
    <w:rsid w:val="0038353D"/>
    <w:rsid w:val="003836E7"/>
    <w:rsid w:val="00383864"/>
    <w:rsid w:val="003839F4"/>
    <w:rsid w:val="00383D52"/>
    <w:rsid w:val="00383F65"/>
    <w:rsid w:val="00384010"/>
    <w:rsid w:val="00384038"/>
    <w:rsid w:val="0038408B"/>
    <w:rsid w:val="003840D6"/>
    <w:rsid w:val="00384247"/>
    <w:rsid w:val="00384398"/>
    <w:rsid w:val="003843B6"/>
    <w:rsid w:val="0038445C"/>
    <w:rsid w:val="003844E6"/>
    <w:rsid w:val="00384506"/>
    <w:rsid w:val="00384543"/>
    <w:rsid w:val="00384627"/>
    <w:rsid w:val="003848B7"/>
    <w:rsid w:val="003849E5"/>
    <w:rsid w:val="00384B80"/>
    <w:rsid w:val="00384BD9"/>
    <w:rsid w:val="00384C07"/>
    <w:rsid w:val="00384C6D"/>
    <w:rsid w:val="00384DD6"/>
    <w:rsid w:val="00384E05"/>
    <w:rsid w:val="00384E10"/>
    <w:rsid w:val="00384E16"/>
    <w:rsid w:val="00384E2C"/>
    <w:rsid w:val="00384F74"/>
    <w:rsid w:val="00384F92"/>
    <w:rsid w:val="003851D1"/>
    <w:rsid w:val="003852CD"/>
    <w:rsid w:val="0038533B"/>
    <w:rsid w:val="003853F7"/>
    <w:rsid w:val="00385446"/>
    <w:rsid w:val="00385461"/>
    <w:rsid w:val="0038552E"/>
    <w:rsid w:val="00385562"/>
    <w:rsid w:val="003855A9"/>
    <w:rsid w:val="003855B6"/>
    <w:rsid w:val="003855D2"/>
    <w:rsid w:val="00385644"/>
    <w:rsid w:val="003856AA"/>
    <w:rsid w:val="003856C4"/>
    <w:rsid w:val="003856EA"/>
    <w:rsid w:val="003856F6"/>
    <w:rsid w:val="0038571D"/>
    <w:rsid w:val="00385853"/>
    <w:rsid w:val="003859E9"/>
    <w:rsid w:val="00385B8B"/>
    <w:rsid w:val="00385BE9"/>
    <w:rsid w:val="00385C8C"/>
    <w:rsid w:val="00385C95"/>
    <w:rsid w:val="00385CE7"/>
    <w:rsid w:val="00385D22"/>
    <w:rsid w:val="00385D3B"/>
    <w:rsid w:val="00385DB3"/>
    <w:rsid w:val="00385E59"/>
    <w:rsid w:val="00385EE9"/>
    <w:rsid w:val="003860BE"/>
    <w:rsid w:val="003862C7"/>
    <w:rsid w:val="00386455"/>
    <w:rsid w:val="00386478"/>
    <w:rsid w:val="0038648B"/>
    <w:rsid w:val="003864A1"/>
    <w:rsid w:val="00386637"/>
    <w:rsid w:val="00386662"/>
    <w:rsid w:val="00386751"/>
    <w:rsid w:val="00386834"/>
    <w:rsid w:val="00386884"/>
    <w:rsid w:val="00386E11"/>
    <w:rsid w:val="00386F35"/>
    <w:rsid w:val="00387052"/>
    <w:rsid w:val="0038725C"/>
    <w:rsid w:val="00387274"/>
    <w:rsid w:val="00387277"/>
    <w:rsid w:val="003872F9"/>
    <w:rsid w:val="00387417"/>
    <w:rsid w:val="003874BB"/>
    <w:rsid w:val="00387532"/>
    <w:rsid w:val="003875BA"/>
    <w:rsid w:val="003875C6"/>
    <w:rsid w:val="003875E5"/>
    <w:rsid w:val="00387637"/>
    <w:rsid w:val="003876C9"/>
    <w:rsid w:val="00387893"/>
    <w:rsid w:val="00387AB6"/>
    <w:rsid w:val="00387B33"/>
    <w:rsid w:val="00387B51"/>
    <w:rsid w:val="00387BB8"/>
    <w:rsid w:val="00387C6E"/>
    <w:rsid w:val="00387CC3"/>
    <w:rsid w:val="00387EF3"/>
    <w:rsid w:val="00387F15"/>
    <w:rsid w:val="00387F16"/>
    <w:rsid w:val="00387F97"/>
    <w:rsid w:val="00390000"/>
    <w:rsid w:val="003900A0"/>
    <w:rsid w:val="003900E1"/>
    <w:rsid w:val="0039011F"/>
    <w:rsid w:val="0039013C"/>
    <w:rsid w:val="0039033B"/>
    <w:rsid w:val="0039041F"/>
    <w:rsid w:val="0039042C"/>
    <w:rsid w:val="0039042E"/>
    <w:rsid w:val="00390498"/>
    <w:rsid w:val="003906B2"/>
    <w:rsid w:val="0039074A"/>
    <w:rsid w:val="003908E3"/>
    <w:rsid w:val="0039098A"/>
    <w:rsid w:val="00390A66"/>
    <w:rsid w:val="00390AC4"/>
    <w:rsid w:val="00390B33"/>
    <w:rsid w:val="00390B49"/>
    <w:rsid w:val="00390C06"/>
    <w:rsid w:val="00390C8A"/>
    <w:rsid w:val="00390D1C"/>
    <w:rsid w:val="00390EE2"/>
    <w:rsid w:val="00390FC6"/>
    <w:rsid w:val="00391021"/>
    <w:rsid w:val="003910F1"/>
    <w:rsid w:val="003913AC"/>
    <w:rsid w:val="003913B3"/>
    <w:rsid w:val="003913DC"/>
    <w:rsid w:val="0039144D"/>
    <w:rsid w:val="00391570"/>
    <w:rsid w:val="003915A2"/>
    <w:rsid w:val="00391904"/>
    <w:rsid w:val="0039198D"/>
    <w:rsid w:val="00391A89"/>
    <w:rsid w:val="00391AE4"/>
    <w:rsid w:val="00391D78"/>
    <w:rsid w:val="00391DD1"/>
    <w:rsid w:val="00391FC8"/>
    <w:rsid w:val="00391FDC"/>
    <w:rsid w:val="00391FF2"/>
    <w:rsid w:val="00392160"/>
    <w:rsid w:val="00392227"/>
    <w:rsid w:val="003922A6"/>
    <w:rsid w:val="00392373"/>
    <w:rsid w:val="003923E2"/>
    <w:rsid w:val="0039275D"/>
    <w:rsid w:val="003927DD"/>
    <w:rsid w:val="00392848"/>
    <w:rsid w:val="00392984"/>
    <w:rsid w:val="00392A03"/>
    <w:rsid w:val="00392C75"/>
    <w:rsid w:val="00392F56"/>
    <w:rsid w:val="00392F74"/>
    <w:rsid w:val="00392FDB"/>
    <w:rsid w:val="003930D7"/>
    <w:rsid w:val="003930D9"/>
    <w:rsid w:val="0039312E"/>
    <w:rsid w:val="00393261"/>
    <w:rsid w:val="00393262"/>
    <w:rsid w:val="00393263"/>
    <w:rsid w:val="003932E6"/>
    <w:rsid w:val="003933C0"/>
    <w:rsid w:val="003935BF"/>
    <w:rsid w:val="003936BC"/>
    <w:rsid w:val="003936EE"/>
    <w:rsid w:val="003937A6"/>
    <w:rsid w:val="003938AB"/>
    <w:rsid w:val="00393961"/>
    <w:rsid w:val="00393993"/>
    <w:rsid w:val="003939F8"/>
    <w:rsid w:val="00393A88"/>
    <w:rsid w:val="00393BB5"/>
    <w:rsid w:val="00393D63"/>
    <w:rsid w:val="00393D90"/>
    <w:rsid w:val="00393E45"/>
    <w:rsid w:val="00393E85"/>
    <w:rsid w:val="0039404E"/>
    <w:rsid w:val="00394171"/>
    <w:rsid w:val="003941E4"/>
    <w:rsid w:val="003944A7"/>
    <w:rsid w:val="003944EB"/>
    <w:rsid w:val="00394598"/>
    <w:rsid w:val="0039461A"/>
    <w:rsid w:val="0039464F"/>
    <w:rsid w:val="00394685"/>
    <w:rsid w:val="0039473A"/>
    <w:rsid w:val="00394746"/>
    <w:rsid w:val="0039485D"/>
    <w:rsid w:val="0039492B"/>
    <w:rsid w:val="00394A4C"/>
    <w:rsid w:val="00394ADE"/>
    <w:rsid w:val="00394B71"/>
    <w:rsid w:val="00394BB1"/>
    <w:rsid w:val="00394DED"/>
    <w:rsid w:val="00394E0A"/>
    <w:rsid w:val="00394E96"/>
    <w:rsid w:val="00394EF2"/>
    <w:rsid w:val="00395060"/>
    <w:rsid w:val="003952A6"/>
    <w:rsid w:val="00395396"/>
    <w:rsid w:val="003953D5"/>
    <w:rsid w:val="003953DD"/>
    <w:rsid w:val="0039540A"/>
    <w:rsid w:val="003954D1"/>
    <w:rsid w:val="003954F7"/>
    <w:rsid w:val="0039569E"/>
    <w:rsid w:val="003956F0"/>
    <w:rsid w:val="00395732"/>
    <w:rsid w:val="0039575A"/>
    <w:rsid w:val="00395870"/>
    <w:rsid w:val="0039598C"/>
    <w:rsid w:val="00395A7F"/>
    <w:rsid w:val="00395AC5"/>
    <w:rsid w:val="00395CE2"/>
    <w:rsid w:val="00395D38"/>
    <w:rsid w:val="00395D6D"/>
    <w:rsid w:val="00395D8E"/>
    <w:rsid w:val="00395DFA"/>
    <w:rsid w:val="00395E6B"/>
    <w:rsid w:val="00395F02"/>
    <w:rsid w:val="00395F7B"/>
    <w:rsid w:val="00396083"/>
    <w:rsid w:val="003960BC"/>
    <w:rsid w:val="003960C4"/>
    <w:rsid w:val="0039637B"/>
    <w:rsid w:val="0039639C"/>
    <w:rsid w:val="003963AE"/>
    <w:rsid w:val="003965B1"/>
    <w:rsid w:val="0039694B"/>
    <w:rsid w:val="00396960"/>
    <w:rsid w:val="003969E0"/>
    <w:rsid w:val="00396A0E"/>
    <w:rsid w:val="00396A44"/>
    <w:rsid w:val="00396A7B"/>
    <w:rsid w:val="00396C00"/>
    <w:rsid w:val="00396CD9"/>
    <w:rsid w:val="00396CE2"/>
    <w:rsid w:val="00396D16"/>
    <w:rsid w:val="00396E10"/>
    <w:rsid w:val="00396F5E"/>
    <w:rsid w:val="00397165"/>
    <w:rsid w:val="003971B5"/>
    <w:rsid w:val="0039722E"/>
    <w:rsid w:val="00397238"/>
    <w:rsid w:val="00397283"/>
    <w:rsid w:val="00397443"/>
    <w:rsid w:val="003974BF"/>
    <w:rsid w:val="003974EC"/>
    <w:rsid w:val="00397513"/>
    <w:rsid w:val="0039777B"/>
    <w:rsid w:val="0039779F"/>
    <w:rsid w:val="00397822"/>
    <w:rsid w:val="00397841"/>
    <w:rsid w:val="0039785E"/>
    <w:rsid w:val="00397913"/>
    <w:rsid w:val="0039796F"/>
    <w:rsid w:val="00397B8F"/>
    <w:rsid w:val="00397BF5"/>
    <w:rsid w:val="00397C23"/>
    <w:rsid w:val="00397C59"/>
    <w:rsid w:val="00397D7D"/>
    <w:rsid w:val="00397E67"/>
    <w:rsid w:val="00397E8C"/>
    <w:rsid w:val="00397E8F"/>
    <w:rsid w:val="003A0099"/>
    <w:rsid w:val="003A00C0"/>
    <w:rsid w:val="003A01EE"/>
    <w:rsid w:val="003A03B8"/>
    <w:rsid w:val="003A03DA"/>
    <w:rsid w:val="003A0439"/>
    <w:rsid w:val="003A0481"/>
    <w:rsid w:val="003A04D5"/>
    <w:rsid w:val="003A04F5"/>
    <w:rsid w:val="003A056F"/>
    <w:rsid w:val="003A064D"/>
    <w:rsid w:val="003A0663"/>
    <w:rsid w:val="003A06C5"/>
    <w:rsid w:val="003A073B"/>
    <w:rsid w:val="003A083C"/>
    <w:rsid w:val="003A087D"/>
    <w:rsid w:val="003A08F9"/>
    <w:rsid w:val="003A0AD2"/>
    <w:rsid w:val="003A0B44"/>
    <w:rsid w:val="003A0D85"/>
    <w:rsid w:val="003A0DA5"/>
    <w:rsid w:val="003A0E42"/>
    <w:rsid w:val="003A0EEA"/>
    <w:rsid w:val="003A0FF1"/>
    <w:rsid w:val="003A1080"/>
    <w:rsid w:val="003A122E"/>
    <w:rsid w:val="003A1239"/>
    <w:rsid w:val="003A12D1"/>
    <w:rsid w:val="003A133C"/>
    <w:rsid w:val="003A13CC"/>
    <w:rsid w:val="003A13D1"/>
    <w:rsid w:val="003A151C"/>
    <w:rsid w:val="003A157B"/>
    <w:rsid w:val="003A158D"/>
    <w:rsid w:val="003A1760"/>
    <w:rsid w:val="003A1822"/>
    <w:rsid w:val="003A18A8"/>
    <w:rsid w:val="003A194B"/>
    <w:rsid w:val="003A1AA4"/>
    <w:rsid w:val="003A1BD7"/>
    <w:rsid w:val="003A1C51"/>
    <w:rsid w:val="003A1D04"/>
    <w:rsid w:val="003A1D60"/>
    <w:rsid w:val="003A1D9B"/>
    <w:rsid w:val="003A1E15"/>
    <w:rsid w:val="003A1F53"/>
    <w:rsid w:val="003A1FAF"/>
    <w:rsid w:val="003A2116"/>
    <w:rsid w:val="003A217F"/>
    <w:rsid w:val="003A258C"/>
    <w:rsid w:val="003A25EB"/>
    <w:rsid w:val="003A2611"/>
    <w:rsid w:val="003A264B"/>
    <w:rsid w:val="003A2676"/>
    <w:rsid w:val="003A27BF"/>
    <w:rsid w:val="003A285A"/>
    <w:rsid w:val="003A298A"/>
    <w:rsid w:val="003A2A52"/>
    <w:rsid w:val="003A2BC6"/>
    <w:rsid w:val="003A2C9C"/>
    <w:rsid w:val="003A2E58"/>
    <w:rsid w:val="003A2EA7"/>
    <w:rsid w:val="003A2ED4"/>
    <w:rsid w:val="003A2EDB"/>
    <w:rsid w:val="003A2EDE"/>
    <w:rsid w:val="003A3071"/>
    <w:rsid w:val="003A3087"/>
    <w:rsid w:val="003A3188"/>
    <w:rsid w:val="003A3297"/>
    <w:rsid w:val="003A344B"/>
    <w:rsid w:val="003A36D6"/>
    <w:rsid w:val="003A371D"/>
    <w:rsid w:val="003A37DB"/>
    <w:rsid w:val="003A38B7"/>
    <w:rsid w:val="003A397A"/>
    <w:rsid w:val="003A39E4"/>
    <w:rsid w:val="003A3A28"/>
    <w:rsid w:val="003A3A64"/>
    <w:rsid w:val="003A3AC5"/>
    <w:rsid w:val="003A3BE3"/>
    <w:rsid w:val="003A3C1E"/>
    <w:rsid w:val="003A3CD1"/>
    <w:rsid w:val="003A3D50"/>
    <w:rsid w:val="003A3D80"/>
    <w:rsid w:val="003A3D94"/>
    <w:rsid w:val="003A3E59"/>
    <w:rsid w:val="003A3E8F"/>
    <w:rsid w:val="003A3EFF"/>
    <w:rsid w:val="003A3FF3"/>
    <w:rsid w:val="003A4020"/>
    <w:rsid w:val="003A405A"/>
    <w:rsid w:val="003A40A5"/>
    <w:rsid w:val="003A4110"/>
    <w:rsid w:val="003A411B"/>
    <w:rsid w:val="003A4163"/>
    <w:rsid w:val="003A422A"/>
    <w:rsid w:val="003A4249"/>
    <w:rsid w:val="003A42E7"/>
    <w:rsid w:val="003A42E9"/>
    <w:rsid w:val="003A4362"/>
    <w:rsid w:val="003A43AE"/>
    <w:rsid w:val="003A43C7"/>
    <w:rsid w:val="003A43FE"/>
    <w:rsid w:val="003A4602"/>
    <w:rsid w:val="003A467B"/>
    <w:rsid w:val="003A4782"/>
    <w:rsid w:val="003A482A"/>
    <w:rsid w:val="003A4836"/>
    <w:rsid w:val="003A499F"/>
    <w:rsid w:val="003A4B30"/>
    <w:rsid w:val="003A4BF7"/>
    <w:rsid w:val="003A4C57"/>
    <w:rsid w:val="003A4C60"/>
    <w:rsid w:val="003A4DBF"/>
    <w:rsid w:val="003A4F17"/>
    <w:rsid w:val="003A4F21"/>
    <w:rsid w:val="003A4FBA"/>
    <w:rsid w:val="003A50B4"/>
    <w:rsid w:val="003A5112"/>
    <w:rsid w:val="003A5166"/>
    <w:rsid w:val="003A523E"/>
    <w:rsid w:val="003A5311"/>
    <w:rsid w:val="003A53EE"/>
    <w:rsid w:val="003A540A"/>
    <w:rsid w:val="003A546B"/>
    <w:rsid w:val="003A5531"/>
    <w:rsid w:val="003A5578"/>
    <w:rsid w:val="003A564E"/>
    <w:rsid w:val="003A566D"/>
    <w:rsid w:val="003A56DF"/>
    <w:rsid w:val="003A5825"/>
    <w:rsid w:val="003A58BB"/>
    <w:rsid w:val="003A58E0"/>
    <w:rsid w:val="003A5A1B"/>
    <w:rsid w:val="003A5A2B"/>
    <w:rsid w:val="003A5A36"/>
    <w:rsid w:val="003A5A77"/>
    <w:rsid w:val="003A5A7C"/>
    <w:rsid w:val="003A5AA9"/>
    <w:rsid w:val="003A5BB0"/>
    <w:rsid w:val="003A5BFF"/>
    <w:rsid w:val="003A5CD9"/>
    <w:rsid w:val="003A5D1B"/>
    <w:rsid w:val="003A5D82"/>
    <w:rsid w:val="003A5D88"/>
    <w:rsid w:val="003A5FFA"/>
    <w:rsid w:val="003A60C9"/>
    <w:rsid w:val="003A6299"/>
    <w:rsid w:val="003A6339"/>
    <w:rsid w:val="003A63BF"/>
    <w:rsid w:val="003A6469"/>
    <w:rsid w:val="003A65FA"/>
    <w:rsid w:val="003A6699"/>
    <w:rsid w:val="003A66A8"/>
    <w:rsid w:val="003A6760"/>
    <w:rsid w:val="003A697F"/>
    <w:rsid w:val="003A6985"/>
    <w:rsid w:val="003A6A2B"/>
    <w:rsid w:val="003A6A6E"/>
    <w:rsid w:val="003A6ADD"/>
    <w:rsid w:val="003A6F2C"/>
    <w:rsid w:val="003A6F3C"/>
    <w:rsid w:val="003A708C"/>
    <w:rsid w:val="003A71C2"/>
    <w:rsid w:val="003A7274"/>
    <w:rsid w:val="003A7323"/>
    <w:rsid w:val="003A736F"/>
    <w:rsid w:val="003A754F"/>
    <w:rsid w:val="003A7598"/>
    <w:rsid w:val="003A75A8"/>
    <w:rsid w:val="003A7608"/>
    <w:rsid w:val="003A78D5"/>
    <w:rsid w:val="003A79EA"/>
    <w:rsid w:val="003A7A04"/>
    <w:rsid w:val="003A7B54"/>
    <w:rsid w:val="003A7B88"/>
    <w:rsid w:val="003A7BD5"/>
    <w:rsid w:val="003A7C84"/>
    <w:rsid w:val="003A7CA8"/>
    <w:rsid w:val="003A7DB6"/>
    <w:rsid w:val="003A7E15"/>
    <w:rsid w:val="003B0024"/>
    <w:rsid w:val="003B005C"/>
    <w:rsid w:val="003B0194"/>
    <w:rsid w:val="003B01E6"/>
    <w:rsid w:val="003B0215"/>
    <w:rsid w:val="003B02B6"/>
    <w:rsid w:val="003B02F7"/>
    <w:rsid w:val="003B02FE"/>
    <w:rsid w:val="003B032B"/>
    <w:rsid w:val="003B0340"/>
    <w:rsid w:val="003B0376"/>
    <w:rsid w:val="003B066C"/>
    <w:rsid w:val="003B0682"/>
    <w:rsid w:val="003B069B"/>
    <w:rsid w:val="003B06C0"/>
    <w:rsid w:val="003B081C"/>
    <w:rsid w:val="003B0853"/>
    <w:rsid w:val="003B0899"/>
    <w:rsid w:val="003B09C5"/>
    <w:rsid w:val="003B0B5F"/>
    <w:rsid w:val="003B0C05"/>
    <w:rsid w:val="003B0CBE"/>
    <w:rsid w:val="003B0CFE"/>
    <w:rsid w:val="003B0D53"/>
    <w:rsid w:val="003B0D7D"/>
    <w:rsid w:val="003B0F95"/>
    <w:rsid w:val="003B1085"/>
    <w:rsid w:val="003B1377"/>
    <w:rsid w:val="003B15CE"/>
    <w:rsid w:val="003B17A8"/>
    <w:rsid w:val="003B17B4"/>
    <w:rsid w:val="003B17DE"/>
    <w:rsid w:val="003B1882"/>
    <w:rsid w:val="003B1952"/>
    <w:rsid w:val="003B1ADE"/>
    <w:rsid w:val="003B1BF0"/>
    <w:rsid w:val="003B1C3A"/>
    <w:rsid w:val="003B1D3D"/>
    <w:rsid w:val="003B1D9D"/>
    <w:rsid w:val="003B1EA0"/>
    <w:rsid w:val="003B1F34"/>
    <w:rsid w:val="003B20CB"/>
    <w:rsid w:val="003B20EE"/>
    <w:rsid w:val="003B212D"/>
    <w:rsid w:val="003B21A7"/>
    <w:rsid w:val="003B21BA"/>
    <w:rsid w:val="003B2270"/>
    <w:rsid w:val="003B227C"/>
    <w:rsid w:val="003B2305"/>
    <w:rsid w:val="003B232D"/>
    <w:rsid w:val="003B246E"/>
    <w:rsid w:val="003B24F7"/>
    <w:rsid w:val="003B2517"/>
    <w:rsid w:val="003B25F8"/>
    <w:rsid w:val="003B264D"/>
    <w:rsid w:val="003B266D"/>
    <w:rsid w:val="003B26FE"/>
    <w:rsid w:val="003B2725"/>
    <w:rsid w:val="003B289A"/>
    <w:rsid w:val="003B296D"/>
    <w:rsid w:val="003B2A2D"/>
    <w:rsid w:val="003B2B6D"/>
    <w:rsid w:val="003B2C1D"/>
    <w:rsid w:val="003B2DCF"/>
    <w:rsid w:val="003B2DEE"/>
    <w:rsid w:val="003B2E8F"/>
    <w:rsid w:val="003B2E91"/>
    <w:rsid w:val="003B2ECD"/>
    <w:rsid w:val="003B2EE1"/>
    <w:rsid w:val="003B2F24"/>
    <w:rsid w:val="003B2F35"/>
    <w:rsid w:val="003B2F74"/>
    <w:rsid w:val="003B3030"/>
    <w:rsid w:val="003B3074"/>
    <w:rsid w:val="003B30B0"/>
    <w:rsid w:val="003B330D"/>
    <w:rsid w:val="003B3311"/>
    <w:rsid w:val="003B33B4"/>
    <w:rsid w:val="003B33F2"/>
    <w:rsid w:val="003B3523"/>
    <w:rsid w:val="003B3588"/>
    <w:rsid w:val="003B35BF"/>
    <w:rsid w:val="003B3639"/>
    <w:rsid w:val="003B363D"/>
    <w:rsid w:val="003B3701"/>
    <w:rsid w:val="003B3736"/>
    <w:rsid w:val="003B3784"/>
    <w:rsid w:val="003B37A8"/>
    <w:rsid w:val="003B3821"/>
    <w:rsid w:val="003B382F"/>
    <w:rsid w:val="003B3925"/>
    <w:rsid w:val="003B3A45"/>
    <w:rsid w:val="003B3A6E"/>
    <w:rsid w:val="003B3A91"/>
    <w:rsid w:val="003B3ADB"/>
    <w:rsid w:val="003B3BB3"/>
    <w:rsid w:val="003B3C34"/>
    <w:rsid w:val="003B3D7E"/>
    <w:rsid w:val="003B3ECD"/>
    <w:rsid w:val="003B3F29"/>
    <w:rsid w:val="003B3FF9"/>
    <w:rsid w:val="003B406D"/>
    <w:rsid w:val="003B40F8"/>
    <w:rsid w:val="003B41AE"/>
    <w:rsid w:val="003B437D"/>
    <w:rsid w:val="003B4381"/>
    <w:rsid w:val="003B44E6"/>
    <w:rsid w:val="003B4630"/>
    <w:rsid w:val="003B4691"/>
    <w:rsid w:val="003B4696"/>
    <w:rsid w:val="003B469C"/>
    <w:rsid w:val="003B46C9"/>
    <w:rsid w:val="003B4770"/>
    <w:rsid w:val="003B4774"/>
    <w:rsid w:val="003B48E8"/>
    <w:rsid w:val="003B49A3"/>
    <w:rsid w:val="003B49B7"/>
    <w:rsid w:val="003B49BE"/>
    <w:rsid w:val="003B4A54"/>
    <w:rsid w:val="003B4C05"/>
    <w:rsid w:val="003B4C6E"/>
    <w:rsid w:val="003B4CDE"/>
    <w:rsid w:val="003B4DF4"/>
    <w:rsid w:val="003B4E42"/>
    <w:rsid w:val="003B5014"/>
    <w:rsid w:val="003B50CC"/>
    <w:rsid w:val="003B50D2"/>
    <w:rsid w:val="003B51F9"/>
    <w:rsid w:val="003B53BC"/>
    <w:rsid w:val="003B549A"/>
    <w:rsid w:val="003B550E"/>
    <w:rsid w:val="003B5513"/>
    <w:rsid w:val="003B56BF"/>
    <w:rsid w:val="003B580E"/>
    <w:rsid w:val="003B58F4"/>
    <w:rsid w:val="003B5998"/>
    <w:rsid w:val="003B5AD2"/>
    <w:rsid w:val="003B5B85"/>
    <w:rsid w:val="003B5CB9"/>
    <w:rsid w:val="003B5CBA"/>
    <w:rsid w:val="003B5EDD"/>
    <w:rsid w:val="003B5FED"/>
    <w:rsid w:val="003B5FF3"/>
    <w:rsid w:val="003B6004"/>
    <w:rsid w:val="003B60F1"/>
    <w:rsid w:val="003B60FD"/>
    <w:rsid w:val="003B6218"/>
    <w:rsid w:val="003B6269"/>
    <w:rsid w:val="003B63CD"/>
    <w:rsid w:val="003B64A2"/>
    <w:rsid w:val="003B650C"/>
    <w:rsid w:val="003B6561"/>
    <w:rsid w:val="003B656E"/>
    <w:rsid w:val="003B65A6"/>
    <w:rsid w:val="003B6605"/>
    <w:rsid w:val="003B666D"/>
    <w:rsid w:val="003B669A"/>
    <w:rsid w:val="003B66C5"/>
    <w:rsid w:val="003B67A5"/>
    <w:rsid w:val="003B691C"/>
    <w:rsid w:val="003B69CC"/>
    <w:rsid w:val="003B6B89"/>
    <w:rsid w:val="003B6BD8"/>
    <w:rsid w:val="003B6C19"/>
    <w:rsid w:val="003B6C5B"/>
    <w:rsid w:val="003B6CAC"/>
    <w:rsid w:val="003B6CE7"/>
    <w:rsid w:val="003B6D91"/>
    <w:rsid w:val="003B6DC1"/>
    <w:rsid w:val="003B6EB9"/>
    <w:rsid w:val="003B6F03"/>
    <w:rsid w:val="003B702E"/>
    <w:rsid w:val="003B7037"/>
    <w:rsid w:val="003B70B0"/>
    <w:rsid w:val="003B713D"/>
    <w:rsid w:val="003B714F"/>
    <w:rsid w:val="003B71D1"/>
    <w:rsid w:val="003B71D4"/>
    <w:rsid w:val="003B7273"/>
    <w:rsid w:val="003B72BD"/>
    <w:rsid w:val="003B7492"/>
    <w:rsid w:val="003B74B0"/>
    <w:rsid w:val="003B74E6"/>
    <w:rsid w:val="003B752E"/>
    <w:rsid w:val="003B75C8"/>
    <w:rsid w:val="003B775F"/>
    <w:rsid w:val="003B7833"/>
    <w:rsid w:val="003B783E"/>
    <w:rsid w:val="003B7860"/>
    <w:rsid w:val="003B7971"/>
    <w:rsid w:val="003B79AB"/>
    <w:rsid w:val="003B7B2D"/>
    <w:rsid w:val="003B7BC0"/>
    <w:rsid w:val="003B7BE2"/>
    <w:rsid w:val="003B7C57"/>
    <w:rsid w:val="003B7C64"/>
    <w:rsid w:val="003B7D97"/>
    <w:rsid w:val="003B7E6A"/>
    <w:rsid w:val="003B7F81"/>
    <w:rsid w:val="003B7FC9"/>
    <w:rsid w:val="003C0051"/>
    <w:rsid w:val="003C005C"/>
    <w:rsid w:val="003C00C9"/>
    <w:rsid w:val="003C01BB"/>
    <w:rsid w:val="003C01E1"/>
    <w:rsid w:val="003C02B5"/>
    <w:rsid w:val="003C03EE"/>
    <w:rsid w:val="003C0492"/>
    <w:rsid w:val="003C0576"/>
    <w:rsid w:val="003C05B6"/>
    <w:rsid w:val="003C065B"/>
    <w:rsid w:val="003C06F0"/>
    <w:rsid w:val="003C06F4"/>
    <w:rsid w:val="003C0708"/>
    <w:rsid w:val="003C07E4"/>
    <w:rsid w:val="003C0888"/>
    <w:rsid w:val="003C0904"/>
    <w:rsid w:val="003C09FB"/>
    <w:rsid w:val="003C0A21"/>
    <w:rsid w:val="003C0A6F"/>
    <w:rsid w:val="003C0AAF"/>
    <w:rsid w:val="003C0AE6"/>
    <w:rsid w:val="003C0BF7"/>
    <w:rsid w:val="003C0C62"/>
    <w:rsid w:val="003C0FA9"/>
    <w:rsid w:val="003C104A"/>
    <w:rsid w:val="003C1059"/>
    <w:rsid w:val="003C10E5"/>
    <w:rsid w:val="003C1217"/>
    <w:rsid w:val="003C1388"/>
    <w:rsid w:val="003C1532"/>
    <w:rsid w:val="003C1606"/>
    <w:rsid w:val="003C162B"/>
    <w:rsid w:val="003C1685"/>
    <w:rsid w:val="003C16CF"/>
    <w:rsid w:val="003C1767"/>
    <w:rsid w:val="003C1779"/>
    <w:rsid w:val="003C187E"/>
    <w:rsid w:val="003C19AA"/>
    <w:rsid w:val="003C1AC5"/>
    <w:rsid w:val="003C1B7D"/>
    <w:rsid w:val="003C1C9E"/>
    <w:rsid w:val="003C1CA0"/>
    <w:rsid w:val="003C1D0C"/>
    <w:rsid w:val="003C1D26"/>
    <w:rsid w:val="003C1E51"/>
    <w:rsid w:val="003C1EBC"/>
    <w:rsid w:val="003C200E"/>
    <w:rsid w:val="003C2156"/>
    <w:rsid w:val="003C240A"/>
    <w:rsid w:val="003C249C"/>
    <w:rsid w:val="003C2510"/>
    <w:rsid w:val="003C25E8"/>
    <w:rsid w:val="003C2707"/>
    <w:rsid w:val="003C2715"/>
    <w:rsid w:val="003C278A"/>
    <w:rsid w:val="003C29CD"/>
    <w:rsid w:val="003C29FD"/>
    <w:rsid w:val="003C2E02"/>
    <w:rsid w:val="003C2EE2"/>
    <w:rsid w:val="003C2F18"/>
    <w:rsid w:val="003C2F36"/>
    <w:rsid w:val="003C3127"/>
    <w:rsid w:val="003C31D3"/>
    <w:rsid w:val="003C3529"/>
    <w:rsid w:val="003C36D7"/>
    <w:rsid w:val="003C36E3"/>
    <w:rsid w:val="003C3796"/>
    <w:rsid w:val="003C37C6"/>
    <w:rsid w:val="003C37CF"/>
    <w:rsid w:val="003C3843"/>
    <w:rsid w:val="003C3983"/>
    <w:rsid w:val="003C39D6"/>
    <w:rsid w:val="003C3CEF"/>
    <w:rsid w:val="003C3D95"/>
    <w:rsid w:val="003C3DC1"/>
    <w:rsid w:val="003C3E0D"/>
    <w:rsid w:val="003C3E2E"/>
    <w:rsid w:val="003C40A8"/>
    <w:rsid w:val="003C40E4"/>
    <w:rsid w:val="003C411E"/>
    <w:rsid w:val="003C41A1"/>
    <w:rsid w:val="003C433E"/>
    <w:rsid w:val="003C4472"/>
    <w:rsid w:val="003C459C"/>
    <w:rsid w:val="003C45E4"/>
    <w:rsid w:val="003C4810"/>
    <w:rsid w:val="003C48A7"/>
    <w:rsid w:val="003C492B"/>
    <w:rsid w:val="003C4A5B"/>
    <w:rsid w:val="003C4A7A"/>
    <w:rsid w:val="003C4E44"/>
    <w:rsid w:val="003C4EC5"/>
    <w:rsid w:val="003C4F52"/>
    <w:rsid w:val="003C4FAF"/>
    <w:rsid w:val="003C5030"/>
    <w:rsid w:val="003C508D"/>
    <w:rsid w:val="003C508E"/>
    <w:rsid w:val="003C50CF"/>
    <w:rsid w:val="003C50E2"/>
    <w:rsid w:val="003C511D"/>
    <w:rsid w:val="003C5124"/>
    <w:rsid w:val="003C514E"/>
    <w:rsid w:val="003C5221"/>
    <w:rsid w:val="003C52FE"/>
    <w:rsid w:val="003C535C"/>
    <w:rsid w:val="003C538D"/>
    <w:rsid w:val="003C5519"/>
    <w:rsid w:val="003C57C6"/>
    <w:rsid w:val="003C57F4"/>
    <w:rsid w:val="003C5819"/>
    <w:rsid w:val="003C58D0"/>
    <w:rsid w:val="003C5963"/>
    <w:rsid w:val="003C5A6E"/>
    <w:rsid w:val="003C5BA8"/>
    <w:rsid w:val="003C5CF5"/>
    <w:rsid w:val="003C5E17"/>
    <w:rsid w:val="003C5E7A"/>
    <w:rsid w:val="003C5E9E"/>
    <w:rsid w:val="003C5EEB"/>
    <w:rsid w:val="003C5F76"/>
    <w:rsid w:val="003C6001"/>
    <w:rsid w:val="003C6011"/>
    <w:rsid w:val="003C60EC"/>
    <w:rsid w:val="003C63C2"/>
    <w:rsid w:val="003C696A"/>
    <w:rsid w:val="003C6985"/>
    <w:rsid w:val="003C6A0C"/>
    <w:rsid w:val="003C6AC2"/>
    <w:rsid w:val="003C6CE7"/>
    <w:rsid w:val="003C6D17"/>
    <w:rsid w:val="003C6D33"/>
    <w:rsid w:val="003C6D7B"/>
    <w:rsid w:val="003C6E82"/>
    <w:rsid w:val="003C6E89"/>
    <w:rsid w:val="003C6EFB"/>
    <w:rsid w:val="003C6F9D"/>
    <w:rsid w:val="003C70B9"/>
    <w:rsid w:val="003C7188"/>
    <w:rsid w:val="003C71CB"/>
    <w:rsid w:val="003C7270"/>
    <w:rsid w:val="003C733D"/>
    <w:rsid w:val="003C73C1"/>
    <w:rsid w:val="003C73E8"/>
    <w:rsid w:val="003C75BA"/>
    <w:rsid w:val="003C775D"/>
    <w:rsid w:val="003C7764"/>
    <w:rsid w:val="003C7797"/>
    <w:rsid w:val="003C7829"/>
    <w:rsid w:val="003C7873"/>
    <w:rsid w:val="003C7937"/>
    <w:rsid w:val="003C7C24"/>
    <w:rsid w:val="003C7C99"/>
    <w:rsid w:val="003C7E6D"/>
    <w:rsid w:val="003D0061"/>
    <w:rsid w:val="003D0076"/>
    <w:rsid w:val="003D0131"/>
    <w:rsid w:val="003D0199"/>
    <w:rsid w:val="003D01CD"/>
    <w:rsid w:val="003D024C"/>
    <w:rsid w:val="003D0284"/>
    <w:rsid w:val="003D02A8"/>
    <w:rsid w:val="003D0377"/>
    <w:rsid w:val="003D03A6"/>
    <w:rsid w:val="003D04ED"/>
    <w:rsid w:val="003D05A7"/>
    <w:rsid w:val="003D07A7"/>
    <w:rsid w:val="003D08FC"/>
    <w:rsid w:val="003D090F"/>
    <w:rsid w:val="003D098A"/>
    <w:rsid w:val="003D09A5"/>
    <w:rsid w:val="003D09BA"/>
    <w:rsid w:val="003D09BE"/>
    <w:rsid w:val="003D0BA6"/>
    <w:rsid w:val="003D0BE8"/>
    <w:rsid w:val="003D0C79"/>
    <w:rsid w:val="003D0C85"/>
    <w:rsid w:val="003D0D65"/>
    <w:rsid w:val="003D0E2D"/>
    <w:rsid w:val="003D0E65"/>
    <w:rsid w:val="003D0F02"/>
    <w:rsid w:val="003D113B"/>
    <w:rsid w:val="003D1180"/>
    <w:rsid w:val="003D1186"/>
    <w:rsid w:val="003D1202"/>
    <w:rsid w:val="003D1225"/>
    <w:rsid w:val="003D1397"/>
    <w:rsid w:val="003D1484"/>
    <w:rsid w:val="003D14FB"/>
    <w:rsid w:val="003D1535"/>
    <w:rsid w:val="003D156B"/>
    <w:rsid w:val="003D162E"/>
    <w:rsid w:val="003D16EA"/>
    <w:rsid w:val="003D1793"/>
    <w:rsid w:val="003D17FF"/>
    <w:rsid w:val="003D1821"/>
    <w:rsid w:val="003D193B"/>
    <w:rsid w:val="003D1A70"/>
    <w:rsid w:val="003D1ABE"/>
    <w:rsid w:val="003D1ACD"/>
    <w:rsid w:val="003D1B58"/>
    <w:rsid w:val="003D1B78"/>
    <w:rsid w:val="003D1D42"/>
    <w:rsid w:val="003D1E60"/>
    <w:rsid w:val="003D1F04"/>
    <w:rsid w:val="003D1F27"/>
    <w:rsid w:val="003D204B"/>
    <w:rsid w:val="003D2085"/>
    <w:rsid w:val="003D20BE"/>
    <w:rsid w:val="003D2160"/>
    <w:rsid w:val="003D2209"/>
    <w:rsid w:val="003D22D3"/>
    <w:rsid w:val="003D245E"/>
    <w:rsid w:val="003D24C0"/>
    <w:rsid w:val="003D25B0"/>
    <w:rsid w:val="003D2638"/>
    <w:rsid w:val="003D26A0"/>
    <w:rsid w:val="003D26E9"/>
    <w:rsid w:val="003D2913"/>
    <w:rsid w:val="003D2B76"/>
    <w:rsid w:val="003D2B7C"/>
    <w:rsid w:val="003D2BBA"/>
    <w:rsid w:val="003D2CA8"/>
    <w:rsid w:val="003D2CDA"/>
    <w:rsid w:val="003D2D12"/>
    <w:rsid w:val="003D2D72"/>
    <w:rsid w:val="003D2ECD"/>
    <w:rsid w:val="003D2FBE"/>
    <w:rsid w:val="003D3136"/>
    <w:rsid w:val="003D31B8"/>
    <w:rsid w:val="003D3271"/>
    <w:rsid w:val="003D3276"/>
    <w:rsid w:val="003D33DA"/>
    <w:rsid w:val="003D346C"/>
    <w:rsid w:val="003D347B"/>
    <w:rsid w:val="003D36F5"/>
    <w:rsid w:val="003D370A"/>
    <w:rsid w:val="003D371A"/>
    <w:rsid w:val="003D376C"/>
    <w:rsid w:val="003D385A"/>
    <w:rsid w:val="003D39B0"/>
    <w:rsid w:val="003D3A12"/>
    <w:rsid w:val="003D3BA9"/>
    <w:rsid w:val="003D3D8C"/>
    <w:rsid w:val="003D3EB2"/>
    <w:rsid w:val="003D3F17"/>
    <w:rsid w:val="003D3F3C"/>
    <w:rsid w:val="003D3F40"/>
    <w:rsid w:val="003D3F9D"/>
    <w:rsid w:val="003D3FF1"/>
    <w:rsid w:val="003D40D0"/>
    <w:rsid w:val="003D41BA"/>
    <w:rsid w:val="003D4207"/>
    <w:rsid w:val="003D446E"/>
    <w:rsid w:val="003D466C"/>
    <w:rsid w:val="003D469B"/>
    <w:rsid w:val="003D46B2"/>
    <w:rsid w:val="003D4724"/>
    <w:rsid w:val="003D479B"/>
    <w:rsid w:val="003D47A1"/>
    <w:rsid w:val="003D48DC"/>
    <w:rsid w:val="003D495B"/>
    <w:rsid w:val="003D49D1"/>
    <w:rsid w:val="003D49D9"/>
    <w:rsid w:val="003D4B2C"/>
    <w:rsid w:val="003D4B6D"/>
    <w:rsid w:val="003D4BFA"/>
    <w:rsid w:val="003D4C69"/>
    <w:rsid w:val="003D4C82"/>
    <w:rsid w:val="003D4CB3"/>
    <w:rsid w:val="003D4CD9"/>
    <w:rsid w:val="003D4DA9"/>
    <w:rsid w:val="003D4DAA"/>
    <w:rsid w:val="003D4E8A"/>
    <w:rsid w:val="003D4F40"/>
    <w:rsid w:val="003D5083"/>
    <w:rsid w:val="003D5347"/>
    <w:rsid w:val="003D53CC"/>
    <w:rsid w:val="003D543A"/>
    <w:rsid w:val="003D5524"/>
    <w:rsid w:val="003D5537"/>
    <w:rsid w:val="003D5543"/>
    <w:rsid w:val="003D566F"/>
    <w:rsid w:val="003D56F7"/>
    <w:rsid w:val="003D5745"/>
    <w:rsid w:val="003D593E"/>
    <w:rsid w:val="003D5A4D"/>
    <w:rsid w:val="003D5A85"/>
    <w:rsid w:val="003D5AA8"/>
    <w:rsid w:val="003D5B6E"/>
    <w:rsid w:val="003D5B96"/>
    <w:rsid w:val="003D5D30"/>
    <w:rsid w:val="003D5D75"/>
    <w:rsid w:val="003D5FD3"/>
    <w:rsid w:val="003D5FFA"/>
    <w:rsid w:val="003D6063"/>
    <w:rsid w:val="003D607E"/>
    <w:rsid w:val="003D648E"/>
    <w:rsid w:val="003D659C"/>
    <w:rsid w:val="003D6641"/>
    <w:rsid w:val="003D669A"/>
    <w:rsid w:val="003D66F7"/>
    <w:rsid w:val="003D67BE"/>
    <w:rsid w:val="003D67ED"/>
    <w:rsid w:val="003D68B2"/>
    <w:rsid w:val="003D69C3"/>
    <w:rsid w:val="003D6AB9"/>
    <w:rsid w:val="003D6B05"/>
    <w:rsid w:val="003D6B77"/>
    <w:rsid w:val="003D6BB3"/>
    <w:rsid w:val="003D6C1F"/>
    <w:rsid w:val="003D6C4C"/>
    <w:rsid w:val="003D6DCA"/>
    <w:rsid w:val="003D6DEA"/>
    <w:rsid w:val="003D6E79"/>
    <w:rsid w:val="003D6EC4"/>
    <w:rsid w:val="003D7150"/>
    <w:rsid w:val="003D72E3"/>
    <w:rsid w:val="003D7442"/>
    <w:rsid w:val="003D7487"/>
    <w:rsid w:val="003D75A0"/>
    <w:rsid w:val="003D75BA"/>
    <w:rsid w:val="003D7624"/>
    <w:rsid w:val="003D76EB"/>
    <w:rsid w:val="003D772D"/>
    <w:rsid w:val="003D7A3A"/>
    <w:rsid w:val="003D7AD1"/>
    <w:rsid w:val="003D7AE8"/>
    <w:rsid w:val="003D7B0E"/>
    <w:rsid w:val="003D7E6B"/>
    <w:rsid w:val="003D7E80"/>
    <w:rsid w:val="003D7F6F"/>
    <w:rsid w:val="003D7FCE"/>
    <w:rsid w:val="003E0000"/>
    <w:rsid w:val="003E00F5"/>
    <w:rsid w:val="003E0244"/>
    <w:rsid w:val="003E0317"/>
    <w:rsid w:val="003E0385"/>
    <w:rsid w:val="003E0406"/>
    <w:rsid w:val="003E05A7"/>
    <w:rsid w:val="003E0701"/>
    <w:rsid w:val="003E070A"/>
    <w:rsid w:val="003E0761"/>
    <w:rsid w:val="003E081F"/>
    <w:rsid w:val="003E0D5A"/>
    <w:rsid w:val="003E0E2F"/>
    <w:rsid w:val="003E0E8A"/>
    <w:rsid w:val="003E0EDD"/>
    <w:rsid w:val="003E0FCA"/>
    <w:rsid w:val="003E0FE4"/>
    <w:rsid w:val="003E102E"/>
    <w:rsid w:val="003E1033"/>
    <w:rsid w:val="003E10C2"/>
    <w:rsid w:val="003E11DC"/>
    <w:rsid w:val="003E13F1"/>
    <w:rsid w:val="003E14BB"/>
    <w:rsid w:val="003E14D4"/>
    <w:rsid w:val="003E15D3"/>
    <w:rsid w:val="003E1ADF"/>
    <w:rsid w:val="003E1AF5"/>
    <w:rsid w:val="003E1AFD"/>
    <w:rsid w:val="003E1B87"/>
    <w:rsid w:val="003E1B94"/>
    <w:rsid w:val="003E1F7E"/>
    <w:rsid w:val="003E20C1"/>
    <w:rsid w:val="003E21CA"/>
    <w:rsid w:val="003E21CB"/>
    <w:rsid w:val="003E23DE"/>
    <w:rsid w:val="003E263D"/>
    <w:rsid w:val="003E26A8"/>
    <w:rsid w:val="003E2737"/>
    <w:rsid w:val="003E277B"/>
    <w:rsid w:val="003E29B3"/>
    <w:rsid w:val="003E2B2D"/>
    <w:rsid w:val="003E2B4A"/>
    <w:rsid w:val="003E2B75"/>
    <w:rsid w:val="003E2C5E"/>
    <w:rsid w:val="003E2E08"/>
    <w:rsid w:val="003E2FAE"/>
    <w:rsid w:val="003E2FF0"/>
    <w:rsid w:val="003E30BD"/>
    <w:rsid w:val="003E30C3"/>
    <w:rsid w:val="003E3124"/>
    <w:rsid w:val="003E323F"/>
    <w:rsid w:val="003E32FE"/>
    <w:rsid w:val="003E330D"/>
    <w:rsid w:val="003E35E9"/>
    <w:rsid w:val="003E3668"/>
    <w:rsid w:val="003E3719"/>
    <w:rsid w:val="003E371D"/>
    <w:rsid w:val="003E3828"/>
    <w:rsid w:val="003E389B"/>
    <w:rsid w:val="003E3A6E"/>
    <w:rsid w:val="003E3B40"/>
    <w:rsid w:val="003E3BA1"/>
    <w:rsid w:val="003E3CE4"/>
    <w:rsid w:val="003E3DAA"/>
    <w:rsid w:val="003E3E9D"/>
    <w:rsid w:val="003E41D4"/>
    <w:rsid w:val="003E4227"/>
    <w:rsid w:val="003E422A"/>
    <w:rsid w:val="003E4283"/>
    <w:rsid w:val="003E4290"/>
    <w:rsid w:val="003E442D"/>
    <w:rsid w:val="003E45CF"/>
    <w:rsid w:val="003E45D3"/>
    <w:rsid w:val="003E46F7"/>
    <w:rsid w:val="003E4796"/>
    <w:rsid w:val="003E4884"/>
    <w:rsid w:val="003E489A"/>
    <w:rsid w:val="003E4BDD"/>
    <w:rsid w:val="003E4C8E"/>
    <w:rsid w:val="003E4C9F"/>
    <w:rsid w:val="003E4D3A"/>
    <w:rsid w:val="003E4E4D"/>
    <w:rsid w:val="003E4FFA"/>
    <w:rsid w:val="003E5011"/>
    <w:rsid w:val="003E50E8"/>
    <w:rsid w:val="003E51E4"/>
    <w:rsid w:val="003E523F"/>
    <w:rsid w:val="003E5485"/>
    <w:rsid w:val="003E5523"/>
    <w:rsid w:val="003E558A"/>
    <w:rsid w:val="003E55EC"/>
    <w:rsid w:val="003E5695"/>
    <w:rsid w:val="003E56E8"/>
    <w:rsid w:val="003E5775"/>
    <w:rsid w:val="003E585D"/>
    <w:rsid w:val="003E5908"/>
    <w:rsid w:val="003E59D4"/>
    <w:rsid w:val="003E5A3E"/>
    <w:rsid w:val="003E5D60"/>
    <w:rsid w:val="003E5D76"/>
    <w:rsid w:val="003E5DF1"/>
    <w:rsid w:val="003E5E4A"/>
    <w:rsid w:val="003E5F9A"/>
    <w:rsid w:val="003E5F9E"/>
    <w:rsid w:val="003E6364"/>
    <w:rsid w:val="003E6391"/>
    <w:rsid w:val="003E6549"/>
    <w:rsid w:val="003E65AA"/>
    <w:rsid w:val="003E66F9"/>
    <w:rsid w:val="003E69D4"/>
    <w:rsid w:val="003E6A2E"/>
    <w:rsid w:val="003E6B19"/>
    <w:rsid w:val="003E6C03"/>
    <w:rsid w:val="003E6E67"/>
    <w:rsid w:val="003E6ECC"/>
    <w:rsid w:val="003E6F64"/>
    <w:rsid w:val="003E70C1"/>
    <w:rsid w:val="003E7111"/>
    <w:rsid w:val="003E718C"/>
    <w:rsid w:val="003E71D1"/>
    <w:rsid w:val="003E71EA"/>
    <w:rsid w:val="003E721B"/>
    <w:rsid w:val="003E7321"/>
    <w:rsid w:val="003E7351"/>
    <w:rsid w:val="003E73FB"/>
    <w:rsid w:val="003E7444"/>
    <w:rsid w:val="003E7764"/>
    <w:rsid w:val="003E77B1"/>
    <w:rsid w:val="003E7888"/>
    <w:rsid w:val="003E7942"/>
    <w:rsid w:val="003E7B1F"/>
    <w:rsid w:val="003E7E97"/>
    <w:rsid w:val="003E7F91"/>
    <w:rsid w:val="003EC4C4"/>
    <w:rsid w:val="003F001E"/>
    <w:rsid w:val="003F009E"/>
    <w:rsid w:val="003F0118"/>
    <w:rsid w:val="003F013F"/>
    <w:rsid w:val="003F0199"/>
    <w:rsid w:val="003F021F"/>
    <w:rsid w:val="003F0373"/>
    <w:rsid w:val="003F0457"/>
    <w:rsid w:val="003F04A1"/>
    <w:rsid w:val="003F053E"/>
    <w:rsid w:val="003F0540"/>
    <w:rsid w:val="003F062C"/>
    <w:rsid w:val="003F0852"/>
    <w:rsid w:val="003F085F"/>
    <w:rsid w:val="003F0939"/>
    <w:rsid w:val="003F0A01"/>
    <w:rsid w:val="003F0C2E"/>
    <w:rsid w:val="003F0C8B"/>
    <w:rsid w:val="003F0F71"/>
    <w:rsid w:val="003F0FC1"/>
    <w:rsid w:val="003F1001"/>
    <w:rsid w:val="003F1023"/>
    <w:rsid w:val="003F1092"/>
    <w:rsid w:val="003F10F3"/>
    <w:rsid w:val="003F1365"/>
    <w:rsid w:val="003F1486"/>
    <w:rsid w:val="003F14D3"/>
    <w:rsid w:val="003F15B8"/>
    <w:rsid w:val="003F16EF"/>
    <w:rsid w:val="003F1861"/>
    <w:rsid w:val="003F18E7"/>
    <w:rsid w:val="003F1907"/>
    <w:rsid w:val="003F19E7"/>
    <w:rsid w:val="003F1A09"/>
    <w:rsid w:val="003F1A2E"/>
    <w:rsid w:val="003F1B1D"/>
    <w:rsid w:val="003F1B99"/>
    <w:rsid w:val="003F1D90"/>
    <w:rsid w:val="003F1DF0"/>
    <w:rsid w:val="003F1FF6"/>
    <w:rsid w:val="003F2000"/>
    <w:rsid w:val="003F2116"/>
    <w:rsid w:val="003F2340"/>
    <w:rsid w:val="003F2409"/>
    <w:rsid w:val="003F2549"/>
    <w:rsid w:val="003F2652"/>
    <w:rsid w:val="003F26DD"/>
    <w:rsid w:val="003F27C1"/>
    <w:rsid w:val="003F27FA"/>
    <w:rsid w:val="003F28CE"/>
    <w:rsid w:val="003F2A4B"/>
    <w:rsid w:val="003F2C37"/>
    <w:rsid w:val="003F2CF7"/>
    <w:rsid w:val="003F2E06"/>
    <w:rsid w:val="003F2E08"/>
    <w:rsid w:val="003F2EF3"/>
    <w:rsid w:val="003F311C"/>
    <w:rsid w:val="003F3148"/>
    <w:rsid w:val="003F32C9"/>
    <w:rsid w:val="003F32CB"/>
    <w:rsid w:val="003F32FD"/>
    <w:rsid w:val="003F332E"/>
    <w:rsid w:val="003F3383"/>
    <w:rsid w:val="003F343D"/>
    <w:rsid w:val="003F35CF"/>
    <w:rsid w:val="003F36C1"/>
    <w:rsid w:val="003F3AFA"/>
    <w:rsid w:val="003F3BF8"/>
    <w:rsid w:val="003F3C02"/>
    <w:rsid w:val="003F3C0C"/>
    <w:rsid w:val="003F3C95"/>
    <w:rsid w:val="003F3CA1"/>
    <w:rsid w:val="003F3D7A"/>
    <w:rsid w:val="003F3DC6"/>
    <w:rsid w:val="003F3F00"/>
    <w:rsid w:val="003F4018"/>
    <w:rsid w:val="003F4028"/>
    <w:rsid w:val="003F405B"/>
    <w:rsid w:val="003F40A6"/>
    <w:rsid w:val="003F411B"/>
    <w:rsid w:val="003F4161"/>
    <w:rsid w:val="003F4216"/>
    <w:rsid w:val="003F4235"/>
    <w:rsid w:val="003F43AE"/>
    <w:rsid w:val="003F43C8"/>
    <w:rsid w:val="003F43D6"/>
    <w:rsid w:val="003F4402"/>
    <w:rsid w:val="003F4421"/>
    <w:rsid w:val="003F470D"/>
    <w:rsid w:val="003F4743"/>
    <w:rsid w:val="003F4840"/>
    <w:rsid w:val="003F49DC"/>
    <w:rsid w:val="003F4A35"/>
    <w:rsid w:val="003F4B03"/>
    <w:rsid w:val="003F4C82"/>
    <w:rsid w:val="003F4CF5"/>
    <w:rsid w:val="003F4D94"/>
    <w:rsid w:val="003F4DAF"/>
    <w:rsid w:val="003F4DB4"/>
    <w:rsid w:val="003F4E24"/>
    <w:rsid w:val="003F4EF8"/>
    <w:rsid w:val="003F4F44"/>
    <w:rsid w:val="003F4FCD"/>
    <w:rsid w:val="003F501F"/>
    <w:rsid w:val="003F5038"/>
    <w:rsid w:val="003F5189"/>
    <w:rsid w:val="003F5469"/>
    <w:rsid w:val="003F5577"/>
    <w:rsid w:val="003F55EC"/>
    <w:rsid w:val="003F5643"/>
    <w:rsid w:val="003F56C0"/>
    <w:rsid w:val="003F57FA"/>
    <w:rsid w:val="003F58F5"/>
    <w:rsid w:val="003F5922"/>
    <w:rsid w:val="003F593F"/>
    <w:rsid w:val="003F5A09"/>
    <w:rsid w:val="003F5A38"/>
    <w:rsid w:val="003F5AC6"/>
    <w:rsid w:val="003F5B55"/>
    <w:rsid w:val="003F5BDC"/>
    <w:rsid w:val="003F5CB4"/>
    <w:rsid w:val="003F5E94"/>
    <w:rsid w:val="003F601E"/>
    <w:rsid w:val="003F617A"/>
    <w:rsid w:val="003F622D"/>
    <w:rsid w:val="003F624C"/>
    <w:rsid w:val="003F6287"/>
    <w:rsid w:val="003F629B"/>
    <w:rsid w:val="003F63D1"/>
    <w:rsid w:val="003F6474"/>
    <w:rsid w:val="003F6513"/>
    <w:rsid w:val="003F65FB"/>
    <w:rsid w:val="003F6658"/>
    <w:rsid w:val="003F665D"/>
    <w:rsid w:val="003F6857"/>
    <w:rsid w:val="003F6900"/>
    <w:rsid w:val="003F6911"/>
    <w:rsid w:val="003F6AE3"/>
    <w:rsid w:val="003F6BEA"/>
    <w:rsid w:val="003F6BFC"/>
    <w:rsid w:val="003F6C51"/>
    <w:rsid w:val="003F6CA8"/>
    <w:rsid w:val="003F6D3F"/>
    <w:rsid w:val="003F6DB2"/>
    <w:rsid w:val="003F6E36"/>
    <w:rsid w:val="003F6E59"/>
    <w:rsid w:val="003F6EAC"/>
    <w:rsid w:val="003F6EB9"/>
    <w:rsid w:val="003F6EFE"/>
    <w:rsid w:val="003F6F28"/>
    <w:rsid w:val="003F7117"/>
    <w:rsid w:val="003F715C"/>
    <w:rsid w:val="003F716B"/>
    <w:rsid w:val="003F719C"/>
    <w:rsid w:val="003F71F1"/>
    <w:rsid w:val="003F7214"/>
    <w:rsid w:val="003F72FC"/>
    <w:rsid w:val="003F7357"/>
    <w:rsid w:val="003F736A"/>
    <w:rsid w:val="003F737E"/>
    <w:rsid w:val="003F73E3"/>
    <w:rsid w:val="003F7481"/>
    <w:rsid w:val="003F7512"/>
    <w:rsid w:val="003F762F"/>
    <w:rsid w:val="003F76D6"/>
    <w:rsid w:val="003F7757"/>
    <w:rsid w:val="003F7791"/>
    <w:rsid w:val="003F7907"/>
    <w:rsid w:val="003F7AF4"/>
    <w:rsid w:val="003F7C35"/>
    <w:rsid w:val="003F7CD5"/>
    <w:rsid w:val="003F7D19"/>
    <w:rsid w:val="003F7D67"/>
    <w:rsid w:val="003F7D74"/>
    <w:rsid w:val="003F7D7E"/>
    <w:rsid w:val="003F7DB7"/>
    <w:rsid w:val="003F7DF6"/>
    <w:rsid w:val="003F7E06"/>
    <w:rsid w:val="003F7E1A"/>
    <w:rsid w:val="003F7F05"/>
    <w:rsid w:val="0040003D"/>
    <w:rsid w:val="00400051"/>
    <w:rsid w:val="0040005B"/>
    <w:rsid w:val="00400080"/>
    <w:rsid w:val="004002B6"/>
    <w:rsid w:val="00400382"/>
    <w:rsid w:val="0040045B"/>
    <w:rsid w:val="0040051E"/>
    <w:rsid w:val="0040056A"/>
    <w:rsid w:val="0040072B"/>
    <w:rsid w:val="00400775"/>
    <w:rsid w:val="0040078D"/>
    <w:rsid w:val="0040079F"/>
    <w:rsid w:val="00400891"/>
    <w:rsid w:val="00400901"/>
    <w:rsid w:val="00400922"/>
    <w:rsid w:val="0040092E"/>
    <w:rsid w:val="00400967"/>
    <w:rsid w:val="00400992"/>
    <w:rsid w:val="004009A9"/>
    <w:rsid w:val="004009C0"/>
    <w:rsid w:val="00400B15"/>
    <w:rsid w:val="00400B72"/>
    <w:rsid w:val="00400B8C"/>
    <w:rsid w:val="00400D58"/>
    <w:rsid w:val="00400E6E"/>
    <w:rsid w:val="00400F17"/>
    <w:rsid w:val="00401029"/>
    <w:rsid w:val="004010BA"/>
    <w:rsid w:val="004010EA"/>
    <w:rsid w:val="00401229"/>
    <w:rsid w:val="004012B0"/>
    <w:rsid w:val="004012F7"/>
    <w:rsid w:val="00401362"/>
    <w:rsid w:val="0040159A"/>
    <w:rsid w:val="004015E6"/>
    <w:rsid w:val="00401681"/>
    <w:rsid w:val="0040172C"/>
    <w:rsid w:val="00401839"/>
    <w:rsid w:val="0040198D"/>
    <w:rsid w:val="00401A4C"/>
    <w:rsid w:val="00401AA3"/>
    <w:rsid w:val="00401C08"/>
    <w:rsid w:val="00401C2B"/>
    <w:rsid w:val="00401C64"/>
    <w:rsid w:val="00401D5D"/>
    <w:rsid w:val="00402038"/>
    <w:rsid w:val="004020F1"/>
    <w:rsid w:val="00402139"/>
    <w:rsid w:val="00402145"/>
    <w:rsid w:val="0040215C"/>
    <w:rsid w:val="004022C4"/>
    <w:rsid w:val="004023B7"/>
    <w:rsid w:val="004026BA"/>
    <w:rsid w:val="004026E1"/>
    <w:rsid w:val="00402813"/>
    <w:rsid w:val="004028C6"/>
    <w:rsid w:val="00402947"/>
    <w:rsid w:val="00402973"/>
    <w:rsid w:val="00402B74"/>
    <w:rsid w:val="00402B98"/>
    <w:rsid w:val="00402C55"/>
    <w:rsid w:val="00402C82"/>
    <w:rsid w:val="00402D56"/>
    <w:rsid w:val="00402D69"/>
    <w:rsid w:val="00402DE7"/>
    <w:rsid w:val="00402E22"/>
    <w:rsid w:val="00402FDC"/>
    <w:rsid w:val="00403021"/>
    <w:rsid w:val="004033CB"/>
    <w:rsid w:val="00403437"/>
    <w:rsid w:val="00403480"/>
    <w:rsid w:val="00403515"/>
    <w:rsid w:val="0040351D"/>
    <w:rsid w:val="00403583"/>
    <w:rsid w:val="00403887"/>
    <w:rsid w:val="004038CC"/>
    <w:rsid w:val="004038DB"/>
    <w:rsid w:val="00403A02"/>
    <w:rsid w:val="00403AF0"/>
    <w:rsid w:val="00403B75"/>
    <w:rsid w:val="00403B77"/>
    <w:rsid w:val="00403BA8"/>
    <w:rsid w:val="00403C67"/>
    <w:rsid w:val="00403C8E"/>
    <w:rsid w:val="00403DE1"/>
    <w:rsid w:val="00403E09"/>
    <w:rsid w:val="00403FC2"/>
    <w:rsid w:val="00404058"/>
    <w:rsid w:val="004040E2"/>
    <w:rsid w:val="00404106"/>
    <w:rsid w:val="004042B5"/>
    <w:rsid w:val="004043D4"/>
    <w:rsid w:val="00404430"/>
    <w:rsid w:val="00404469"/>
    <w:rsid w:val="00404512"/>
    <w:rsid w:val="004047A6"/>
    <w:rsid w:val="00404820"/>
    <w:rsid w:val="004048DD"/>
    <w:rsid w:val="00404AE2"/>
    <w:rsid w:val="00404B0E"/>
    <w:rsid w:val="00404B5B"/>
    <w:rsid w:val="00404C6A"/>
    <w:rsid w:val="00404D4D"/>
    <w:rsid w:val="00404D60"/>
    <w:rsid w:val="00404E2F"/>
    <w:rsid w:val="00404F8C"/>
    <w:rsid w:val="00405029"/>
    <w:rsid w:val="0040506D"/>
    <w:rsid w:val="0040507B"/>
    <w:rsid w:val="00405086"/>
    <w:rsid w:val="00405181"/>
    <w:rsid w:val="004055B8"/>
    <w:rsid w:val="00405698"/>
    <w:rsid w:val="004057A0"/>
    <w:rsid w:val="004057EF"/>
    <w:rsid w:val="00405810"/>
    <w:rsid w:val="00405843"/>
    <w:rsid w:val="004058EB"/>
    <w:rsid w:val="004059B7"/>
    <w:rsid w:val="00405A4B"/>
    <w:rsid w:val="00405A91"/>
    <w:rsid w:val="00405AE2"/>
    <w:rsid w:val="00405C2E"/>
    <w:rsid w:val="00405D69"/>
    <w:rsid w:val="00405DA3"/>
    <w:rsid w:val="00406002"/>
    <w:rsid w:val="00406113"/>
    <w:rsid w:val="00406240"/>
    <w:rsid w:val="00406252"/>
    <w:rsid w:val="00406336"/>
    <w:rsid w:val="00406340"/>
    <w:rsid w:val="004064B8"/>
    <w:rsid w:val="004065FD"/>
    <w:rsid w:val="0040662E"/>
    <w:rsid w:val="004067CB"/>
    <w:rsid w:val="0040694C"/>
    <w:rsid w:val="004069AF"/>
    <w:rsid w:val="00406ACE"/>
    <w:rsid w:val="00406AF2"/>
    <w:rsid w:val="00406B83"/>
    <w:rsid w:val="00406BD6"/>
    <w:rsid w:val="00406BDA"/>
    <w:rsid w:val="00406DFA"/>
    <w:rsid w:val="00406E09"/>
    <w:rsid w:val="00406F67"/>
    <w:rsid w:val="004070DA"/>
    <w:rsid w:val="004071F5"/>
    <w:rsid w:val="00407386"/>
    <w:rsid w:val="00407439"/>
    <w:rsid w:val="00407562"/>
    <w:rsid w:val="004075AF"/>
    <w:rsid w:val="0040761C"/>
    <w:rsid w:val="0040769C"/>
    <w:rsid w:val="004076A1"/>
    <w:rsid w:val="004076FF"/>
    <w:rsid w:val="004077A3"/>
    <w:rsid w:val="0040786C"/>
    <w:rsid w:val="004079DB"/>
    <w:rsid w:val="00407ADF"/>
    <w:rsid w:val="00407CEA"/>
    <w:rsid w:val="00407CFA"/>
    <w:rsid w:val="00407D6B"/>
    <w:rsid w:val="00407E32"/>
    <w:rsid w:val="00407F2F"/>
    <w:rsid w:val="00407F30"/>
    <w:rsid w:val="0041011E"/>
    <w:rsid w:val="0041012A"/>
    <w:rsid w:val="0041035E"/>
    <w:rsid w:val="00410373"/>
    <w:rsid w:val="0041051B"/>
    <w:rsid w:val="0041053A"/>
    <w:rsid w:val="00410595"/>
    <w:rsid w:val="004105B7"/>
    <w:rsid w:val="00410635"/>
    <w:rsid w:val="0041077D"/>
    <w:rsid w:val="0041082F"/>
    <w:rsid w:val="0041089A"/>
    <w:rsid w:val="004108AA"/>
    <w:rsid w:val="004108AD"/>
    <w:rsid w:val="0041090A"/>
    <w:rsid w:val="0041092A"/>
    <w:rsid w:val="00410966"/>
    <w:rsid w:val="004109A9"/>
    <w:rsid w:val="00410AA9"/>
    <w:rsid w:val="00410B9C"/>
    <w:rsid w:val="00410B9D"/>
    <w:rsid w:val="00410C86"/>
    <w:rsid w:val="00410D9C"/>
    <w:rsid w:val="00410E1D"/>
    <w:rsid w:val="00410EF4"/>
    <w:rsid w:val="00411011"/>
    <w:rsid w:val="00411160"/>
    <w:rsid w:val="0041118D"/>
    <w:rsid w:val="0041118E"/>
    <w:rsid w:val="00411389"/>
    <w:rsid w:val="004113BB"/>
    <w:rsid w:val="00411464"/>
    <w:rsid w:val="00411525"/>
    <w:rsid w:val="00411838"/>
    <w:rsid w:val="00411983"/>
    <w:rsid w:val="00411A05"/>
    <w:rsid w:val="00411A99"/>
    <w:rsid w:val="00411AC4"/>
    <w:rsid w:val="00411B5B"/>
    <w:rsid w:val="00411DD1"/>
    <w:rsid w:val="00411DE6"/>
    <w:rsid w:val="00411EA7"/>
    <w:rsid w:val="00412001"/>
    <w:rsid w:val="004121CA"/>
    <w:rsid w:val="004121CF"/>
    <w:rsid w:val="00412214"/>
    <w:rsid w:val="0041231D"/>
    <w:rsid w:val="00412339"/>
    <w:rsid w:val="0041241E"/>
    <w:rsid w:val="00412428"/>
    <w:rsid w:val="004124C1"/>
    <w:rsid w:val="004124EE"/>
    <w:rsid w:val="0041253A"/>
    <w:rsid w:val="004126D4"/>
    <w:rsid w:val="004128F9"/>
    <w:rsid w:val="00412918"/>
    <w:rsid w:val="00412929"/>
    <w:rsid w:val="00412ABC"/>
    <w:rsid w:val="00412B56"/>
    <w:rsid w:val="00412BA3"/>
    <w:rsid w:val="00412C83"/>
    <w:rsid w:val="00412C9E"/>
    <w:rsid w:val="00412DBA"/>
    <w:rsid w:val="00412EC3"/>
    <w:rsid w:val="00412F38"/>
    <w:rsid w:val="00412FB9"/>
    <w:rsid w:val="00413057"/>
    <w:rsid w:val="0041305B"/>
    <w:rsid w:val="0041306E"/>
    <w:rsid w:val="0041312C"/>
    <w:rsid w:val="0041316E"/>
    <w:rsid w:val="004131F7"/>
    <w:rsid w:val="004132ED"/>
    <w:rsid w:val="0041355E"/>
    <w:rsid w:val="0041370F"/>
    <w:rsid w:val="00413774"/>
    <w:rsid w:val="004137CE"/>
    <w:rsid w:val="004139B4"/>
    <w:rsid w:val="00413CB4"/>
    <w:rsid w:val="00413DCD"/>
    <w:rsid w:val="00413F1D"/>
    <w:rsid w:val="00413F9E"/>
    <w:rsid w:val="00413FEC"/>
    <w:rsid w:val="00414191"/>
    <w:rsid w:val="004141C5"/>
    <w:rsid w:val="0041424B"/>
    <w:rsid w:val="004142CD"/>
    <w:rsid w:val="00414374"/>
    <w:rsid w:val="00414460"/>
    <w:rsid w:val="00414490"/>
    <w:rsid w:val="00414515"/>
    <w:rsid w:val="00414642"/>
    <w:rsid w:val="004146C5"/>
    <w:rsid w:val="00414720"/>
    <w:rsid w:val="004147F2"/>
    <w:rsid w:val="004147FC"/>
    <w:rsid w:val="004148F9"/>
    <w:rsid w:val="00414976"/>
    <w:rsid w:val="004149F8"/>
    <w:rsid w:val="00414A13"/>
    <w:rsid w:val="00414CCF"/>
    <w:rsid w:val="00414D97"/>
    <w:rsid w:val="00414E49"/>
    <w:rsid w:val="00414F0B"/>
    <w:rsid w:val="00414FEF"/>
    <w:rsid w:val="004150A2"/>
    <w:rsid w:val="0041520A"/>
    <w:rsid w:val="00415391"/>
    <w:rsid w:val="004154F7"/>
    <w:rsid w:val="00415792"/>
    <w:rsid w:val="0041579E"/>
    <w:rsid w:val="004157D2"/>
    <w:rsid w:val="00415879"/>
    <w:rsid w:val="0041595C"/>
    <w:rsid w:val="004159D2"/>
    <w:rsid w:val="00415AD4"/>
    <w:rsid w:val="00415B0A"/>
    <w:rsid w:val="00415B72"/>
    <w:rsid w:val="00415B89"/>
    <w:rsid w:val="00415DD0"/>
    <w:rsid w:val="0041600B"/>
    <w:rsid w:val="004160E4"/>
    <w:rsid w:val="00416119"/>
    <w:rsid w:val="004161DD"/>
    <w:rsid w:val="004162AD"/>
    <w:rsid w:val="004162F6"/>
    <w:rsid w:val="004163AD"/>
    <w:rsid w:val="004163EE"/>
    <w:rsid w:val="0041643E"/>
    <w:rsid w:val="0041645F"/>
    <w:rsid w:val="00416493"/>
    <w:rsid w:val="004164D2"/>
    <w:rsid w:val="0041650D"/>
    <w:rsid w:val="0041666D"/>
    <w:rsid w:val="004166C9"/>
    <w:rsid w:val="0041679F"/>
    <w:rsid w:val="00416831"/>
    <w:rsid w:val="004169E4"/>
    <w:rsid w:val="00416CDD"/>
    <w:rsid w:val="00416D8D"/>
    <w:rsid w:val="00416F5E"/>
    <w:rsid w:val="00417036"/>
    <w:rsid w:val="004170C8"/>
    <w:rsid w:val="004170EF"/>
    <w:rsid w:val="0041718D"/>
    <w:rsid w:val="004171D1"/>
    <w:rsid w:val="0041730F"/>
    <w:rsid w:val="0041736C"/>
    <w:rsid w:val="00417456"/>
    <w:rsid w:val="004177A2"/>
    <w:rsid w:val="004177F7"/>
    <w:rsid w:val="00417941"/>
    <w:rsid w:val="004179E4"/>
    <w:rsid w:val="00417AAE"/>
    <w:rsid w:val="00417B9F"/>
    <w:rsid w:val="00417CD7"/>
    <w:rsid w:val="00417CFF"/>
    <w:rsid w:val="00417D80"/>
    <w:rsid w:val="00417DF6"/>
    <w:rsid w:val="00417E22"/>
    <w:rsid w:val="00417EBB"/>
    <w:rsid w:val="00417FC5"/>
    <w:rsid w:val="00420023"/>
    <w:rsid w:val="00420166"/>
    <w:rsid w:val="0042032B"/>
    <w:rsid w:val="00420502"/>
    <w:rsid w:val="0042057B"/>
    <w:rsid w:val="004205F6"/>
    <w:rsid w:val="004206E7"/>
    <w:rsid w:val="0042077C"/>
    <w:rsid w:val="00420A8D"/>
    <w:rsid w:val="00420B12"/>
    <w:rsid w:val="00420B6D"/>
    <w:rsid w:val="00420B6E"/>
    <w:rsid w:val="00420C21"/>
    <w:rsid w:val="00420D53"/>
    <w:rsid w:val="00420FA3"/>
    <w:rsid w:val="00420FCF"/>
    <w:rsid w:val="0042100A"/>
    <w:rsid w:val="00421082"/>
    <w:rsid w:val="00421324"/>
    <w:rsid w:val="00421393"/>
    <w:rsid w:val="004214E3"/>
    <w:rsid w:val="00421661"/>
    <w:rsid w:val="00421748"/>
    <w:rsid w:val="0042188B"/>
    <w:rsid w:val="00421942"/>
    <w:rsid w:val="0042194D"/>
    <w:rsid w:val="004219CA"/>
    <w:rsid w:val="00421A63"/>
    <w:rsid w:val="00421AE2"/>
    <w:rsid w:val="00421ED2"/>
    <w:rsid w:val="00421F1D"/>
    <w:rsid w:val="00422005"/>
    <w:rsid w:val="00422181"/>
    <w:rsid w:val="004222C2"/>
    <w:rsid w:val="004222E1"/>
    <w:rsid w:val="00422354"/>
    <w:rsid w:val="0042254F"/>
    <w:rsid w:val="004225A2"/>
    <w:rsid w:val="004226C2"/>
    <w:rsid w:val="004228B8"/>
    <w:rsid w:val="00422B2F"/>
    <w:rsid w:val="00422B87"/>
    <w:rsid w:val="00422B89"/>
    <w:rsid w:val="00422D1A"/>
    <w:rsid w:val="00422D30"/>
    <w:rsid w:val="00422DF4"/>
    <w:rsid w:val="00422E5D"/>
    <w:rsid w:val="00422E72"/>
    <w:rsid w:val="00422F6F"/>
    <w:rsid w:val="00422FA4"/>
    <w:rsid w:val="00423002"/>
    <w:rsid w:val="004231B8"/>
    <w:rsid w:val="004232C7"/>
    <w:rsid w:val="004232EF"/>
    <w:rsid w:val="00423319"/>
    <w:rsid w:val="00423395"/>
    <w:rsid w:val="004234A1"/>
    <w:rsid w:val="004234C0"/>
    <w:rsid w:val="004235EB"/>
    <w:rsid w:val="0042361C"/>
    <w:rsid w:val="00423729"/>
    <w:rsid w:val="0042387A"/>
    <w:rsid w:val="004239BA"/>
    <w:rsid w:val="00423A37"/>
    <w:rsid w:val="00423B39"/>
    <w:rsid w:val="00423C9D"/>
    <w:rsid w:val="00423CE7"/>
    <w:rsid w:val="00423CF0"/>
    <w:rsid w:val="00423CFF"/>
    <w:rsid w:val="00423E2A"/>
    <w:rsid w:val="00423EE2"/>
    <w:rsid w:val="00424014"/>
    <w:rsid w:val="0042403E"/>
    <w:rsid w:val="0042418E"/>
    <w:rsid w:val="004241DF"/>
    <w:rsid w:val="004241FD"/>
    <w:rsid w:val="004242B8"/>
    <w:rsid w:val="0042435C"/>
    <w:rsid w:val="004244A7"/>
    <w:rsid w:val="004244C3"/>
    <w:rsid w:val="004245BA"/>
    <w:rsid w:val="004245D4"/>
    <w:rsid w:val="004245FB"/>
    <w:rsid w:val="00424698"/>
    <w:rsid w:val="004246C3"/>
    <w:rsid w:val="004247A5"/>
    <w:rsid w:val="004247EC"/>
    <w:rsid w:val="00424804"/>
    <w:rsid w:val="00424817"/>
    <w:rsid w:val="00424864"/>
    <w:rsid w:val="004248AC"/>
    <w:rsid w:val="004249E1"/>
    <w:rsid w:val="00424A1E"/>
    <w:rsid w:val="00424ABC"/>
    <w:rsid w:val="00424AFE"/>
    <w:rsid w:val="00424C49"/>
    <w:rsid w:val="00424D73"/>
    <w:rsid w:val="00424DCA"/>
    <w:rsid w:val="00424ED6"/>
    <w:rsid w:val="00424F6E"/>
    <w:rsid w:val="00424F80"/>
    <w:rsid w:val="00424FF8"/>
    <w:rsid w:val="00425056"/>
    <w:rsid w:val="00425057"/>
    <w:rsid w:val="004250A1"/>
    <w:rsid w:val="00425132"/>
    <w:rsid w:val="0042517B"/>
    <w:rsid w:val="00425187"/>
    <w:rsid w:val="004251C5"/>
    <w:rsid w:val="00425279"/>
    <w:rsid w:val="00425297"/>
    <w:rsid w:val="004252D7"/>
    <w:rsid w:val="0042533D"/>
    <w:rsid w:val="004253A6"/>
    <w:rsid w:val="0042569C"/>
    <w:rsid w:val="004256B2"/>
    <w:rsid w:val="00425800"/>
    <w:rsid w:val="00425952"/>
    <w:rsid w:val="00425A1E"/>
    <w:rsid w:val="00425A39"/>
    <w:rsid w:val="00425A54"/>
    <w:rsid w:val="00425BB2"/>
    <w:rsid w:val="00425C15"/>
    <w:rsid w:val="00425C96"/>
    <w:rsid w:val="00425CA1"/>
    <w:rsid w:val="00425D25"/>
    <w:rsid w:val="00425D40"/>
    <w:rsid w:val="00425E3E"/>
    <w:rsid w:val="00425E6B"/>
    <w:rsid w:val="00425ED4"/>
    <w:rsid w:val="00425F32"/>
    <w:rsid w:val="0042608F"/>
    <w:rsid w:val="00426119"/>
    <w:rsid w:val="0042634B"/>
    <w:rsid w:val="0042643B"/>
    <w:rsid w:val="00426512"/>
    <w:rsid w:val="0042655B"/>
    <w:rsid w:val="004265B9"/>
    <w:rsid w:val="004266C8"/>
    <w:rsid w:val="00426729"/>
    <w:rsid w:val="00426774"/>
    <w:rsid w:val="004267C6"/>
    <w:rsid w:val="00426847"/>
    <w:rsid w:val="0042693D"/>
    <w:rsid w:val="004269BD"/>
    <w:rsid w:val="00426A36"/>
    <w:rsid w:val="00426A6C"/>
    <w:rsid w:val="00426A8C"/>
    <w:rsid w:val="00426ADB"/>
    <w:rsid w:val="00426B77"/>
    <w:rsid w:val="00426D68"/>
    <w:rsid w:val="00426D80"/>
    <w:rsid w:val="00426DDA"/>
    <w:rsid w:val="00426E9E"/>
    <w:rsid w:val="00426EF3"/>
    <w:rsid w:val="00426F01"/>
    <w:rsid w:val="00426F3F"/>
    <w:rsid w:val="00426FF0"/>
    <w:rsid w:val="00427185"/>
    <w:rsid w:val="004273A1"/>
    <w:rsid w:val="0042745C"/>
    <w:rsid w:val="00427466"/>
    <w:rsid w:val="00427488"/>
    <w:rsid w:val="004275CE"/>
    <w:rsid w:val="0042764B"/>
    <w:rsid w:val="0042768F"/>
    <w:rsid w:val="004276C9"/>
    <w:rsid w:val="0042772D"/>
    <w:rsid w:val="0042782C"/>
    <w:rsid w:val="00427A07"/>
    <w:rsid w:val="00427CC9"/>
    <w:rsid w:val="00427D50"/>
    <w:rsid w:val="00427DE6"/>
    <w:rsid w:val="00427E5F"/>
    <w:rsid w:val="00427E7D"/>
    <w:rsid w:val="00427F97"/>
    <w:rsid w:val="00427FF0"/>
    <w:rsid w:val="004300C3"/>
    <w:rsid w:val="00430188"/>
    <w:rsid w:val="004302BC"/>
    <w:rsid w:val="0043030C"/>
    <w:rsid w:val="004303E8"/>
    <w:rsid w:val="00430434"/>
    <w:rsid w:val="0043048B"/>
    <w:rsid w:val="004306E3"/>
    <w:rsid w:val="00430844"/>
    <w:rsid w:val="00430927"/>
    <w:rsid w:val="00430998"/>
    <w:rsid w:val="004309AD"/>
    <w:rsid w:val="00430B67"/>
    <w:rsid w:val="00430CBC"/>
    <w:rsid w:val="00430D65"/>
    <w:rsid w:val="00430E43"/>
    <w:rsid w:val="00430ECC"/>
    <w:rsid w:val="00430F30"/>
    <w:rsid w:val="00430FA8"/>
    <w:rsid w:val="00430FF8"/>
    <w:rsid w:val="0043112D"/>
    <w:rsid w:val="00431178"/>
    <w:rsid w:val="00431180"/>
    <w:rsid w:val="004311A0"/>
    <w:rsid w:val="004311DF"/>
    <w:rsid w:val="00431340"/>
    <w:rsid w:val="00431352"/>
    <w:rsid w:val="004315C9"/>
    <w:rsid w:val="004315DB"/>
    <w:rsid w:val="00431607"/>
    <w:rsid w:val="00431615"/>
    <w:rsid w:val="0043171C"/>
    <w:rsid w:val="00431881"/>
    <w:rsid w:val="004318C9"/>
    <w:rsid w:val="004318E1"/>
    <w:rsid w:val="004319CF"/>
    <w:rsid w:val="004319E4"/>
    <w:rsid w:val="00431ACB"/>
    <w:rsid w:val="00431BB8"/>
    <w:rsid w:val="00431C0C"/>
    <w:rsid w:val="00431C62"/>
    <w:rsid w:val="00431C91"/>
    <w:rsid w:val="00431CBF"/>
    <w:rsid w:val="00431CC6"/>
    <w:rsid w:val="00431CEF"/>
    <w:rsid w:val="00431DF2"/>
    <w:rsid w:val="00431EC6"/>
    <w:rsid w:val="00431EFA"/>
    <w:rsid w:val="00432005"/>
    <w:rsid w:val="00432194"/>
    <w:rsid w:val="004322D9"/>
    <w:rsid w:val="0043231C"/>
    <w:rsid w:val="00432326"/>
    <w:rsid w:val="004323B7"/>
    <w:rsid w:val="004323C1"/>
    <w:rsid w:val="00432420"/>
    <w:rsid w:val="00432433"/>
    <w:rsid w:val="00432680"/>
    <w:rsid w:val="004328B8"/>
    <w:rsid w:val="00432941"/>
    <w:rsid w:val="00432A55"/>
    <w:rsid w:val="00432CB7"/>
    <w:rsid w:val="00432CC8"/>
    <w:rsid w:val="00432D2B"/>
    <w:rsid w:val="00432DF7"/>
    <w:rsid w:val="00433158"/>
    <w:rsid w:val="00433301"/>
    <w:rsid w:val="00433322"/>
    <w:rsid w:val="00433360"/>
    <w:rsid w:val="0043337C"/>
    <w:rsid w:val="004333E8"/>
    <w:rsid w:val="00433410"/>
    <w:rsid w:val="00433454"/>
    <w:rsid w:val="00433502"/>
    <w:rsid w:val="004335D8"/>
    <w:rsid w:val="004335F0"/>
    <w:rsid w:val="00433788"/>
    <w:rsid w:val="0043379C"/>
    <w:rsid w:val="00433A6A"/>
    <w:rsid w:val="00433B05"/>
    <w:rsid w:val="00433B5B"/>
    <w:rsid w:val="00433B70"/>
    <w:rsid w:val="00433C94"/>
    <w:rsid w:val="00433CA3"/>
    <w:rsid w:val="00433E09"/>
    <w:rsid w:val="00433E39"/>
    <w:rsid w:val="00433F0A"/>
    <w:rsid w:val="00433F9B"/>
    <w:rsid w:val="00433FBA"/>
    <w:rsid w:val="00433FBE"/>
    <w:rsid w:val="00434036"/>
    <w:rsid w:val="004340F3"/>
    <w:rsid w:val="00434195"/>
    <w:rsid w:val="004341AC"/>
    <w:rsid w:val="004341F2"/>
    <w:rsid w:val="004342CF"/>
    <w:rsid w:val="00434406"/>
    <w:rsid w:val="00434446"/>
    <w:rsid w:val="0043444F"/>
    <w:rsid w:val="004344F5"/>
    <w:rsid w:val="0043454E"/>
    <w:rsid w:val="00434690"/>
    <w:rsid w:val="004346C5"/>
    <w:rsid w:val="004346E2"/>
    <w:rsid w:val="00434720"/>
    <w:rsid w:val="0043480F"/>
    <w:rsid w:val="004349DD"/>
    <w:rsid w:val="00434AF5"/>
    <w:rsid w:val="00434B5A"/>
    <w:rsid w:val="00434B6D"/>
    <w:rsid w:val="00434C4C"/>
    <w:rsid w:val="00434DE6"/>
    <w:rsid w:val="00434DFC"/>
    <w:rsid w:val="00434E97"/>
    <w:rsid w:val="00434F8B"/>
    <w:rsid w:val="00434FE2"/>
    <w:rsid w:val="00434FF7"/>
    <w:rsid w:val="00435067"/>
    <w:rsid w:val="00435136"/>
    <w:rsid w:val="004351DA"/>
    <w:rsid w:val="00435224"/>
    <w:rsid w:val="0043534E"/>
    <w:rsid w:val="004353E7"/>
    <w:rsid w:val="00435442"/>
    <w:rsid w:val="00435449"/>
    <w:rsid w:val="0043545A"/>
    <w:rsid w:val="004354B0"/>
    <w:rsid w:val="0043552E"/>
    <w:rsid w:val="0043563C"/>
    <w:rsid w:val="00435649"/>
    <w:rsid w:val="0043564F"/>
    <w:rsid w:val="0043567E"/>
    <w:rsid w:val="004356B9"/>
    <w:rsid w:val="00435797"/>
    <w:rsid w:val="004358D4"/>
    <w:rsid w:val="00435956"/>
    <w:rsid w:val="0043596B"/>
    <w:rsid w:val="004359F8"/>
    <w:rsid w:val="00435A16"/>
    <w:rsid w:val="00435B7A"/>
    <w:rsid w:val="00435BF3"/>
    <w:rsid w:val="00435C76"/>
    <w:rsid w:val="00435C82"/>
    <w:rsid w:val="00435D52"/>
    <w:rsid w:val="00435DE3"/>
    <w:rsid w:val="00435DF4"/>
    <w:rsid w:val="00435E3C"/>
    <w:rsid w:val="00435E40"/>
    <w:rsid w:val="00435EFF"/>
    <w:rsid w:val="00435F31"/>
    <w:rsid w:val="00436126"/>
    <w:rsid w:val="00436160"/>
    <w:rsid w:val="00436366"/>
    <w:rsid w:val="00436390"/>
    <w:rsid w:val="00436436"/>
    <w:rsid w:val="00436441"/>
    <w:rsid w:val="004364DB"/>
    <w:rsid w:val="00436545"/>
    <w:rsid w:val="004365F4"/>
    <w:rsid w:val="00436648"/>
    <w:rsid w:val="00436681"/>
    <w:rsid w:val="004367E9"/>
    <w:rsid w:val="00436868"/>
    <w:rsid w:val="00436874"/>
    <w:rsid w:val="00436A7A"/>
    <w:rsid w:val="00436AB1"/>
    <w:rsid w:val="00436B0D"/>
    <w:rsid w:val="00436CBB"/>
    <w:rsid w:val="00436CC1"/>
    <w:rsid w:val="00436CCC"/>
    <w:rsid w:val="00436CFB"/>
    <w:rsid w:val="00436CFF"/>
    <w:rsid w:val="00436D31"/>
    <w:rsid w:val="00436D97"/>
    <w:rsid w:val="00436E4F"/>
    <w:rsid w:val="00436F43"/>
    <w:rsid w:val="00436FAC"/>
    <w:rsid w:val="00436FD3"/>
    <w:rsid w:val="0043700F"/>
    <w:rsid w:val="00437020"/>
    <w:rsid w:val="0043710C"/>
    <w:rsid w:val="004371B0"/>
    <w:rsid w:val="004371D9"/>
    <w:rsid w:val="0043733F"/>
    <w:rsid w:val="00437475"/>
    <w:rsid w:val="004375A2"/>
    <w:rsid w:val="004375ED"/>
    <w:rsid w:val="004376A6"/>
    <w:rsid w:val="00437AF2"/>
    <w:rsid w:val="00437CE3"/>
    <w:rsid w:val="00437D24"/>
    <w:rsid w:val="00437D48"/>
    <w:rsid w:val="00437D61"/>
    <w:rsid w:val="00437F49"/>
    <w:rsid w:val="00437F54"/>
    <w:rsid w:val="00437FB3"/>
    <w:rsid w:val="004400F6"/>
    <w:rsid w:val="00440151"/>
    <w:rsid w:val="00440201"/>
    <w:rsid w:val="0044028B"/>
    <w:rsid w:val="0044032D"/>
    <w:rsid w:val="00440482"/>
    <w:rsid w:val="004404A8"/>
    <w:rsid w:val="00440564"/>
    <w:rsid w:val="0044058A"/>
    <w:rsid w:val="00440620"/>
    <w:rsid w:val="00440756"/>
    <w:rsid w:val="00440780"/>
    <w:rsid w:val="00440793"/>
    <w:rsid w:val="004408A8"/>
    <w:rsid w:val="00440999"/>
    <w:rsid w:val="004409BA"/>
    <w:rsid w:val="004409DA"/>
    <w:rsid w:val="004409E0"/>
    <w:rsid w:val="00440BBA"/>
    <w:rsid w:val="00440DFD"/>
    <w:rsid w:val="00440E19"/>
    <w:rsid w:val="00440E5F"/>
    <w:rsid w:val="00441112"/>
    <w:rsid w:val="00441194"/>
    <w:rsid w:val="0044123F"/>
    <w:rsid w:val="0044124C"/>
    <w:rsid w:val="0044134E"/>
    <w:rsid w:val="0044169F"/>
    <w:rsid w:val="004416B9"/>
    <w:rsid w:val="0044172B"/>
    <w:rsid w:val="004417B8"/>
    <w:rsid w:val="0044182E"/>
    <w:rsid w:val="00441870"/>
    <w:rsid w:val="00441B07"/>
    <w:rsid w:val="00441B67"/>
    <w:rsid w:val="00441BE2"/>
    <w:rsid w:val="00441C1E"/>
    <w:rsid w:val="00441C26"/>
    <w:rsid w:val="00441C2B"/>
    <w:rsid w:val="00441C4A"/>
    <w:rsid w:val="00441C83"/>
    <w:rsid w:val="00441CEA"/>
    <w:rsid w:val="00441EB5"/>
    <w:rsid w:val="00441F40"/>
    <w:rsid w:val="00441F81"/>
    <w:rsid w:val="004420C4"/>
    <w:rsid w:val="0044243F"/>
    <w:rsid w:val="00442578"/>
    <w:rsid w:val="004425D6"/>
    <w:rsid w:val="00442618"/>
    <w:rsid w:val="00442686"/>
    <w:rsid w:val="0044274C"/>
    <w:rsid w:val="0044296F"/>
    <w:rsid w:val="004429A7"/>
    <w:rsid w:val="00442B2D"/>
    <w:rsid w:val="00442B46"/>
    <w:rsid w:val="00442C90"/>
    <w:rsid w:val="00442E18"/>
    <w:rsid w:val="00442E61"/>
    <w:rsid w:val="00442E93"/>
    <w:rsid w:val="00442EFA"/>
    <w:rsid w:val="004430AF"/>
    <w:rsid w:val="00443188"/>
    <w:rsid w:val="0044322D"/>
    <w:rsid w:val="004433BB"/>
    <w:rsid w:val="0044343C"/>
    <w:rsid w:val="00443493"/>
    <w:rsid w:val="004434CA"/>
    <w:rsid w:val="004434D3"/>
    <w:rsid w:val="00443585"/>
    <w:rsid w:val="00443728"/>
    <w:rsid w:val="0044372E"/>
    <w:rsid w:val="00443745"/>
    <w:rsid w:val="00443759"/>
    <w:rsid w:val="004437B6"/>
    <w:rsid w:val="004437E2"/>
    <w:rsid w:val="004439A8"/>
    <w:rsid w:val="00443A97"/>
    <w:rsid w:val="00443BE2"/>
    <w:rsid w:val="00443CE7"/>
    <w:rsid w:val="00443D3D"/>
    <w:rsid w:val="00443DB1"/>
    <w:rsid w:val="00443E74"/>
    <w:rsid w:val="00443F01"/>
    <w:rsid w:val="00443FB1"/>
    <w:rsid w:val="0044410D"/>
    <w:rsid w:val="004441A0"/>
    <w:rsid w:val="004441CD"/>
    <w:rsid w:val="004441D5"/>
    <w:rsid w:val="00444219"/>
    <w:rsid w:val="004442E7"/>
    <w:rsid w:val="004443FF"/>
    <w:rsid w:val="00444448"/>
    <w:rsid w:val="004444DD"/>
    <w:rsid w:val="0044457A"/>
    <w:rsid w:val="00444741"/>
    <w:rsid w:val="0044478E"/>
    <w:rsid w:val="004447EA"/>
    <w:rsid w:val="0044485C"/>
    <w:rsid w:val="004448D3"/>
    <w:rsid w:val="00444906"/>
    <w:rsid w:val="00444968"/>
    <w:rsid w:val="0044497F"/>
    <w:rsid w:val="004449DC"/>
    <w:rsid w:val="00444B11"/>
    <w:rsid w:val="00444CBF"/>
    <w:rsid w:val="00444CF6"/>
    <w:rsid w:val="00444D0C"/>
    <w:rsid w:val="00444E98"/>
    <w:rsid w:val="00444ED5"/>
    <w:rsid w:val="00444EE8"/>
    <w:rsid w:val="00444EEB"/>
    <w:rsid w:val="00444F06"/>
    <w:rsid w:val="004450CB"/>
    <w:rsid w:val="00445288"/>
    <w:rsid w:val="004452BB"/>
    <w:rsid w:val="00445360"/>
    <w:rsid w:val="00445362"/>
    <w:rsid w:val="004453FF"/>
    <w:rsid w:val="004454AB"/>
    <w:rsid w:val="00445595"/>
    <w:rsid w:val="0044559C"/>
    <w:rsid w:val="004457AC"/>
    <w:rsid w:val="00445ACC"/>
    <w:rsid w:val="00445BC0"/>
    <w:rsid w:val="00445CD9"/>
    <w:rsid w:val="00445CF6"/>
    <w:rsid w:val="00445E85"/>
    <w:rsid w:val="00445F17"/>
    <w:rsid w:val="00445FC6"/>
    <w:rsid w:val="00446040"/>
    <w:rsid w:val="0044622C"/>
    <w:rsid w:val="004462F5"/>
    <w:rsid w:val="004464F9"/>
    <w:rsid w:val="0044658B"/>
    <w:rsid w:val="004465E8"/>
    <w:rsid w:val="004465FE"/>
    <w:rsid w:val="0044667F"/>
    <w:rsid w:val="004466A4"/>
    <w:rsid w:val="004467BA"/>
    <w:rsid w:val="004467FE"/>
    <w:rsid w:val="0044683D"/>
    <w:rsid w:val="00446866"/>
    <w:rsid w:val="00446976"/>
    <w:rsid w:val="00446988"/>
    <w:rsid w:val="00446B1A"/>
    <w:rsid w:val="00446DA6"/>
    <w:rsid w:val="00446E14"/>
    <w:rsid w:val="00446E57"/>
    <w:rsid w:val="00446ED7"/>
    <w:rsid w:val="00446F3F"/>
    <w:rsid w:val="0044707E"/>
    <w:rsid w:val="004472FF"/>
    <w:rsid w:val="00447369"/>
    <w:rsid w:val="00447380"/>
    <w:rsid w:val="0044742D"/>
    <w:rsid w:val="0044754F"/>
    <w:rsid w:val="004476B1"/>
    <w:rsid w:val="004477EA"/>
    <w:rsid w:val="00447B4B"/>
    <w:rsid w:val="00447CF2"/>
    <w:rsid w:val="00447E73"/>
    <w:rsid w:val="00447EAF"/>
    <w:rsid w:val="00447F15"/>
    <w:rsid w:val="0044C69B"/>
    <w:rsid w:val="00450060"/>
    <w:rsid w:val="00450113"/>
    <w:rsid w:val="004501BF"/>
    <w:rsid w:val="00450374"/>
    <w:rsid w:val="004504CF"/>
    <w:rsid w:val="004506C2"/>
    <w:rsid w:val="00450877"/>
    <w:rsid w:val="0045095F"/>
    <w:rsid w:val="00450A58"/>
    <w:rsid w:val="00450B0B"/>
    <w:rsid w:val="00450BE1"/>
    <w:rsid w:val="00450D4E"/>
    <w:rsid w:val="00450EC5"/>
    <w:rsid w:val="00450F23"/>
    <w:rsid w:val="00450F9E"/>
    <w:rsid w:val="00450FBD"/>
    <w:rsid w:val="00451042"/>
    <w:rsid w:val="00451051"/>
    <w:rsid w:val="00451090"/>
    <w:rsid w:val="0045109C"/>
    <w:rsid w:val="0045113E"/>
    <w:rsid w:val="00451145"/>
    <w:rsid w:val="0045119F"/>
    <w:rsid w:val="004511C8"/>
    <w:rsid w:val="004512FE"/>
    <w:rsid w:val="0045138F"/>
    <w:rsid w:val="004513D1"/>
    <w:rsid w:val="00451529"/>
    <w:rsid w:val="004515AE"/>
    <w:rsid w:val="00451614"/>
    <w:rsid w:val="00451838"/>
    <w:rsid w:val="004518B3"/>
    <w:rsid w:val="00451965"/>
    <w:rsid w:val="004519C1"/>
    <w:rsid w:val="00451A57"/>
    <w:rsid w:val="00451A77"/>
    <w:rsid w:val="00451AC9"/>
    <w:rsid w:val="00451B06"/>
    <w:rsid w:val="00451B25"/>
    <w:rsid w:val="00451BCC"/>
    <w:rsid w:val="00451C1B"/>
    <w:rsid w:val="00451C1C"/>
    <w:rsid w:val="00451C2F"/>
    <w:rsid w:val="00451CCF"/>
    <w:rsid w:val="00451D7A"/>
    <w:rsid w:val="00451FD5"/>
    <w:rsid w:val="0045207A"/>
    <w:rsid w:val="0045222B"/>
    <w:rsid w:val="0045229E"/>
    <w:rsid w:val="0045233C"/>
    <w:rsid w:val="004523B9"/>
    <w:rsid w:val="0045242A"/>
    <w:rsid w:val="00452472"/>
    <w:rsid w:val="004524BF"/>
    <w:rsid w:val="00452637"/>
    <w:rsid w:val="004526AF"/>
    <w:rsid w:val="0045273E"/>
    <w:rsid w:val="00452782"/>
    <w:rsid w:val="004527B4"/>
    <w:rsid w:val="004527B7"/>
    <w:rsid w:val="00452812"/>
    <w:rsid w:val="0045281A"/>
    <w:rsid w:val="0045281C"/>
    <w:rsid w:val="00452907"/>
    <w:rsid w:val="00452912"/>
    <w:rsid w:val="0045296D"/>
    <w:rsid w:val="00452D1D"/>
    <w:rsid w:val="00452DDC"/>
    <w:rsid w:val="00452F27"/>
    <w:rsid w:val="00452F29"/>
    <w:rsid w:val="00452F49"/>
    <w:rsid w:val="00452F71"/>
    <w:rsid w:val="0045300A"/>
    <w:rsid w:val="004531F7"/>
    <w:rsid w:val="00453425"/>
    <w:rsid w:val="004534CC"/>
    <w:rsid w:val="00453508"/>
    <w:rsid w:val="0045353D"/>
    <w:rsid w:val="00453665"/>
    <w:rsid w:val="00453735"/>
    <w:rsid w:val="00453752"/>
    <w:rsid w:val="004537B0"/>
    <w:rsid w:val="00453853"/>
    <w:rsid w:val="00453884"/>
    <w:rsid w:val="004538C0"/>
    <w:rsid w:val="004538C4"/>
    <w:rsid w:val="00453944"/>
    <w:rsid w:val="00453969"/>
    <w:rsid w:val="00453A31"/>
    <w:rsid w:val="00453B24"/>
    <w:rsid w:val="00453B87"/>
    <w:rsid w:val="00453BC3"/>
    <w:rsid w:val="00453BF3"/>
    <w:rsid w:val="00453C11"/>
    <w:rsid w:val="00453C14"/>
    <w:rsid w:val="00453E81"/>
    <w:rsid w:val="00453F11"/>
    <w:rsid w:val="004541AA"/>
    <w:rsid w:val="00454234"/>
    <w:rsid w:val="0045433C"/>
    <w:rsid w:val="004544CB"/>
    <w:rsid w:val="004545A1"/>
    <w:rsid w:val="004545D3"/>
    <w:rsid w:val="004547F0"/>
    <w:rsid w:val="004548C5"/>
    <w:rsid w:val="0045494A"/>
    <w:rsid w:val="004549A6"/>
    <w:rsid w:val="00454BEC"/>
    <w:rsid w:val="00454BF1"/>
    <w:rsid w:val="00454C05"/>
    <w:rsid w:val="00454D5E"/>
    <w:rsid w:val="00454D89"/>
    <w:rsid w:val="00454DEB"/>
    <w:rsid w:val="00454E49"/>
    <w:rsid w:val="00454E7F"/>
    <w:rsid w:val="00454F95"/>
    <w:rsid w:val="004550A0"/>
    <w:rsid w:val="004550ED"/>
    <w:rsid w:val="0045519B"/>
    <w:rsid w:val="004551C3"/>
    <w:rsid w:val="0045538D"/>
    <w:rsid w:val="004553D5"/>
    <w:rsid w:val="00455413"/>
    <w:rsid w:val="0045542F"/>
    <w:rsid w:val="00455472"/>
    <w:rsid w:val="0045559E"/>
    <w:rsid w:val="004555FB"/>
    <w:rsid w:val="004556B9"/>
    <w:rsid w:val="004556D6"/>
    <w:rsid w:val="00455712"/>
    <w:rsid w:val="00455791"/>
    <w:rsid w:val="00455880"/>
    <w:rsid w:val="00455911"/>
    <w:rsid w:val="0045598C"/>
    <w:rsid w:val="004559B8"/>
    <w:rsid w:val="00455A4E"/>
    <w:rsid w:val="00455C33"/>
    <w:rsid w:val="00455C47"/>
    <w:rsid w:val="00455C5E"/>
    <w:rsid w:val="00455C65"/>
    <w:rsid w:val="00455CE0"/>
    <w:rsid w:val="00455DC4"/>
    <w:rsid w:val="00455E7D"/>
    <w:rsid w:val="00455EC1"/>
    <w:rsid w:val="00455F4A"/>
    <w:rsid w:val="00456017"/>
    <w:rsid w:val="004560A3"/>
    <w:rsid w:val="00456153"/>
    <w:rsid w:val="00456215"/>
    <w:rsid w:val="004563AD"/>
    <w:rsid w:val="004563B9"/>
    <w:rsid w:val="004563CE"/>
    <w:rsid w:val="00456470"/>
    <w:rsid w:val="0045654D"/>
    <w:rsid w:val="0045656C"/>
    <w:rsid w:val="0045663C"/>
    <w:rsid w:val="0045665E"/>
    <w:rsid w:val="00456674"/>
    <w:rsid w:val="004566B8"/>
    <w:rsid w:val="004566F9"/>
    <w:rsid w:val="004567FE"/>
    <w:rsid w:val="00456899"/>
    <w:rsid w:val="004568F5"/>
    <w:rsid w:val="00456971"/>
    <w:rsid w:val="004569EF"/>
    <w:rsid w:val="00456A72"/>
    <w:rsid w:val="00456B14"/>
    <w:rsid w:val="00456C80"/>
    <w:rsid w:val="00456C97"/>
    <w:rsid w:val="00456CBF"/>
    <w:rsid w:val="00456D0B"/>
    <w:rsid w:val="00456D85"/>
    <w:rsid w:val="00456EC6"/>
    <w:rsid w:val="00456F23"/>
    <w:rsid w:val="00457120"/>
    <w:rsid w:val="00457145"/>
    <w:rsid w:val="004572E6"/>
    <w:rsid w:val="004572EE"/>
    <w:rsid w:val="00457440"/>
    <w:rsid w:val="004574B6"/>
    <w:rsid w:val="00457548"/>
    <w:rsid w:val="004575F9"/>
    <w:rsid w:val="0045761D"/>
    <w:rsid w:val="00457728"/>
    <w:rsid w:val="0045775F"/>
    <w:rsid w:val="00457790"/>
    <w:rsid w:val="00457825"/>
    <w:rsid w:val="0045789D"/>
    <w:rsid w:val="004578D8"/>
    <w:rsid w:val="00457A1F"/>
    <w:rsid w:val="00457BA2"/>
    <w:rsid w:val="00457BB0"/>
    <w:rsid w:val="00457DC7"/>
    <w:rsid w:val="00457DD9"/>
    <w:rsid w:val="00457E10"/>
    <w:rsid w:val="00457E48"/>
    <w:rsid w:val="00457E87"/>
    <w:rsid w:val="00457F59"/>
    <w:rsid w:val="004600A4"/>
    <w:rsid w:val="00460160"/>
    <w:rsid w:val="004601BF"/>
    <w:rsid w:val="0046020E"/>
    <w:rsid w:val="004603F5"/>
    <w:rsid w:val="00460485"/>
    <w:rsid w:val="0046061D"/>
    <w:rsid w:val="0046065D"/>
    <w:rsid w:val="004606D8"/>
    <w:rsid w:val="00460702"/>
    <w:rsid w:val="00460772"/>
    <w:rsid w:val="00460820"/>
    <w:rsid w:val="00460906"/>
    <w:rsid w:val="0046093A"/>
    <w:rsid w:val="00460956"/>
    <w:rsid w:val="00460B8E"/>
    <w:rsid w:val="00460CC0"/>
    <w:rsid w:val="00460D0B"/>
    <w:rsid w:val="00460F11"/>
    <w:rsid w:val="00460F25"/>
    <w:rsid w:val="00460F9E"/>
    <w:rsid w:val="00460F9F"/>
    <w:rsid w:val="004610EC"/>
    <w:rsid w:val="00461130"/>
    <w:rsid w:val="004611AC"/>
    <w:rsid w:val="0046129B"/>
    <w:rsid w:val="0046135E"/>
    <w:rsid w:val="00461388"/>
    <w:rsid w:val="004613C1"/>
    <w:rsid w:val="004613E7"/>
    <w:rsid w:val="0046164F"/>
    <w:rsid w:val="004617B3"/>
    <w:rsid w:val="004617C6"/>
    <w:rsid w:val="00461815"/>
    <w:rsid w:val="0046185C"/>
    <w:rsid w:val="004618D5"/>
    <w:rsid w:val="00461AAC"/>
    <w:rsid w:val="00461AEE"/>
    <w:rsid w:val="00461C0C"/>
    <w:rsid w:val="00461CE5"/>
    <w:rsid w:val="00461F13"/>
    <w:rsid w:val="00461F8F"/>
    <w:rsid w:val="004620A3"/>
    <w:rsid w:val="004621AE"/>
    <w:rsid w:val="0046222C"/>
    <w:rsid w:val="0046227E"/>
    <w:rsid w:val="004622FA"/>
    <w:rsid w:val="0046231B"/>
    <w:rsid w:val="00462398"/>
    <w:rsid w:val="0046241F"/>
    <w:rsid w:val="00462453"/>
    <w:rsid w:val="00462505"/>
    <w:rsid w:val="004627D8"/>
    <w:rsid w:val="0046285E"/>
    <w:rsid w:val="00462887"/>
    <w:rsid w:val="004628D1"/>
    <w:rsid w:val="004629D8"/>
    <w:rsid w:val="00462A9F"/>
    <w:rsid w:val="00462AA2"/>
    <w:rsid w:val="00462AB6"/>
    <w:rsid w:val="00462AFE"/>
    <w:rsid w:val="00462C45"/>
    <w:rsid w:val="00462C4F"/>
    <w:rsid w:val="00462C75"/>
    <w:rsid w:val="00462CC8"/>
    <w:rsid w:val="00462D70"/>
    <w:rsid w:val="00462FF2"/>
    <w:rsid w:val="004630C1"/>
    <w:rsid w:val="004632B2"/>
    <w:rsid w:val="00463414"/>
    <w:rsid w:val="004634B1"/>
    <w:rsid w:val="0046373D"/>
    <w:rsid w:val="00463A1F"/>
    <w:rsid w:val="00463C13"/>
    <w:rsid w:val="00463C4C"/>
    <w:rsid w:val="00463CAA"/>
    <w:rsid w:val="00463E28"/>
    <w:rsid w:val="00463E2B"/>
    <w:rsid w:val="00463F6D"/>
    <w:rsid w:val="00463FCA"/>
    <w:rsid w:val="0046400B"/>
    <w:rsid w:val="004640A3"/>
    <w:rsid w:val="004640A7"/>
    <w:rsid w:val="00464123"/>
    <w:rsid w:val="00464125"/>
    <w:rsid w:val="00464131"/>
    <w:rsid w:val="0046437E"/>
    <w:rsid w:val="00464572"/>
    <w:rsid w:val="004645EC"/>
    <w:rsid w:val="004646B7"/>
    <w:rsid w:val="00464723"/>
    <w:rsid w:val="004647B8"/>
    <w:rsid w:val="004649E0"/>
    <w:rsid w:val="004649EB"/>
    <w:rsid w:val="00464BC7"/>
    <w:rsid w:val="00464C27"/>
    <w:rsid w:val="00464C55"/>
    <w:rsid w:val="00464C6B"/>
    <w:rsid w:val="00464C78"/>
    <w:rsid w:val="00464C7E"/>
    <w:rsid w:val="00464E37"/>
    <w:rsid w:val="00464EA9"/>
    <w:rsid w:val="00464FEC"/>
    <w:rsid w:val="00465031"/>
    <w:rsid w:val="004650B8"/>
    <w:rsid w:val="0046515C"/>
    <w:rsid w:val="004651CC"/>
    <w:rsid w:val="00465237"/>
    <w:rsid w:val="00465240"/>
    <w:rsid w:val="004653B9"/>
    <w:rsid w:val="0046543B"/>
    <w:rsid w:val="00465474"/>
    <w:rsid w:val="004654CC"/>
    <w:rsid w:val="00465504"/>
    <w:rsid w:val="00465507"/>
    <w:rsid w:val="00465549"/>
    <w:rsid w:val="004657D0"/>
    <w:rsid w:val="004659A0"/>
    <w:rsid w:val="00465A46"/>
    <w:rsid w:val="00465CD0"/>
    <w:rsid w:val="00465E1D"/>
    <w:rsid w:val="00465E59"/>
    <w:rsid w:val="00465E8F"/>
    <w:rsid w:val="00465EA5"/>
    <w:rsid w:val="00465EBC"/>
    <w:rsid w:val="00465ECC"/>
    <w:rsid w:val="00465F8F"/>
    <w:rsid w:val="0046607F"/>
    <w:rsid w:val="0046611C"/>
    <w:rsid w:val="0046614A"/>
    <w:rsid w:val="00466347"/>
    <w:rsid w:val="00466578"/>
    <w:rsid w:val="00466762"/>
    <w:rsid w:val="004668F0"/>
    <w:rsid w:val="00466905"/>
    <w:rsid w:val="00466942"/>
    <w:rsid w:val="004669E1"/>
    <w:rsid w:val="00466A71"/>
    <w:rsid w:val="00466C09"/>
    <w:rsid w:val="00466C6C"/>
    <w:rsid w:val="00466EB7"/>
    <w:rsid w:val="00466EB8"/>
    <w:rsid w:val="00466EC4"/>
    <w:rsid w:val="00466EFC"/>
    <w:rsid w:val="00466FF7"/>
    <w:rsid w:val="00467096"/>
    <w:rsid w:val="0046717F"/>
    <w:rsid w:val="00467392"/>
    <w:rsid w:val="004673A1"/>
    <w:rsid w:val="0046743C"/>
    <w:rsid w:val="00467460"/>
    <w:rsid w:val="004674B9"/>
    <w:rsid w:val="004674C2"/>
    <w:rsid w:val="0046756A"/>
    <w:rsid w:val="004675E2"/>
    <w:rsid w:val="004675E7"/>
    <w:rsid w:val="004677EA"/>
    <w:rsid w:val="00467839"/>
    <w:rsid w:val="00467848"/>
    <w:rsid w:val="00467AA4"/>
    <w:rsid w:val="00467B95"/>
    <w:rsid w:val="00467C4A"/>
    <w:rsid w:val="00467D2A"/>
    <w:rsid w:val="00467FD9"/>
    <w:rsid w:val="00470186"/>
    <w:rsid w:val="004701B2"/>
    <w:rsid w:val="00470210"/>
    <w:rsid w:val="0047021A"/>
    <w:rsid w:val="00470256"/>
    <w:rsid w:val="0047026A"/>
    <w:rsid w:val="00470314"/>
    <w:rsid w:val="0047035C"/>
    <w:rsid w:val="0047045D"/>
    <w:rsid w:val="004704B0"/>
    <w:rsid w:val="004705F8"/>
    <w:rsid w:val="0047065E"/>
    <w:rsid w:val="00470842"/>
    <w:rsid w:val="004708F7"/>
    <w:rsid w:val="004709E8"/>
    <w:rsid w:val="00470A96"/>
    <w:rsid w:val="00470AA0"/>
    <w:rsid w:val="00470B2E"/>
    <w:rsid w:val="00470B47"/>
    <w:rsid w:val="00470CC6"/>
    <w:rsid w:val="00470D8D"/>
    <w:rsid w:val="00470E3A"/>
    <w:rsid w:val="00470EA4"/>
    <w:rsid w:val="00470EF5"/>
    <w:rsid w:val="00470F38"/>
    <w:rsid w:val="0047100B"/>
    <w:rsid w:val="004710AB"/>
    <w:rsid w:val="0047125B"/>
    <w:rsid w:val="004712DB"/>
    <w:rsid w:val="004712F7"/>
    <w:rsid w:val="004713CF"/>
    <w:rsid w:val="0047150D"/>
    <w:rsid w:val="0047151A"/>
    <w:rsid w:val="0047151F"/>
    <w:rsid w:val="004716BF"/>
    <w:rsid w:val="004716E0"/>
    <w:rsid w:val="0047172F"/>
    <w:rsid w:val="004718C8"/>
    <w:rsid w:val="00471963"/>
    <w:rsid w:val="0047199E"/>
    <w:rsid w:val="004719E9"/>
    <w:rsid w:val="00471A88"/>
    <w:rsid w:val="00471BF0"/>
    <w:rsid w:val="00471CD8"/>
    <w:rsid w:val="00471D62"/>
    <w:rsid w:val="00471D83"/>
    <w:rsid w:val="00471D8A"/>
    <w:rsid w:val="00471E01"/>
    <w:rsid w:val="00471FF4"/>
    <w:rsid w:val="00472065"/>
    <w:rsid w:val="004720F0"/>
    <w:rsid w:val="00472192"/>
    <w:rsid w:val="004721C0"/>
    <w:rsid w:val="0047224F"/>
    <w:rsid w:val="00472256"/>
    <w:rsid w:val="00472384"/>
    <w:rsid w:val="00472673"/>
    <w:rsid w:val="0047274F"/>
    <w:rsid w:val="004727FA"/>
    <w:rsid w:val="00472890"/>
    <w:rsid w:val="00472946"/>
    <w:rsid w:val="00472D07"/>
    <w:rsid w:val="00472EA9"/>
    <w:rsid w:val="00473067"/>
    <w:rsid w:val="00473109"/>
    <w:rsid w:val="0047318C"/>
    <w:rsid w:val="004732FC"/>
    <w:rsid w:val="00473510"/>
    <w:rsid w:val="00473513"/>
    <w:rsid w:val="00473524"/>
    <w:rsid w:val="00473674"/>
    <w:rsid w:val="00473725"/>
    <w:rsid w:val="0047374E"/>
    <w:rsid w:val="00473764"/>
    <w:rsid w:val="00473A05"/>
    <w:rsid w:val="00473A83"/>
    <w:rsid w:val="00473AA1"/>
    <w:rsid w:val="00473BBC"/>
    <w:rsid w:val="00473BF8"/>
    <w:rsid w:val="00473C9F"/>
    <w:rsid w:val="00473CC5"/>
    <w:rsid w:val="00473CC7"/>
    <w:rsid w:val="00473EB8"/>
    <w:rsid w:val="00473EC3"/>
    <w:rsid w:val="00473FAE"/>
    <w:rsid w:val="00473FB7"/>
    <w:rsid w:val="00473FDB"/>
    <w:rsid w:val="0047409E"/>
    <w:rsid w:val="004740C4"/>
    <w:rsid w:val="004740E1"/>
    <w:rsid w:val="004740EE"/>
    <w:rsid w:val="004741A5"/>
    <w:rsid w:val="00474334"/>
    <w:rsid w:val="0047457D"/>
    <w:rsid w:val="004745BF"/>
    <w:rsid w:val="004745DB"/>
    <w:rsid w:val="004745E4"/>
    <w:rsid w:val="00474604"/>
    <w:rsid w:val="0047478B"/>
    <w:rsid w:val="00474831"/>
    <w:rsid w:val="00474962"/>
    <w:rsid w:val="004749AB"/>
    <w:rsid w:val="00474AC1"/>
    <w:rsid w:val="00474D30"/>
    <w:rsid w:val="00474E2C"/>
    <w:rsid w:val="00474E30"/>
    <w:rsid w:val="00475037"/>
    <w:rsid w:val="00475063"/>
    <w:rsid w:val="004753C2"/>
    <w:rsid w:val="004753CF"/>
    <w:rsid w:val="00475448"/>
    <w:rsid w:val="0047545E"/>
    <w:rsid w:val="00475573"/>
    <w:rsid w:val="00475654"/>
    <w:rsid w:val="00475727"/>
    <w:rsid w:val="0047589A"/>
    <w:rsid w:val="004758CB"/>
    <w:rsid w:val="004758DB"/>
    <w:rsid w:val="0047592B"/>
    <w:rsid w:val="00475930"/>
    <w:rsid w:val="00475B11"/>
    <w:rsid w:val="00475BDA"/>
    <w:rsid w:val="00475BF7"/>
    <w:rsid w:val="00475C70"/>
    <w:rsid w:val="00475CDF"/>
    <w:rsid w:val="00475CEA"/>
    <w:rsid w:val="00475E12"/>
    <w:rsid w:val="00475F49"/>
    <w:rsid w:val="00476066"/>
    <w:rsid w:val="00476085"/>
    <w:rsid w:val="004760C1"/>
    <w:rsid w:val="004762A4"/>
    <w:rsid w:val="004762E5"/>
    <w:rsid w:val="0047637E"/>
    <w:rsid w:val="004763DD"/>
    <w:rsid w:val="0047659A"/>
    <w:rsid w:val="00476671"/>
    <w:rsid w:val="00476751"/>
    <w:rsid w:val="004767B0"/>
    <w:rsid w:val="0047681F"/>
    <w:rsid w:val="004768AA"/>
    <w:rsid w:val="004768FF"/>
    <w:rsid w:val="00476A6E"/>
    <w:rsid w:val="00476B7D"/>
    <w:rsid w:val="00476C6A"/>
    <w:rsid w:val="00476D42"/>
    <w:rsid w:val="00476EA4"/>
    <w:rsid w:val="00476F79"/>
    <w:rsid w:val="004770E0"/>
    <w:rsid w:val="00477481"/>
    <w:rsid w:val="00477695"/>
    <w:rsid w:val="004776F9"/>
    <w:rsid w:val="00477701"/>
    <w:rsid w:val="00477716"/>
    <w:rsid w:val="0047772F"/>
    <w:rsid w:val="004777DF"/>
    <w:rsid w:val="00477823"/>
    <w:rsid w:val="004778BD"/>
    <w:rsid w:val="0047799F"/>
    <w:rsid w:val="00477AD1"/>
    <w:rsid w:val="00477B50"/>
    <w:rsid w:val="00477BC2"/>
    <w:rsid w:val="00477BD2"/>
    <w:rsid w:val="00477CD8"/>
    <w:rsid w:val="00477EEA"/>
    <w:rsid w:val="00477F0B"/>
    <w:rsid w:val="00477F3D"/>
    <w:rsid w:val="004800AD"/>
    <w:rsid w:val="0048019F"/>
    <w:rsid w:val="00480223"/>
    <w:rsid w:val="0048023B"/>
    <w:rsid w:val="004802AB"/>
    <w:rsid w:val="004802BF"/>
    <w:rsid w:val="00480444"/>
    <w:rsid w:val="0048050C"/>
    <w:rsid w:val="0048059C"/>
    <w:rsid w:val="004805CB"/>
    <w:rsid w:val="004806BF"/>
    <w:rsid w:val="00480715"/>
    <w:rsid w:val="0048075A"/>
    <w:rsid w:val="0048097A"/>
    <w:rsid w:val="00480AD3"/>
    <w:rsid w:val="00480B02"/>
    <w:rsid w:val="00480B3E"/>
    <w:rsid w:val="00480B8A"/>
    <w:rsid w:val="00480BAC"/>
    <w:rsid w:val="00480DF0"/>
    <w:rsid w:val="00480EE1"/>
    <w:rsid w:val="00480FA6"/>
    <w:rsid w:val="00480FB8"/>
    <w:rsid w:val="00481017"/>
    <w:rsid w:val="004810B6"/>
    <w:rsid w:val="00481101"/>
    <w:rsid w:val="0048116C"/>
    <w:rsid w:val="004811DC"/>
    <w:rsid w:val="00481201"/>
    <w:rsid w:val="004812A6"/>
    <w:rsid w:val="00481615"/>
    <w:rsid w:val="004816C1"/>
    <w:rsid w:val="0048186D"/>
    <w:rsid w:val="00481914"/>
    <w:rsid w:val="00481981"/>
    <w:rsid w:val="004819F6"/>
    <w:rsid w:val="00481A5E"/>
    <w:rsid w:val="00481A6A"/>
    <w:rsid w:val="00481AD8"/>
    <w:rsid w:val="00481AFC"/>
    <w:rsid w:val="00481C0E"/>
    <w:rsid w:val="00481C5A"/>
    <w:rsid w:val="00481D5F"/>
    <w:rsid w:val="00481F99"/>
    <w:rsid w:val="00481FB1"/>
    <w:rsid w:val="00481FE1"/>
    <w:rsid w:val="004820C7"/>
    <w:rsid w:val="004820D9"/>
    <w:rsid w:val="00482176"/>
    <w:rsid w:val="00482248"/>
    <w:rsid w:val="00482377"/>
    <w:rsid w:val="0048238B"/>
    <w:rsid w:val="0048245F"/>
    <w:rsid w:val="00482741"/>
    <w:rsid w:val="0048279D"/>
    <w:rsid w:val="004827A9"/>
    <w:rsid w:val="00482814"/>
    <w:rsid w:val="004828C3"/>
    <w:rsid w:val="00482926"/>
    <w:rsid w:val="00482990"/>
    <w:rsid w:val="00482D1D"/>
    <w:rsid w:val="00482D3E"/>
    <w:rsid w:val="00482E24"/>
    <w:rsid w:val="00482F59"/>
    <w:rsid w:val="00483057"/>
    <w:rsid w:val="0048312C"/>
    <w:rsid w:val="00483231"/>
    <w:rsid w:val="0048325E"/>
    <w:rsid w:val="00483265"/>
    <w:rsid w:val="0048340C"/>
    <w:rsid w:val="004835EA"/>
    <w:rsid w:val="004836C8"/>
    <w:rsid w:val="00483783"/>
    <w:rsid w:val="00483850"/>
    <w:rsid w:val="0048394D"/>
    <w:rsid w:val="00483B72"/>
    <w:rsid w:val="00483BC4"/>
    <w:rsid w:val="00483D1C"/>
    <w:rsid w:val="00483D36"/>
    <w:rsid w:val="00483F24"/>
    <w:rsid w:val="00484074"/>
    <w:rsid w:val="004840D6"/>
    <w:rsid w:val="004840FD"/>
    <w:rsid w:val="00484135"/>
    <w:rsid w:val="004841A9"/>
    <w:rsid w:val="004841E4"/>
    <w:rsid w:val="0048427A"/>
    <w:rsid w:val="00484300"/>
    <w:rsid w:val="0048438C"/>
    <w:rsid w:val="00484396"/>
    <w:rsid w:val="004845AF"/>
    <w:rsid w:val="0048475A"/>
    <w:rsid w:val="004847A3"/>
    <w:rsid w:val="0048482E"/>
    <w:rsid w:val="004848C6"/>
    <w:rsid w:val="00484936"/>
    <w:rsid w:val="004849A5"/>
    <w:rsid w:val="00484A6F"/>
    <w:rsid w:val="00484BA9"/>
    <w:rsid w:val="00484BE5"/>
    <w:rsid w:val="00484C61"/>
    <w:rsid w:val="00484D39"/>
    <w:rsid w:val="00484E4E"/>
    <w:rsid w:val="00484F58"/>
    <w:rsid w:val="00484F97"/>
    <w:rsid w:val="00484FB4"/>
    <w:rsid w:val="0048502E"/>
    <w:rsid w:val="00485149"/>
    <w:rsid w:val="004851F2"/>
    <w:rsid w:val="004853E1"/>
    <w:rsid w:val="0048546F"/>
    <w:rsid w:val="00485495"/>
    <w:rsid w:val="004856DB"/>
    <w:rsid w:val="0048578C"/>
    <w:rsid w:val="004858FA"/>
    <w:rsid w:val="00485AA6"/>
    <w:rsid w:val="00485AF4"/>
    <w:rsid w:val="00485BF2"/>
    <w:rsid w:val="00485DE9"/>
    <w:rsid w:val="00485E4A"/>
    <w:rsid w:val="00485EED"/>
    <w:rsid w:val="00485F4C"/>
    <w:rsid w:val="00485FED"/>
    <w:rsid w:val="0048605F"/>
    <w:rsid w:val="0048606B"/>
    <w:rsid w:val="00486157"/>
    <w:rsid w:val="0048632B"/>
    <w:rsid w:val="0048649D"/>
    <w:rsid w:val="00486510"/>
    <w:rsid w:val="0048664B"/>
    <w:rsid w:val="004867AC"/>
    <w:rsid w:val="004867AF"/>
    <w:rsid w:val="004868BA"/>
    <w:rsid w:val="0048694B"/>
    <w:rsid w:val="0048697A"/>
    <w:rsid w:val="004869DB"/>
    <w:rsid w:val="00486B1C"/>
    <w:rsid w:val="00486B49"/>
    <w:rsid w:val="00486BBE"/>
    <w:rsid w:val="00486C13"/>
    <w:rsid w:val="00486C59"/>
    <w:rsid w:val="00486E97"/>
    <w:rsid w:val="00486EED"/>
    <w:rsid w:val="00486F16"/>
    <w:rsid w:val="00486FDD"/>
    <w:rsid w:val="004870BB"/>
    <w:rsid w:val="00487179"/>
    <w:rsid w:val="004871F0"/>
    <w:rsid w:val="0048736D"/>
    <w:rsid w:val="0048736F"/>
    <w:rsid w:val="004874AA"/>
    <w:rsid w:val="004874F8"/>
    <w:rsid w:val="00487528"/>
    <w:rsid w:val="004875A9"/>
    <w:rsid w:val="00487801"/>
    <w:rsid w:val="00487841"/>
    <w:rsid w:val="00487899"/>
    <w:rsid w:val="00487948"/>
    <w:rsid w:val="00487AD5"/>
    <w:rsid w:val="00487B22"/>
    <w:rsid w:val="00487B41"/>
    <w:rsid w:val="00487D2E"/>
    <w:rsid w:val="00487D5C"/>
    <w:rsid w:val="00487D96"/>
    <w:rsid w:val="00487E8E"/>
    <w:rsid w:val="00487F6A"/>
    <w:rsid w:val="00490073"/>
    <w:rsid w:val="00490088"/>
    <w:rsid w:val="0049038A"/>
    <w:rsid w:val="00490391"/>
    <w:rsid w:val="004903CA"/>
    <w:rsid w:val="004903DB"/>
    <w:rsid w:val="0049040D"/>
    <w:rsid w:val="0049058E"/>
    <w:rsid w:val="004905AB"/>
    <w:rsid w:val="0049062E"/>
    <w:rsid w:val="004906F0"/>
    <w:rsid w:val="0049097C"/>
    <w:rsid w:val="004909AB"/>
    <w:rsid w:val="00490A38"/>
    <w:rsid w:val="00490AE0"/>
    <w:rsid w:val="00490B58"/>
    <w:rsid w:val="00490BA4"/>
    <w:rsid w:val="00490BC8"/>
    <w:rsid w:val="00490BCC"/>
    <w:rsid w:val="00490C16"/>
    <w:rsid w:val="00490C27"/>
    <w:rsid w:val="00490C64"/>
    <w:rsid w:val="00490C90"/>
    <w:rsid w:val="00490CB5"/>
    <w:rsid w:val="00490DF7"/>
    <w:rsid w:val="00490E79"/>
    <w:rsid w:val="00490F3C"/>
    <w:rsid w:val="00490FA1"/>
    <w:rsid w:val="00490FDD"/>
    <w:rsid w:val="0049111F"/>
    <w:rsid w:val="00491141"/>
    <w:rsid w:val="00491217"/>
    <w:rsid w:val="0049123D"/>
    <w:rsid w:val="00491269"/>
    <w:rsid w:val="004912C8"/>
    <w:rsid w:val="00491491"/>
    <w:rsid w:val="00491521"/>
    <w:rsid w:val="00491563"/>
    <w:rsid w:val="00491587"/>
    <w:rsid w:val="004915FB"/>
    <w:rsid w:val="0049171C"/>
    <w:rsid w:val="00491782"/>
    <w:rsid w:val="004917D7"/>
    <w:rsid w:val="0049180A"/>
    <w:rsid w:val="00491917"/>
    <w:rsid w:val="004919DF"/>
    <w:rsid w:val="00491A50"/>
    <w:rsid w:val="00491A66"/>
    <w:rsid w:val="00491A71"/>
    <w:rsid w:val="00491A89"/>
    <w:rsid w:val="00491AC8"/>
    <w:rsid w:val="00491ADA"/>
    <w:rsid w:val="00491BA0"/>
    <w:rsid w:val="00491C4E"/>
    <w:rsid w:val="00491CDB"/>
    <w:rsid w:val="00491E6D"/>
    <w:rsid w:val="00491EAF"/>
    <w:rsid w:val="00491F0D"/>
    <w:rsid w:val="00491FC5"/>
    <w:rsid w:val="00491FEF"/>
    <w:rsid w:val="00492133"/>
    <w:rsid w:val="0049214D"/>
    <w:rsid w:val="00492259"/>
    <w:rsid w:val="004922C0"/>
    <w:rsid w:val="00492344"/>
    <w:rsid w:val="00492360"/>
    <w:rsid w:val="00492776"/>
    <w:rsid w:val="004927D6"/>
    <w:rsid w:val="00492A4A"/>
    <w:rsid w:val="00492AEA"/>
    <w:rsid w:val="00492B87"/>
    <w:rsid w:val="00492C9E"/>
    <w:rsid w:val="00492D79"/>
    <w:rsid w:val="00492E22"/>
    <w:rsid w:val="00492E25"/>
    <w:rsid w:val="00492F72"/>
    <w:rsid w:val="00492F91"/>
    <w:rsid w:val="00492FD6"/>
    <w:rsid w:val="00493227"/>
    <w:rsid w:val="004932CB"/>
    <w:rsid w:val="004933DD"/>
    <w:rsid w:val="0049347E"/>
    <w:rsid w:val="004934CD"/>
    <w:rsid w:val="00493557"/>
    <w:rsid w:val="004935F9"/>
    <w:rsid w:val="004937C2"/>
    <w:rsid w:val="0049397C"/>
    <w:rsid w:val="004939C0"/>
    <w:rsid w:val="00493BD7"/>
    <w:rsid w:val="00493C03"/>
    <w:rsid w:val="00493DC9"/>
    <w:rsid w:val="00493E9A"/>
    <w:rsid w:val="00493F8C"/>
    <w:rsid w:val="00494107"/>
    <w:rsid w:val="004941BF"/>
    <w:rsid w:val="00494373"/>
    <w:rsid w:val="00494430"/>
    <w:rsid w:val="004944E4"/>
    <w:rsid w:val="004945E0"/>
    <w:rsid w:val="004945E7"/>
    <w:rsid w:val="0049467F"/>
    <w:rsid w:val="00494A3B"/>
    <w:rsid w:val="00494AAC"/>
    <w:rsid w:val="00494ADC"/>
    <w:rsid w:val="00494AF1"/>
    <w:rsid w:val="00494B21"/>
    <w:rsid w:val="00494C35"/>
    <w:rsid w:val="00494CF9"/>
    <w:rsid w:val="00494DD0"/>
    <w:rsid w:val="00494E96"/>
    <w:rsid w:val="00494F47"/>
    <w:rsid w:val="004950FF"/>
    <w:rsid w:val="00495143"/>
    <w:rsid w:val="0049537A"/>
    <w:rsid w:val="004953E2"/>
    <w:rsid w:val="004954D1"/>
    <w:rsid w:val="004954DA"/>
    <w:rsid w:val="0049567F"/>
    <w:rsid w:val="00495762"/>
    <w:rsid w:val="004959F7"/>
    <w:rsid w:val="00495A84"/>
    <w:rsid w:val="00495B30"/>
    <w:rsid w:val="00495B40"/>
    <w:rsid w:val="00495B4A"/>
    <w:rsid w:val="00495B6B"/>
    <w:rsid w:val="00495BD0"/>
    <w:rsid w:val="00495C18"/>
    <w:rsid w:val="00495CC0"/>
    <w:rsid w:val="00495D06"/>
    <w:rsid w:val="00495DFE"/>
    <w:rsid w:val="00495E00"/>
    <w:rsid w:val="00495EAE"/>
    <w:rsid w:val="00495FEB"/>
    <w:rsid w:val="0049611E"/>
    <w:rsid w:val="004961E4"/>
    <w:rsid w:val="004962D2"/>
    <w:rsid w:val="0049636C"/>
    <w:rsid w:val="004963AB"/>
    <w:rsid w:val="004963F8"/>
    <w:rsid w:val="0049646D"/>
    <w:rsid w:val="0049647E"/>
    <w:rsid w:val="00496487"/>
    <w:rsid w:val="00496585"/>
    <w:rsid w:val="004965F2"/>
    <w:rsid w:val="004965FB"/>
    <w:rsid w:val="0049691E"/>
    <w:rsid w:val="004969A3"/>
    <w:rsid w:val="00496D08"/>
    <w:rsid w:val="00496D37"/>
    <w:rsid w:val="00496D4E"/>
    <w:rsid w:val="00496DE4"/>
    <w:rsid w:val="00496E1A"/>
    <w:rsid w:val="00496E1B"/>
    <w:rsid w:val="00496E72"/>
    <w:rsid w:val="00496EBB"/>
    <w:rsid w:val="00496F6C"/>
    <w:rsid w:val="00496FE3"/>
    <w:rsid w:val="004970E6"/>
    <w:rsid w:val="00497111"/>
    <w:rsid w:val="00497242"/>
    <w:rsid w:val="0049724F"/>
    <w:rsid w:val="004972C1"/>
    <w:rsid w:val="00497418"/>
    <w:rsid w:val="0049759F"/>
    <w:rsid w:val="00497614"/>
    <w:rsid w:val="004976B9"/>
    <w:rsid w:val="004977A9"/>
    <w:rsid w:val="004977FD"/>
    <w:rsid w:val="00497838"/>
    <w:rsid w:val="0049791A"/>
    <w:rsid w:val="00497999"/>
    <w:rsid w:val="00497A3E"/>
    <w:rsid w:val="00497BA0"/>
    <w:rsid w:val="00497C3A"/>
    <w:rsid w:val="00497DE9"/>
    <w:rsid w:val="00497E94"/>
    <w:rsid w:val="00497F6E"/>
    <w:rsid w:val="00497F80"/>
    <w:rsid w:val="004A0060"/>
    <w:rsid w:val="004A008A"/>
    <w:rsid w:val="004A0120"/>
    <w:rsid w:val="004A0168"/>
    <w:rsid w:val="004A019D"/>
    <w:rsid w:val="004A029B"/>
    <w:rsid w:val="004A02B1"/>
    <w:rsid w:val="004A032B"/>
    <w:rsid w:val="004A04CD"/>
    <w:rsid w:val="004A08C6"/>
    <w:rsid w:val="004A0989"/>
    <w:rsid w:val="004A0A2D"/>
    <w:rsid w:val="004A0A94"/>
    <w:rsid w:val="004A0CDB"/>
    <w:rsid w:val="004A0ED1"/>
    <w:rsid w:val="004A0EDC"/>
    <w:rsid w:val="004A0F11"/>
    <w:rsid w:val="004A1035"/>
    <w:rsid w:val="004A10A1"/>
    <w:rsid w:val="004A11A4"/>
    <w:rsid w:val="004A11AC"/>
    <w:rsid w:val="004A1209"/>
    <w:rsid w:val="004A132C"/>
    <w:rsid w:val="004A1354"/>
    <w:rsid w:val="004A1439"/>
    <w:rsid w:val="004A15C2"/>
    <w:rsid w:val="004A17C1"/>
    <w:rsid w:val="004A1884"/>
    <w:rsid w:val="004A1B95"/>
    <w:rsid w:val="004A1D06"/>
    <w:rsid w:val="004A2048"/>
    <w:rsid w:val="004A20D6"/>
    <w:rsid w:val="004A21BE"/>
    <w:rsid w:val="004A21C2"/>
    <w:rsid w:val="004A2235"/>
    <w:rsid w:val="004A224D"/>
    <w:rsid w:val="004A228D"/>
    <w:rsid w:val="004A22F1"/>
    <w:rsid w:val="004A2614"/>
    <w:rsid w:val="004A26DA"/>
    <w:rsid w:val="004A2839"/>
    <w:rsid w:val="004A2909"/>
    <w:rsid w:val="004A2911"/>
    <w:rsid w:val="004A2949"/>
    <w:rsid w:val="004A2B78"/>
    <w:rsid w:val="004A2BBD"/>
    <w:rsid w:val="004A2C21"/>
    <w:rsid w:val="004A2CB9"/>
    <w:rsid w:val="004A2CBD"/>
    <w:rsid w:val="004A2EA3"/>
    <w:rsid w:val="004A2EBE"/>
    <w:rsid w:val="004A2ED8"/>
    <w:rsid w:val="004A2F47"/>
    <w:rsid w:val="004A2F7B"/>
    <w:rsid w:val="004A2FC9"/>
    <w:rsid w:val="004A3137"/>
    <w:rsid w:val="004A3149"/>
    <w:rsid w:val="004A316B"/>
    <w:rsid w:val="004A3269"/>
    <w:rsid w:val="004A33AB"/>
    <w:rsid w:val="004A33EB"/>
    <w:rsid w:val="004A3494"/>
    <w:rsid w:val="004A3632"/>
    <w:rsid w:val="004A363F"/>
    <w:rsid w:val="004A3668"/>
    <w:rsid w:val="004A3669"/>
    <w:rsid w:val="004A36D2"/>
    <w:rsid w:val="004A3724"/>
    <w:rsid w:val="004A3798"/>
    <w:rsid w:val="004A37BD"/>
    <w:rsid w:val="004A37D7"/>
    <w:rsid w:val="004A3922"/>
    <w:rsid w:val="004A396E"/>
    <w:rsid w:val="004A3990"/>
    <w:rsid w:val="004A39F5"/>
    <w:rsid w:val="004A3B0D"/>
    <w:rsid w:val="004A3B18"/>
    <w:rsid w:val="004A3BD3"/>
    <w:rsid w:val="004A3D15"/>
    <w:rsid w:val="004A3D24"/>
    <w:rsid w:val="004A3E31"/>
    <w:rsid w:val="004A3E82"/>
    <w:rsid w:val="004A3F22"/>
    <w:rsid w:val="004A3F7A"/>
    <w:rsid w:val="004A4008"/>
    <w:rsid w:val="004A400A"/>
    <w:rsid w:val="004A40B1"/>
    <w:rsid w:val="004A41E1"/>
    <w:rsid w:val="004A4221"/>
    <w:rsid w:val="004A4244"/>
    <w:rsid w:val="004A4312"/>
    <w:rsid w:val="004A446A"/>
    <w:rsid w:val="004A44C3"/>
    <w:rsid w:val="004A44E8"/>
    <w:rsid w:val="004A44F0"/>
    <w:rsid w:val="004A4612"/>
    <w:rsid w:val="004A48FF"/>
    <w:rsid w:val="004A4960"/>
    <w:rsid w:val="004A4A06"/>
    <w:rsid w:val="004A4C82"/>
    <w:rsid w:val="004A4CF1"/>
    <w:rsid w:val="004A4E40"/>
    <w:rsid w:val="004A4EB2"/>
    <w:rsid w:val="004A4F3E"/>
    <w:rsid w:val="004A51EB"/>
    <w:rsid w:val="004A52DB"/>
    <w:rsid w:val="004A52F0"/>
    <w:rsid w:val="004A5345"/>
    <w:rsid w:val="004A54B1"/>
    <w:rsid w:val="004A55EC"/>
    <w:rsid w:val="004A565E"/>
    <w:rsid w:val="004A5770"/>
    <w:rsid w:val="004A5B93"/>
    <w:rsid w:val="004A5BDF"/>
    <w:rsid w:val="004A5C56"/>
    <w:rsid w:val="004A5D5D"/>
    <w:rsid w:val="004A5FF3"/>
    <w:rsid w:val="004A6003"/>
    <w:rsid w:val="004A60B2"/>
    <w:rsid w:val="004A60E0"/>
    <w:rsid w:val="004A610F"/>
    <w:rsid w:val="004A6344"/>
    <w:rsid w:val="004A63A4"/>
    <w:rsid w:val="004A65FF"/>
    <w:rsid w:val="004A6748"/>
    <w:rsid w:val="004A6795"/>
    <w:rsid w:val="004A6807"/>
    <w:rsid w:val="004A6942"/>
    <w:rsid w:val="004A6BA9"/>
    <w:rsid w:val="004A6BB1"/>
    <w:rsid w:val="004A6BE6"/>
    <w:rsid w:val="004A6CBF"/>
    <w:rsid w:val="004A6E74"/>
    <w:rsid w:val="004A7027"/>
    <w:rsid w:val="004A7049"/>
    <w:rsid w:val="004A713F"/>
    <w:rsid w:val="004A7223"/>
    <w:rsid w:val="004A7449"/>
    <w:rsid w:val="004A7453"/>
    <w:rsid w:val="004A7481"/>
    <w:rsid w:val="004A76CA"/>
    <w:rsid w:val="004A77DB"/>
    <w:rsid w:val="004A7801"/>
    <w:rsid w:val="004A7856"/>
    <w:rsid w:val="004A78F5"/>
    <w:rsid w:val="004A7A16"/>
    <w:rsid w:val="004A7B46"/>
    <w:rsid w:val="004A7CD8"/>
    <w:rsid w:val="004A7D56"/>
    <w:rsid w:val="004A7DBD"/>
    <w:rsid w:val="004A7E58"/>
    <w:rsid w:val="004B000F"/>
    <w:rsid w:val="004B002B"/>
    <w:rsid w:val="004B017B"/>
    <w:rsid w:val="004B01C4"/>
    <w:rsid w:val="004B03FD"/>
    <w:rsid w:val="004B04EE"/>
    <w:rsid w:val="004B054C"/>
    <w:rsid w:val="004B057D"/>
    <w:rsid w:val="004B05AB"/>
    <w:rsid w:val="004B064B"/>
    <w:rsid w:val="004B073F"/>
    <w:rsid w:val="004B078D"/>
    <w:rsid w:val="004B09BA"/>
    <w:rsid w:val="004B0A01"/>
    <w:rsid w:val="004B0A8E"/>
    <w:rsid w:val="004B0A91"/>
    <w:rsid w:val="004B0AF4"/>
    <w:rsid w:val="004B0B2D"/>
    <w:rsid w:val="004B0B4A"/>
    <w:rsid w:val="004B0B6F"/>
    <w:rsid w:val="004B0BAB"/>
    <w:rsid w:val="004B0BE7"/>
    <w:rsid w:val="004B0C26"/>
    <w:rsid w:val="004B0C4D"/>
    <w:rsid w:val="004B0C8E"/>
    <w:rsid w:val="004B0CEE"/>
    <w:rsid w:val="004B0E69"/>
    <w:rsid w:val="004B0EC6"/>
    <w:rsid w:val="004B10BF"/>
    <w:rsid w:val="004B10CB"/>
    <w:rsid w:val="004B1198"/>
    <w:rsid w:val="004B11A5"/>
    <w:rsid w:val="004B1308"/>
    <w:rsid w:val="004B136F"/>
    <w:rsid w:val="004B1417"/>
    <w:rsid w:val="004B16F2"/>
    <w:rsid w:val="004B1759"/>
    <w:rsid w:val="004B1902"/>
    <w:rsid w:val="004B1979"/>
    <w:rsid w:val="004B19E5"/>
    <w:rsid w:val="004B1A2B"/>
    <w:rsid w:val="004B1AE3"/>
    <w:rsid w:val="004B1AE9"/>
    <w:rsid w:val="004B1BC9"/>
    <w:rsid w:val="004B1BDB"/>
    <w:rsid w:val="004B1C7D"/>
    <w:rsid w:val="004B1D90"/>
    <w:rsid w:val="004B1F70"/>
    <w:rsid w:val="004B1FAC"/>
    <w:rsid w:val="004B20AF"/>
    <w:rsid w:val="004B2173"/>
    <w:rsid w:val="004B224F"/>
    <w:rsid w:val="004B2348"/>
    <w:rsid w:val="004B238C"/>
    <w:rsid w:val="004B2483"/>
    <w:rsid w:val="004B24AB"/>
    <w:rsid w:val="004B24D8"/>
    <w:rsid w:val="004B24DF"/>
    <w:rsid w:val="004B2567"/>
    <w:rsid w:val="004B2594"/>
    <w:rsid w:val="004B27C0"/>
    <w:rsid w:val="004B27D7"/>
    <w:rsid w:val="004B28D5"/>
    <w:rsid w:val="004B28D8"/>
    <w:rsid w:val="004B2918"/>
    <w:rsid w:val="004B2A34"/>
    <w:rsid w:val="004B2ACA"/>
    <w:rsid w:val="004B2BD0"/>
    <w:rsid w:val="004B2C0C"/>
    <w:rsid w:val="004B2C8A"/>
    <w:rsid w:val="004B2DF3"/>
    <w:rsid w:val="004B2DF5"/>
    <w:rsid w:val="004B2E4A"/>
    <w:rsid w:val="004B2E73"/>
    <w:rsid w:val="004B2F4F"/>
    <w:rsid w:val="004B3039"/>
    <w:rsid w:val="004B312F"/>
    <w:rsid w:val="004B31FD"/>
    <w:rsid w:val="004B3297"/>
    <w:rsid w:val="004B32C4"/>
    <w:rsid w:val="004B33A2"/>
    <w:rsid w:val="004B35C9"/>
    <w:rsid w:val="004B369F"/>
    <w:rsid w:val="004B37E5"/>
    <w:rsid w:val="004B3868"/>
    <w:rsid w:val="004B387E"/>
    <w:rsid w:val="004B38BB"/>
    <w:rsid w:val="004B392A"/>
    <w:rsid w:val="004B3946"/>
    <w:rsid w:val="004B3B83"/>
    <w:rsid w:val="004B3B99"/>
    <w:rsid w:val="004B3D29"/>
    <w:rsid w:val="004B3EA6"/>
    <w:rsid w:val="004B3F14"/>
    <w:rsid w:val="004B3F15"/>
    <w:rsid w:val="004B3FD4"/>
    <w:rsid w:val="004B4036"/>
    <w:rsid w:val="004B4054"/>
    <w:rsid w:val="004B40E9"/>
    <w:rsid w:val="004B40F1"/>
    <w:rsid w:val="004B414C"/>
    <w:rsid w:val="004B4262"/>
    <w:rsid w:val="004B42CD"/>
    <w:rsid w:val="004B4316"/>
    <w:rsid w:val="004B4325"/>
    <w:rsid w:val="004B44A6"/>
    <w:rsid w:val="004B4518"/>
    <w:rsid w:val="004B456A"/>
    <w:rsid w:val="004B457E"/>
    <w:rsid w:val="004B45B0"/>
    <w:rsid w:val="004B46B8"/>
    <w:rsid w:val="004B4752"/>
    <w:rsid w:val="004B48BC"/>
    <w:rsid w:val="004B4A83"/>
    <w:rsid w:val="004B4BFA"/>
    <w:rsid w:val="004B4D01"/>
    <w:rsid w:val="004B4F97"/>
    <w:rsid w:val="004B5078"/>
    <w:rsid w:val="004B50F9"/>
    <w:rsid w:val="004B5109"/>
    <w:rsid w:val="004B5178"/>
    <w:rsid w:val="004B524C"/>
    <w:rsid w:val="004B5285"/>
    <w:rsid w:val="004B5328"/>
    <w:rsid w:val="004B5356"/>
    <w:rsid w:val="004B5483"/>
    <w:rsid w:val="004B54CF"/>
    <w:rsid w:val="004B5502"/>
    <w:rsid w:val="004B5507"/>
    <w:rsid w:val="004B551E"/>
    <w:rsid w:val="004B5628"/>
    <w:rsid w:val="004B564E"/>
    <w:rsid w:val="004B576D"/>
    <w:rsid w:val="004B5787"/>
    <w:rsid w:val="004B58C0"/>
    <w:rsid w:val="004B59F8"/>
    <w:rsid w:val="004B5A31"/>
    <w:rsid w:val="004B5AC6"/>
    <w:rsid w:val="004B5B20"/>
    <w:rsid w:val="004B5B5D"/>
    <w:rsid w:val="004B5BDA"/>
    <w:rsid w:val="004B5E3D"/>
    <w:rsid w:val="004B5EA1"/>
    <w:rsid w:val="004B5FED"/>
    <w:rsid w:val="004B605A"/>
    <w:rsid w:val="004B61DC"/>
    <w:rsid w:val="004B61ED"/>
    <w:rsid w:val="004B6230"/>
    <w:rsid w:val="004B6237"/>
    <w:rsid w:val="004B628C"/>
    <w:rsid w:val="004B674C"/>
    <w:rsid w:val="004B691B"/>
    <w:rsid w:val="004B6B1B"/>
    <w:rsid w:val="004B6B63"/>
    <w:rsid w:val="004B6CE1"/>
    <w:rsid w:val="004B6F2A"/>
    <w:rsid w:val="004B7088"/>
    <w:rsid w:val="004B713B"/>
    <w:rsid w:val="004B718B"/>
    <w:rsid w:val="004B71E1"/>
    <w:rsid w:val="004B71EA"/>
    <w:rsid w:val="004B7257"/>
    <w:rsid w:val="004B731D"/>
    <w:rsid w:val="004B738A"/>
    <w:rsid w:val="004B741A"/>
    <w:rsid w:val="004B7502"/>
    <w:rsid w:val="004B7515"/>
    <w:rsid w:val="004B7527"/>
    <w:rsid w:val="004B75A1"/>
    <w:rsid w:val="004B75A9"/>
    <w:rsid w:val="004B75AB"/>
    <w:rsid w:val="004B75BB"/>
    <w:rsid w:val="004B75FA"/>
    <w:rsid w:val="004B7640"/>
    <w:rsid w:val="004B7665"/>
    <w:rsid w:val="004B769C"/>
    <w:rsid w:val="004B7768"/>
    <w:rsid w:val="004B777D"/>
    <w:rsid w:val="004B7981"/>
    <w:rsid w:val="004B7BBC"/>
    <w:rsid w:val="004B7C33"/>
    <w:rsid w:val="004B7CAC"/>
    <w:rsid w:val="004B7DF6"/>
    <w:rsid w:val="004B7E05"/>
    <w:rsid w:val="004B7E6C"/>
    <w:rsid w:val="004B7F0D"/>
    <w:rsid w:val="004B7F30"/>
    <w:rsid w:val="004B7F32"/>
    <w:rsid w:val="004B7F81"/>
    <w:rsid w:val="004B7FB8"/>
    <w:rsid w:val="004C0059"/>
    <w:rsid w:val="004C0197"/>
    <w:rsid w:val="004C0207"/>
    <w:rsid w:val="004C029D"/>
    <w:rsid w:val="004C036C"/>
    <w:rsid w:val="004C0442"/>
    <w:rsid w:val="004C0542"/>
    <w:rsid w:val="004C057E"/>
    <w:rsid w:val="004C05DD"/>
    <w:rsid w:val="004C07E0"/>
    <w:rsid w:val="004C08FD"/>
    <w:rsid w:val="004C0909"/>
    <w:rsid w:val="004C093E"/>
    <w:rsid w:val="004C0A2F"/>
    <w:rsid w:val="004C0B3E"/>
    <w:rsid w:val="004C0D10"/>
    <w:rsid w:val="004C0E4B"/>
    <w:rsid w:val="004C105B"/>
    <w:rsid w:val="004C10E0"/>
    <w:rsid w:val="004C1379"/>
    <w:rsid w:val="004C14C1"/>
    <w:rsid w:val="004C1605"/>
    <w:rsid w:val="004C1658"/>
    <w:rsid w:val="004C1697"/>
    <w:rsid w:val="004C182F"/>
    <w:rsid w:val="004C18DF"/>
    <w:rsid w:val="004C1966"/>
    <w:rsid w:val="004C19A8"/>
    <w:rsid w:val="004C19B7"/>
    <w:rsid w:val="004C1A2C"/>
    <w:rsid w:val="004C1A64"/>
    <w:rsid w:val="004C1A9C"/>
    <w:rsid w:val="004C1AC0"/>
    <w:rsid w:val="004C1AF1"/>
    <w:rsid w:val="004C1B28"/>
    <w:rsid w:val="004C1C1F"/>
    <w:rsid w:val="004C1C56"/>
    <w:rsid w:val="004C1CC8"/>
    <w:rsid w:val="004C1DED"/>
    <w:rsid w:val="004C1EC1"/>
    <w:rsid w:val="004C1F3E"/>
    <w:rsid w:val="004C204B"/>
    <w:rsid w:val="004C21B2"/>
    <w:rsid w:val="004C2202"/>
    <w:rsid w:val="004C2270"/>
    <w:rsid w:val="004C2317"/>
    <w:rsid w:val="004C236C"/>
    <w:rsid w:val="004C240E"/>
    <w:rsid w:val="004C2414"/>
    <w:rsid w:val="004C249C"/>
    <w:rsid w:val="004C259B"/>
    <w:rsid w:val="004C2872"/>
    <w:rsid w:val="004C289C"/>
    <w:rsid w:val="004C29AF"/>
    <w:rsid w:val="004C2ACF"/>
    <w:rsid w:val="004C2B98"/>
    <w:rsid w:val="004C2BA8"/>
    <w:rsid w:val="004C2C2F"/>
    <w:rsid w:val="004C2D00"/>
    <w:rsid w:val="004C2E20"/>
    <w:rsid w:val="004C2E35"/>
    <w:rsid w:val="004C2EEB"/>
    <w:rsid w:val="004C2FCE"/>
    <w:rsid w:val="004C3233"/>
    <w:rsid w:val="004C32FC"/>
    <w:rsid w:val="004C3327"/>
    <w:rsid w:val="004C336A"/>
    <w:rsid w:val="004C33AD"/>
    <w:rsid w:val="004C34CB"/>
    <w:rsid w:val="004C3538"/>
    <w:rsid w:val="004C35EA"/>
    <w:rsid w:val="004C35FF"/>
    <w:rsid w:val="004C363E"/>
    <w:rsid w:val="004C36BA"/>
    <w:rsid w:val="004C36FC"/>
    <w:rsid w:val="004C38B1"/>
    <w:rsid w:val="004C38F5"/>
    <w:rsid w:val="004C3ADB"/>
    <w:rsid w:val="004C3BCD"/>
    <w:rsid w:val="004C3C01"/>
    <w:rsid w:val="004C3D02"/>
    <w:rsid w:val="004C3DC5"/>
    <w:rsid w:val="004C3E60"/>
    <w:rsid w:val="004C3E90"/>
    <w:rsid w:val="004C3EB0"/>
    <w:rsid w:val="004C3F49"/>
    <w:rsid w:val="004C3F82"/>
    <w:rsid w:val="004C4263"/>
    <w:rsid w:val="004C42FE"/>
    <w:rsid w:val="004C43B4"/>
    <w:rsid w:val="004C440E"/>
    <w:rsid w:val="004C444E"/>
    <w:rsid w:val="004C44C4"/>
    <w:rsid w:val="004C468B"/>
    <w:rsid w:val="004C477D"/>
    <w:rsid w:val="004C4D4E"/>
    <w:rsid w:val="004C4E8D"/>
    <w:rsid w:val="004C4FF2"/>
    <w:rsid w:val="004C50FD"/>
    <w:rsid w:val="004C50FE"/>
    <w:rsid w:val="004C5189"/>
    <w:rsid w:val="004C51C7"/>
    <w:rsid w:val="004C5298"/>
    <w:rsid w:val="004C52A4"/>
    <w:rsid w:val="004C5448"/>
    <w:rsid w:val="004C54CA"/>
    <w:rsid w:val="004C552E"/>
    <w:rsid w:val="004C5685"/>
    <w:rsid w:val="004C5711"/>
    <w:rsid w:val="004C5856"/>
    <w:rsid w:val="004C59D8"/>
    <w:rsid w:val="004C5B90"/>
    <w:rsid w:val="004C5BEC"/>
    <w:rsid w:val="004C5D66"/>
    <w:rsid w:val="004C5DF2"/>
    <w:rsid w:val="004C5E67"/>
    <w:rsid w:val="004C5EDB"/>
    <w:rsid w:val="004C5EE7"/>
    <w:rsid w:val="004C5F8C"/>
    <w:rsid w:val="004C6165"/>
    <w:rsid w:val="004C6186"/>
    <w:rsid w:val="004C61BB"/>
    <w:rsid w:val="004C6297"/>
    <w:rsid w:val="004C62B5"/>
    <w:rsid w:val="004C62E3"/>
    <w:rsid w:val="004C631D"/>
    <w:rsid w:val="004C6442"/>
    <w:rsid w:val="004C649B"/>
    <w:rsid w:val="004C67DF"/>
    <w:rsid w:val="004C682C"/>
    <w:rsid w:val="004C68EA"/>
    <w:rsid w:val="004C6A53"/>
    <w:rsid w:val="004C6AB6"/>
    <w:rsid w:val="004C6BB0"/>
    <w:rsid w:val="004C6BCA"/>
    <w:rsid w:val="004C6CBD"/>
    <w:rsid w:val="004C6F8E"/>
    <w:rsid w:val="004C6FAF"/>
    <w:rsid w:val="004C6FFC"/>
    <w:rsid w:val="004C70CC"/>
    <w:rsid w:val="004C7181"/>
    <w:rsid w:val="004C726A"/>
    <w:rsid w:val="004C7294"/>
    <w:rsid w:val="004C7361"/>
    <w:rsid w:val="004C737D"/>
    <w:rsid w:val="004C73EB"/>
    <w:rsid w:val="004C748A"/>
    <w:rsid w:val="004C74A5"/>
    <w:rsid w:val="004C74F0"/>
    <w:rsid w:val="004C75EF"/>
    <w:rsid w:val="004C76D3"/>
    <w:rsid w:val="004C76E7"/>
    <w:rsid w:val="004C774D"/>
    <w:rsid w:val="004C784F"/>
    <w:rsid w:val="004C787C"/>
    <w:rsid w:val="004C79F4"/>
    <w:rsid w:val="004C7A65"/>
    <w:rsid w:val="004C7AFE"/>
    <w:rsid w:val="004C7B84"/>
    <w:rsid w:val="004C7BBC"/>
    <w:rsid w:val="004C7BE1"/>
    <w:rsid w:val="004C7C5F"/>
    <w:rsid w:val="004C7CBA"/>
    <w:rsid w:val="004C7CD2"/>
    <w:rsid w:val="004C7D9A"/>
    <w:rsid w:val="004C7D9C"/>
    <w:rsid w:val="004C7DC2"/>
    <w:rsid w:val="004C7E51"/>
    <w:rsid w:val="004C7F2F"/>
    <w:rsid w:val="004D002C"/>
    <w:rsid w:val="004D0039"/>
    <w:rsid w:val="004D00AE"/>
    <w:rsid w:val="004D01AA"/>
    <w:rsid w:val="004D0235"/>
    <w:rsid w:val="004D026C"/>
    <w:rsid w:val="004D02CB"/>
    <w:rsid w:val="004D040F"/>
    <w:rsid w:val="004D0672"/>
    <w:rsid w:val="004D0758"/>
    <w:rsid w:val="004D0777"/>
    <w:rsid w:val="004D07D6"/>
    <w:rsid w:val="004D08C6"/>
    <w:rsid w:val="004D08F4"/>
    <w:rsid w:val="004D0961"/>
    <w:rsid w:val="004D09D7"/>
    <w:rsid w:val="004D0A5E"/>
    <w:rsid w:val="004D0D9E"/>
    <w:rsid w:val="004D0E10"/>
    <w:rsid w:val="004D0FE2"/>
    <w:rsid w:val="004D1067"/>
    <w:rsid w:val="004D12D6"/>
    <w:rsid w:val="004D13AB"/>
    <w:rsid w:val="004D1419"/>
    <w:rsid w:val="004D147E"/>
    <w:rsid w:val="004D1719"/>
    <w:rsid w:val="004D1776"/>
    <w:rsid w:val="004D17E7"/>
    <w:rsid w:val="004D18F7"/>
    <w:rsid w:val="004D19DD"/>
    <w:rsid w:val="004D1A32"/>
    <w:rsid w:val="004D1A58"/>
    <w:rsid w:val="004D1DC6"/>
    <w:rsid w:val="004D2126"/>
    <w:rsid w:val="004D2155"/>
    <w:rsid w:val="004D2164"/>
    <w:rsid w:val="004D2210"/>
    <w:rsid w:val="004D2409"/>
    <w:rsid w:val="004D2438"/>
    <w:rsid w:val="004D24AB"/>
    <w:rsid w:val="004D25FA"/>
    <w:rsid w:val="004D262B"/>
    <w:rsid w:val="004D2768"/>
    <w:rsid w:val="004D282D"/>
    <w:rsid w:val="004D284E"/>
    <w:rsid w:val="004D2931"/>
    <w:rsid w:val="004D2AD1"/>
    <w:rsid w:val="004D2BA2"/>
    <w:rsid w:val="004D2D1A"/>
    <w:rsid w:val="004D2D53"/>
    <w:rsid w:val="004D2D7E"/>
    <w:rsid w:val="004D2D97"/>
    <w:rsid w:val="004D2DB2"/>
    <w:rsid w:val="004D2DD1"/>
    <w:rsid w:val="004D2E87"/>
    <w:rsid w:val="004D2EB9"/>
    <w:rsid w:val="004D2F9A"/>
    <w:rsid w:val="004D30C8"/>
    <w:rsid w:val="004D321C"/>
    <w:rsid w:val="004D3247"/>
    <w:rsid w:val="004D3328"/>
    <w:rsid w:val="004D3353"/>
    <w:rsid w:val="004D3374"/>
    <w:rsid w:val="004D346C"/>
    <w:rsid w:val="004D34C2"/>
    <w:rsid w:val="004D3582"/>
    <w:rsid w:val="004D3688"/>
    <w:rsid w:val="004D3756"/>
    <w:rsid w:val="004D375C"/>
    <w:rsid w:val="004D375E"/>
    <w:rsid w:val="004D3890"/>
    <w:rsid w:val="004D38AE"/>
    <w:rsid w:val="004D3912"/>
    <w:rsid w:val="004D3922"/>
    <w:rsid w:val="004D3979"/>
    <w:rsid w:val="004D39ED"/>
    <w:rsid w:val="004D3B73"/>
    <w:rsid w:val="004D3E3F"/>
    <w:rsid w:val="004D3F6E"/>
    <w:rsid w:val="004D3FA7"/>
    <w:rsid w:val="004D403F"/>
    <w:rsid w:val="004D4169"/>
    <w:rsid w:val="004D42E9"/>
    <w:rsid w:val="004D4524"/>
    <w:rsid w:val="004D4661"/>
    <w:rsid w:val="004D47C7"/>
    <w:rsid w:val="004D4859"/>
    <w:rsid w:val="004D4983"/>
    <w:rsid w:val="004D4AD5"/>
    <w:rsid w:val="004D4B41"/>
    <w:rsid w:val="004D4B74"/>
    <w:rsid w:val="004D4B94"/>
    <w:rsid w:val="004D4BDD"/>
    <w:rsid w:val="004D4C25"/>
    <w:rsid w:val="004D4C9F"/>
    <w:rsid w:val="004D4CFB"/>
    <w:rsid w:val="004D4E17"/>
    <w:rsid w:val="004D4F14"/>
    <w:rsid w:val="004D4FB2"/>
    <w:rsid w:val="004D5056"/>
    <w:rsid w:val="004D5078"/>
    <w:rsid w:val="004D512C"/>
    <w:rsid w:val="004D5147"/>
    <w:rsid w:val="004D5166"/>
    <w:rsid w:val="004D528C"/>
    <w:rsid w:val="004D5386"/>
    <w:rsid w:val="004D53D8"/>
    <w:rsid w:val="004D5575"/>
    <w:rsid w:val="004D5A10"/>
    <w:rsid w:val="004D5C86"/>
    <w:rsid w:val="004D5DA0"/>
    <w:rsid w:val="004D5E1C"/>
    <w:rsid w:val="004D5F3B"/>
    <w:rsid w:val="004D5F52"/>
    <w:rsid w:val="004D5FA1"/>
    <w:rsid w:val="004D601C"/>
    <w:rsid w:val="004D6089"/>
    <w:rsid w:val="004D60F2"/>
    <w:rsid w:val="004D60F7"/>
    <w:rsid w:val="004D612A"/>
    <w:rsid w:val="004D61D1"/>
    <w:rsid w:val="004D6327"/>
    <w:rsid w:val="004D6333"/>
    <w:rsid w:val="004D656A"/>
    <w:rsid w:val="004D67B9"/>
    <w:rsid w:val="004D67CF"/>
    <w:rsid w:val="004D67F7"/>
    <w:rsid w:val="004D6808"/>
    <w:rsid w:val="004D695E"/>
    <w:rsid w:val="004D6A4A"/>
    <w:rsid w:val="004D6AB4"/>
    <w:rsid w:val="004D6CBB"/>
    <w:rsid w:val="004D6E9F"/>
    <w:rsid w:val="004D7010"/>
    <w:rsid w:val="004D703D"/>
    <w:rsid w:val="004D704D"/>
    <w:rsid w:val="004D7070"/>
    <w:rsid w:val="004D734C"/>
    <w:rsid w:val="004D74CA"/>
    <w:rsid w:val="004D7551"/>
    <w:rsid w:val="004D755E"/>
    <w:rsid w:val="004D7663"/>
    <w:rsid w:val="004D76E2"/>
    <w:rsid w:val="004D77DD"/>
    <w:rsid w:val="004D77F9"/>
    <w:rsid w:val="004D78D8"/>
    <w:rsid w:val="004D7920"/>
    <w:rsid w:val="004D79CA"/>
    <w:rsid w:val="004D7A25"/>
    <w:rsid w:val="004D7AF0"/>
    <w:rsid w:val="004D7B45"/>
    <w:rsid w:val="004D7C5C"/>
    <w:rsid w:val="004D7D77"/>
    <w:rsid w:val="004D7DF1"/>
    <w:rsid w:val="004D7F00"/>
    <w:rsid w:val="004D7F28"/>
    <w:rsid w:val="004D7FBD"/>
    <w:rsid w:val="004E0056"/>
    <w:rsid w:val="004E009C"/>
    <w:rsid w:val="004E00CA"/>
    <w:rsid w:val="004E014A"/>
    <w:rsid w:val="004E016A"/>
    <w:rsid w:val="004E0240"/>
    <w:rsid w:val="004E028F"/>
    <w:rsid w:val="004E02D7"/>
    <w:rsid w:val="004E036C"/>
    <w:rsid w:val="004E05A3"/>
    <w:rsid w:val="004E05B0"/>
    <w:rsid w:val="004E065D"/>
    <w:rsid w:val="004E0713"/>
    <w:rsid w:val="004E0775"/>
    <w:rsid w:val="004E077A"/>
    <w:rsid w:val="004E07FD"/>
    <w:rsid w:val="004E0835"/>
    <w:rsid w:val="004E084A"/>
    <w:rsid w:val="004E08AB"/>
    <w:rsid w:val="004E0900"/>
    <w:rsid w:val="004E094D"/>
    <w:rsid w:val="004E0A45"/>
    <w:rsid w:val="004E0B36"/>
    <w:rsid w:val="004E0B68"/>
    <w:rsid w:val="004E0CF7"/>
    <w:rsid w:val="004E0DBB"/>
    <w:rsid w:val="004E1064"/>
    <w:rsid w:val="004E10C6"/>
    <w:rsid w:val="004E10E6"/>
    <w:rsid w:val="004E144F"/>
    <w:rsid w:val="004E1511"/>
    <w:rsid w:val="004E1528"/>
    <w:rsid w:val="004E15C9"/>
    <w:rsid w:val="004E1626"/>
    <w:rsid w:val="004E1641"/>
    <w:rsid w:val="004E1691"/>
    <w:rsid w:val="004E1694"/>
    <w:rsid w:val="004E1753"/>
    <w:rsid w:val="004E17A1"/>
    <w:rsid w:val="004E1A1D"/>
    <w:rsid w:val="004E1B2A"/>
    <w:rsid w:val="004E1BDE"/>
    <w:rsid w:val="004E1CA4"/>
    <w:rsid w:val="004E1D2E"/>
    <w:rsid w:val="004E1D46"/>
    <w:rsid w:val="004E1DB1"/>
    <w:rsid w:val="004E1E69"/>
    <w:rsid w:val="004E1ED7"/>
    <w:rsid w:val="004E1F71"/>
    <w:rsid w:val="004E1FCC"/>
    <w:rsid w:val="004E1FE7"/>
    <w:rsid w:val="004E2063"/>
    <w:rsid w:val="004E2067"/>
    <w:rsid w:val="004E22CD"/>
    <w:rsid w:val="004E24BD"/>
    <w:rsid w:val="004E252C"/>
    <w:rsid w:val="004E2770"/>
    <w:rsid w:val="004E2826"/>
    <w:rsid w:val="004E29A5"/>
    <w:rsid w:val="004E2A2F"/>
    <w:rsid w:val="004E2B83"/>
    <w:rsid w:val="004E2BB3"/>
    <w:rsid w:val="004E2C82"/>
    <w:rsid w:val="004E2D66"/>
    <w:rsid w:val="004E2DA8"/>
    <w:rsid w:val="004E2E50"/>
    <w:rsid w:val="004E2F1A"/>
    <w:rsid w:val="004E2F3F"/>
    <w:rsid w:val="004E2F86"/>
    <w:rsid w:val="004E2FD5"/>
    <w:rsid w:val="004E3037"/>
    <w:rsid w:val="004E306E"/>
    <w:rsid w:val="004E30DA"/>
    <w:rsid w:val="004E3397"/>
    <w:rsid w:val="004E3411"/>
    <w:rsid w:val="004E3447"/>
    <w:rsid w:val="004E3599"/>
    <w:rsid w:val="004E35F1"/>
    <w:rsid w:val="004E375A"/>
    <w:rsid w:val="004E3904"/>
    <w:rsid w:val="004E3949"/>
    <w:rsid w:val="004E39FC"/>
    <w:rsid w:val="004E3A25"/>
    <w:rsid w:val="004E3AD8"/>
    <w:rsid w:val="004E3BD7"/>
    <w:rsid w:val="004E3C36"/>
    <w:rsid w:val="004E3C80"/>
    <w:rsid w:val="004E3D1D"/>
    <w:rsid w:val="004E3E44"/>
    <w:rsid w:val="004E3E87"/>
    <w:rsid w:val="004E3F43"/>
    <w:rsid w:val="004E402B"/>
    <w:rsid w:val="004E410E"/>
    <w:rsid w:val="004E41C7"/>
    <w:rsid w:val="004E41FE"/>
    <w:rsid w:val="004E424D"/>
    <w:rsid w:val="004E431D"/>
    <w:rsid w:val="004E4338"/>
    <w:rsid w:val="004E438E"/>
    <w:rsid w:val="004E43AE"/>
    <w:rsid w:val="004E4410"/>
    <w:rsid w:val="004E443E"/>
    <w:rsid w:val="004E4487"/>
    <w:rsid w:val="004E45A1"/>
    <w:rsid w:val="004E45D8"/>
    <w:rsid w:val="004E470A"/>
    <w:rsid w:val="004E479B"/>
    <w:rsid w:val="004E4882"/>
    <w:rsid w:val="004E48F1"/>
    <w:rsid w:val="004E4BBD"/>
    <w:rsid w:val="004E4C1F"/>
    <w:rsid w:val="004E4C91"/>
    <w:rsid w:val="004E4CC2"/>
    <w:rsid w:val="004E4CE1"/>
    <w:rsid w:val="004E4D9B"/>
    <w:rsid w:val="004E4DFB"/>
    <w:rsid w:val="004E4E13"/>
    <w:rsid w:val="004E535D"/>
    <w:rsid w:val="004E55E7"/>
    <w:rsid w:val="004E5611"/>
    <w:rsid w:val="004E56B1"/>
    <w:rsid w:val="004E5726"/>
    <w:rsid w:val="004E5991"/>
    <w:rsid w:val="004E5A53"/>
    <w:rsid w:val="004E5AA9"/>
    <w:rsid w:val="004E5AAD"/>
    <w:rsid w:val="004E5AE8"/>
    <w:rsid w:val="004E5D1A"/>
    <w:rsid w:val="004E5DD3"/>
    <w:rsid w:val="004E5EDC"/>
    <w:rsid w:val="004E5EE5"/>
    <w:rsid w:val="004E631E"/>
    <w:rsid w:val="004E65C7"/>
    <w:rsid w:val="004E6600"/>
    <w:rsid w:val="004E6932"/>
    <w:rsid w:val="004E6943"/>
    <w:rsid w:val="004E69F1"/>
    <w:rsid w:val="004E6B44"/>
    <w:rsid w:val="004E6C63"/>
    <w:rsid w:val="004E6D6C"/>
    <w:rsid w:val="004E6E4F"/>
    <w:rsid w:val="004E6EFA"/>
    <w:rsid w:val="004E6EFB"/>
    <w:rsid w:val="004E6FB4"/>
    <w:rsid w:val="004E7029"/>
    <w:rsid w:val="004E725C"/>
    <w:rsid w:val="004E72F7"/>
    <w:rsid w:val="004E734A"/>
    <w:rsid w:val="004E74BC"/>
    <w:rsid w:val="004E7576"/>
    <w:rsid w:val="004E77A4"/>
    <w:rsid w:val="004E77ED"/>
    <w:rsid w:val="004E78E8"/>
    <w:rsid w:val="004E7988"/>
    <w:rsid w:val="004E7A0D"/>
    <w:rsid w:val="004E7B1D"/>
    <w:rsid w:val="004E7B40"/>
    <w:rsid w:val="004E7C6B"/>
    <w:rsid w:val="004E7D78"/>
    <w:rsid w:val="004E7DCA"/>
    <w:rsid w:val="004E7EE5"/>
    <w:rsid w:val="004E7F11"/>
    <w:rsid w:val="004E7F54"/>
    <w:rsid w:val="004E7FEC"/>
    <w:rsid w:val="004E7FF7"/>
    <w:rsid w:val="004E96B7"/>
    <w:rsid w:val="004F006F"/>
    <w:rsid w:val="004F00A2"/>
    <w:rsid w:val="004F0105"/>
    <w:rsid w:val="004F01E2"/>
    <w:rsid w:val="004F031A"/>
    <w:rsid w:val="004F03BF"/>
    <w:rsid w:val="004F04B3"/>
    <w:rsid w:val="004F0527"/>
    <w:rsid w:val="004F0798"/>
    <w:rsid w:val="004F08BE"/>
    <w:rsid w:val="004F0A25"/>
    <w:rsid w:val="004F0B4B"/>
    <w:rsid w:val="004F0BA1"/>
    <w:rsid w:val="004F0C68"/>
    <w:rsid w:val="004F1039"/>
    <w:rsid w:val="004F11CC"/>
    <w:rsid w:val="004F12DB"/>
    <w:rsid w:val="004F137C"/>
    <w:rsid w:val="004F1591"/>
    <w:rsid w:val="004F1606"/>
    <w:rsid w:val="004F1802"/>
    <w:rsid w:val="004F180B"/>
    <w:rsid w:val="004F18B8"/>
    <w:rsid w:val="004F1900"/>
    <w:rsid w:val="004F1C0C"/>
    <w:rsid w:val="004F1C58"/>
    <w:rsid w:val="004F1C7F"/>
    <w:rsid w:val="004F1D86"/>
    <w:rsid w:val="004F1DC4"/>
    <w:rsid w:val="004F1E5F"/>
    <w:rsid w:val="004F2083"/>
    <w:rsid w:val="004F20A3"/>
    <w:rsid w:val="004F20BE"/>
    <w:rsid w:val="004F2111"/>
    <w:rsid w:val="004F211E"/>
    <w:rsid w:val="004F2279"/>
    <w:rsid w:val="004F2281"/>
    <w:rsid w:val="004F25AD"/>
    <w:rsid w:val="004F261D"/>
    <w:rsid w:val="004F2672"/>
    <w:rsid w:val="004F27A9"/>
    <w:rsid w:val="004F27E8"/>
    <w:rsid w:val="004F283F"/>
    <w:rsid w:val="004F2985"/>
    <w:rsid w:val="004F2B7D"/>
    <w:rsid w:val="004F2B80"/>
    <w:rsid w:val="004F2C74"/>
    <w:rsid w:val="004F2CEA"/>
    <w:rsid w:val="004F2D37"/>
    <w:rsid w:val="004F2D7F"/>
    <w:rsid w:val="004F2E0A"/>
    <w:rsid w:val="004F2E86"/>
    <w:rsid w:val="004F3144"/>
    <w:rsid w:val="004F31BE"/>
    <w:rsid w:val="004F31C1"/>
    <w:rsid w:val="004F31C6"/>
    <w:rsid w:val="004F32E0"/>
    <w:rsid w:val="004F32FC"/>
    <w:rsid w:val="004F3345"/>
    <w:rsid w:val="004F338C"/>
    <w:rsid w:val="004F345F"/>
    <w:rsid w:val="004F3594"/>
    <w:rsid w:val="004F3831"/>
    <w:rsid w:val="004F39E7"/>
    <w:rsid w:val="004F3C65"/>
    <w:rsid w:val="004F3DD9"/>
    <w:rsid w:val="004F3E6F"/>
    <w:rsid w:val="004F3EE1"/>
    <w:rsid w:val="004F3F0E"/>
    <w:rsid w:val="004F3FA8"/>
    <w:rsid w:val="004F4056"/>
    <w:rsid w:val="004F40A4"/>
    <w:rsid w:val="004F4164"/>
    <w:rsid w:val="004F4293"/>
    <w:rsid w:val="004F445E"/>
    <w:rsid w:val="004F45A2"/>
    <w:rsid w:val="004F45E4"/>
    <w:rsid w:val="004F4660"/>
    <w:rsid w:val="004F4701"/>
    <w:rsid w:val="004F4846"/>
    <w:rsid w:val="004F4852"/>
    <w:rsid w:val="004F489D"/>
    <w:rsid w:val="004F48AA"/>
    <w:rsid w:val="004F4AA9"/>
    <w:rsid w:val="004F4ADE"/>
    <w:rsid w:val="004F4D71"/>
    <w:rsid w:val="004F4D8D"/>
    <w:rsid w:val="004F4DC8"/>
    <w:rsid w:val="004F4E85"/>
    <w:rsid w:val="004F4EBA"/>
    <w:rsid w:val="004F4FC9"/>
    <w:rsid w:val="004F50A1"/>
    <w:rsid w:val="004F5175"/>
    <w:rsid w:val="004F519F"/>
    <w:rsid w:val="004F5293"/>
    <w:rsid w:val="004F52C9"/>
    <w:rsid w:val="004F5331"/>
    <w:rsid w:val="004F540D"/>
    <w:rsid w:val="004F5497"/>
    <w:rsid w:val="004F5501"/>
    <w:rsid w:val="004F55A3"/>
    <w:rsid w:val="004F5637"/>
    <w:rsid w:val="004F5638"/>
    <w:rsid w:val="004F57CE"/>
    <w:rsid w:val="004F58D6"/>
    <w:rsid w:val="004F590C"/>
    <w:rsid w:val="004F5A36"/>
    <w:rsid w:val="004F5A8F"/>
    <w:rsid w:val="004F5ADE"/>
    <w:rsid w:val="004F5B82"/>
    <w:rsid w:val="004F5BD7"/>
    <w:rsid w:val="004F5BDC"/>
    <w:rsid w:val="004F5C09"/>
    <w:rsid w:val="004F5C26"/>
    <w:rsid w:val="004F5C8C"/>
    <w:rsid w:val="004F5D00"/>
    <w:rsid w:val="004F5D15"/>
    <w:rsid w:val="004F5D82"/>
    <w:rsid w:val="004F5E03"/>
    <w:rsid w:val="004F5E09"/>
    <w:rsid w:val="004F5E1E"/>
    <w:rsid w:val="004F5E3A"/>
    <w:rsid w:val="004F5F07"/>
    <w:rsid w:val="004F606D"/>
    <w:rsid w:val="004F608C"/>
    <w:rsid w:val="004F6202"/>
    <w:rsid w:val="004F62D6"/>
    <w:rsid w:val="004F6320"/>
    <w:rsid w:val="004F6411"/>
    <w:rsid w:val="004F64EE"/>
    <w:rsid w:val="004F6661"/>
    <w:rsid w:val="004F66F8"/>
    <w:rsid w:val="004F6713"/>
    <w:rsid w:val="004F674F"/>
    <w:rsid w:val="004F683F"/>
    <w:rsid w:val="004F6844"/>
    <w:rsid w:val="004F6912"/>
    <w:rsid w:val="004F6AD8"/>
    <w:rsid w:val="004F6AFC"/>
    <w:rsid w:val="004F6B06"/>
    <w:rsid w:val="004F6CF7"/>
    <w:rsid w:val="004F6D7D"/>
    <w:rsid w:val="004F6E29"/>
    <w:rsid w:val="004F6EA0"/>
    <w:rsid w:val="004F6EAE"/>
    <w:rsid w:val="004F6F19"/>
    <w:rsid w:val="004F70AF"/>
    <w:rsid w:val="004F70D6"/>
    <w:rsid w:val="004F712A"/>
    <w:rsid w:val="004F71EE"/>
    <w:rsid w:val="004F7277"/>
    <w:rsid w:val="004F729E"/>
    <w:rsid w:val="004F7308"/>
    <w:rsid w:val="004F736B"/>
    <w:rsid w:val="004F7399"/>
    <w:rsid w:val="004F747A"/>
    <w:rsid w:val="004F7575"/>
    <w:rsid w:val="004F76B8"/>
    <w:rsid w:val="004F775D"/>
    <w:rsid w:val="004F79C3"/>
    <w:rsid w:val="004F7A3A"/>
    <w:rsid w:val="004F7AC9"/>
    <w:rsid w:val="004F7B2A"/>
    <w:rsid w:val="004F7CB3"/>
    <w:rsid w:val="004F7CC8"/>
    <w:rsid w:val="004F7D37"/>
    <w:rsid w:val="004F7D71"/>
    <w:rsid w:val="004F7D9E"/>
    <w:rsid w:val="004F7DB1"/>
    <w:rsid w:val="004F7E01"/>
    <w:rsid w:val="004F7ED5"/>
    <w:rsid w:val="0050002D"/>
    <w:rsid w:val="00500125"/>
    <w:rsid w:val="00500196"/>
    <w:rsid w:val="00500231"/>
    <w:rsid w:val="00500329"/>
    <w:rsid w:val="00500367"/>
    <w:rsid w:val="0050036C"/>
    <w:rsid w:val="005003E5"/>
    <w:rsid w:val="00500552"/>
    <w:rsid w:val="005005CA"/>
    <w:rsid w:val="00500719"/>
    <w:rsid w:val="005007C4"/>
    <w:rsid w:val="0050092C"/>
    <w:rsid w:val="00500B2A"/>
    <w:rsid w:val="00500D3C"/>
    <w:rsid w:val="00500E0C"/>
    <w:rsid w:val="0050116E"/>
    <w:rsid w:val="0050177B"/>
    <w:rsid w:val="0050189C"/>
    <w:rsid w:val="00501919"/>
    <w:rsid w:val="00501996"/>
    <w:rsid w:val="005019F6"/>
    <w:rsid w:val="00501B7E"/>
    <w:rsid w:val="00501B8C"/>
    <w:rsid w:val="00501C69"/>
    <w:rsid w:val="00501E39"/>
    <w:rsid w:val="00501FA5"/>
    <w:rsid w:val="00501FF4"/>
    <w:rsid w:val="005020AB"/>
    <w:rsid w:val="0050216D"/>
    <w:rsid w:val="0050222C"/>
    <w:rsid w:val="00502490"/>
    <w:rsid w:val="0050251C"/>
    <w:rsid w:val="00502632"/>
    <w:rsid w:val="005026E8"/>
    <w:rsid w:val="0050274B"/>
    <w:rsid w:val="005027C5"/>
    <w:rsid w:val="00502904"/>
    <w:rsid w:val="00502933"/>
    <w:rsid w:val="00502980"/>
    <w:rsid w:val="00502AD3"/>
    <w:rsid w:val="00502D82"/>
    <w:rsid w:val="00502D96"/>
    <w:rsid w:val="00502E71"/>
    <w:rsid w:val="00502EA7"/>
    <w:rsid w:val="00502FB8"/>
    <w:rsid w:val="00503160"/>
    <w:rsid w:val="00503171"/>
    <w:rsid w:val="00503232"/>
    <w:rsid w:val="00503394"/>
    <w:rsid w:val="00503441"/>
    <w:rsid w:val="0050348F"/>
    <w:rsid w:val="00503491"/>
    <w:rsid w:val="005034B5"/>
    <w:rsid w:val="005034DA"/>
    <w:rsid w:val="005035C9"/>
    <w:rsid w:val="005035ED"/>
    <w:rsid w:val="005035FA"/>
    <w:rsid w:val="00503647"/>
    <w:rsid w:val="00503C1E"/>
    <w:rsid w:val="00503C24"/>
    <w:rsid w:val="00503C49"/>
    <w:rsid w:val="00503C92"/>
    <w:rsid w:val="00503CF9"/>
    <w:rsid w:val="00503DCC"/>
    <w:rsid w:val="00503E34"/>
    <w:rsid w:val="00503E3C"/>
    <w:rsid w:val="00503E6B"/>
    <w:rsid w:val="00503FC6"/>
    <w:rsid w:val="00504076"/>
    <w:rsid w:val="00504089"/>
    <w:rsid w:val="0050413B"/>
    <w:rsid w:val="00504233"/>
    <w:rsid w:val="005042A0"/>
    <w:rsid w:val="005042E6"/>
    <w:rsid w:val="00504333"/>
    <w:rsid w:val="00504361"/>
    <w:rsid w:val="005043C5"/>
    <w:rsid w:val="005043E3"/>
    <w:rsid w:val="0050442F"/>
    <w:rsid w:val="00504456"/>
    <w:rsid w:val="00504480"/>
    <w:rsid w:val="00504557"/>
    <w:rsid w:val="00504590"/>
    <w:rsid w:val="00504628"/>
    <w:rsid w:val="00504681"/>
    <w:rsid w:val="005046BE"/>
    <w:rsid w:val="0050485C"/>
    <w:rsid w:val="0050487C"/>
    <w:rsid w:val="00504A70"/>
    <w:rsid w:val="00504A7F"/>
    <w:rsid w:val="00504ABF"/>
    <w:rsid w:val="00504BE6"/>
    <w:rsid w:val="00504D33"/>
    <w:rsid w:val="00504DFC"/>
    <w:rsid w:val="00504E0F"/>
    <w:rsid w:val="00504F37"/>
    <w:rsid w:val="0050504A"/>
    <w:rsid w:val="00505051"/>
    <w:rsid w:val="005050A1"/>
    <w:rsid w:val="00505156"/>
    <w:rsid w:val="005053B7"/>
    <w:rsid w:val="005053D2"/>
    <w:rsid w:val="005054C2"/>
    <w:rsid w:val="005054EE"/>
    <w:rsid w:val="0050562B"/>
    <w:rsid w:val="0050565E"/>
    <w:rsid w:val="005057A6"/>
    <w:rsid w:val="0050591A"/>
    <w:rsid w:val="00505A7C"/>
    <w:rsid w:val="00505C71"/>
    <w:rsid w:val="00505CC8"/>
    <w:rsid w:val="00505D78"/>
    <w:rsid w:val="00505E3E"/>
    <w:rsid w:val="00505EBC"/>
    <w:rsid w:val="00505F84"/>
    <w:rsid w:val="00505F9A"/>
    <w:rsid w:val="005061C1"/>
    <w:rsid w:val="00506377"/>
    <w:rsid w:val="00506716"/>
    <w:rsid w:val="0050685D"/>
    <w:rsid w:val="0050690C"/>
    <w:rsid w:val="00506963"/>
    <w:rsid w:val="00506A98"/>
    <w:rsid w:val="00506CDE"/>
    <w:rsid w:val="00506D32"/>
    <w:rsid w:val="00506F85"/>
    <w:rsid w:val="00506FCE"/>
    <w:rsid w:val="00507114"/>
    <w:rsid w:val="00507244"/>
    <w:rsid w:val="00507328"/>
    <w:rsid w:val="005074D2"/>
    <w:rsid w:val="00507691"/>
    <w:rsid w:val="005076B0"/>
    <w:rsid w:val="005076DF"/>
    <w:rsid w:val="005076EA"/>
    <w:rsid w:val="005077E5"/>
    <w:rsid w:val="00507859"/>
    <w:rsid w:val="0050793B"/>
    <w:rsid w:val="0050794F"/>
    <w:rsid w:val="00507964"/>
    <w:rsid w:val="00507997"/>
    <w:rsid w:val="0050799D"/>
    <w:rsid w:val="00507A16"/>
    <w:rsid w:val="00507A6E"/>
    <w:rsid w:val="00507B40"/>
    <w:rsid w:val="00507CAD"/>
    <w:rsid w:val="00507DCD"/>
    <w:rsid w:val="00507E03"/>
    <w:rsid w:val="00507ED1"/>
    <w:rsid w:val="00507FC2"/>
    <w:rsid w:val="00507FFE"/>
    <w:rsid w:val="0050ABFF"/>
    <w:rsid w:val="0051001B"/>
    <w:rsid w:val="00510030"/>
    <w:rsid w:val="005100C4"/>
    <w:rsid w:val="0051016C"/>
    <w:rsid w:val="005101E4"/>
    <w:rsid w:val="005101EA"/>
    <w:rsid w:val="00510434"/>
    <w:rsid w:val="0051045D"/>
    <w:rsid w:val="00510466"/>
    <w:rsid w:val="00510497"/>
    <w:rsid w:val="00510512"/>
    <w:rsid w:val="005105E6"/>
    <w:rsid w:val="005105F8"/>
    <w:rsid w:val="0051060A"/>
    <w:rsid w:val="005107BD"/>
    <w:rsid w:val="005108FE"/>
    <w:rsid w:val="00510967"/>
    <w:rsid w:val="00510980"/>
    <w:rsid w:val="00510991"/>
    <w:rsid w:val="00510B00"/>
    <w:rsid w:val="00510BCF"/>
    <w:rsid w:val="00510C9E"/>
    <w:rsid w:val="00511068"/>
    <w:rsid w:val="0051108E"/>
    <w:rsid w:val="005110A8"/>
    <w:rsid w:val="00511196"/>
    <w:rsid w:val="00511292"/>
    <w:rsid w:val="0051150D"/>
    <w:rsid w:val="00511542"/>
    <w:rsid w:val="005115BB"/>
    <w:rsid w:val="0051160E"/>
    <w:rsid w:val="00511729"/>
    <w:rsid w:val="00511808"/>
    <w:rsid w:val="00511850"/>
    <w:rsid w:val="0051188D"/>
    <w:rsid w:val="005119B2"/>
    <w:rsid w:val="005119B7"/>
    <w:rsid w:val="00511A2E"/>
    <w:rsid w:val="00511A43"/>
    <w:rsid w:val="00511A8C"/>
    <w:rsid w:val="00511AAB"/>
    <w:rsid w:val="00511AEC"/>
    <w:rsid w:val="00511B45"/>
    <w:rsid w:val="00511B4B"/>
    <w:rsid w:val="00511B73"/>
    <w:rsid w:val="00511D31"/>
    <w:rsid w:val="00511D75"/>
    <w:rsid w:val="00511E05"/>
    <w:rsid w:val="00511E2D"/>
    <w:rsid w:val="00511E60"/>
    <w:rsid w:val="00511E72"/>
    <w:rsid w:val="00511E84"/>
    <w:rsid w:val="00511F40"/>
    <w:rsid w:val="00511F7C"/>
    <w:rsid w:val="00511FCF"/>
    <w:rsid w:val="00511FDB"/>
    <w:rsid w:val="005120F9"/>
    <w:rsid w:val="00512268"/>
    <w:rsid w:val="005122F8"/>
    <w:rsid w:val="005123A5"/>
    <w:rsid w:val="0051244F"/>
    <w:rsid w:val="005124C7"/>
    <w:rsid w:val="00512630"/>
    <w:rsid w:val="005126BF"/>
    <w:rsid w:val="00512718"/>
    <w:rsid w:val="00512794"/>
    <w:rsid w:val="005127AC"/>
    <w:rsid w:val="00512B4F"/>
    <w:rsid w:val="00512D58"/>
    <w:rsid w:val="00512EF9"/>
    <w:rsid w:val="00512F13"/>
    <w:rsid w:val="00512FA4"/>
    <w:rsid w:val="00512FFB"/>
    <w:rsid w:val="005132B7"/>
    <w:rsid w:val="005132ED"/>
    <w:rsid w:val="005134F2"/>
    <w:rsid w:val="00513657"/>
    <w:rsid w:val="00513678"/>
    <w:rsid w:val="005136C2"/>
    <w:rsid w:val="0051385D"/>
    <w:rsid w:val="00513890"/>
    <w:rsid w:val="005138CB"/>
    <w:rsid w:val="00513BFB"/>
    <w:rsid w:val="00513D42"/>
    <w:rsid w:val="00513F53"/>
    <w:rsid w:val="00513F64"/>
    <w:rsid w:val="0051415F"/>
    <w:rsid w:val="0051430B"/>
    <w:rsid w:val="00514370"/>
    <w:rsid w:val="00514696"/>
    <w:rsid w:val="00514827"/>
    <w:rsid w:val="005148E6"/>
    <w:rsid w:val="00514AA5"/>
    <w:rsid w:val="00514B93"/>
    <w:rsid w:val="00514C4C"/>
    <w:rsid w:val="00514E49"/>
    <w:rsid w:val="00514F31"/>
    <w:rsid w:val="0051505C"/>
    <w:rsid w:val="00515254"/>
    <w:rsid w:val="005153ED"/>
    <w:rsid w:val="005153FB"/>
    <w:rsid w:val="005153FF"/>
    <w:rsid w:val="0051569B"/>
    <w:rsid w:val="005156EB"/>
    <w:rsid w:val="005158AA"/>
    <w:rsid w:val="005158D4"/>
    <w:rsid w:val="005158F5"/>
    <w:rsid w:val="00515A0B"/>
    <w:rsid w:val="00515AAC"/>
    <w:rsid w:val="00515D24"/>
    <w:rsid w:val="00515DDA"/>
    <w:rsid w:val="005164F7"/>
    <w:rsid w:val="00516908"/>
    <w:rsid w:val="005169BB"/>
    <w:rsid w:val="00516B01"/>
    <w:rsid w:val="00516B9B"/>
    <w:rsid w:val="00516C1A"/>
    <w:rsid w:val="00516C75"/>
    <w:rsid w:val="00516CA7"/>
    <w:rsid w:val="00516D7B"/>
    <w:rsid w:val="00516FA1"/>
    <w:rsid w:val="00516FF3"/>
    <w:rsid w:val="00517271"/>
    <w:rsid w:val="00517327"/>
    <w:rsid w:val="00517337"/>
    <w:rsid w:val="00517396"/>
    <w:rsid w:val="0051748A"/>
    <w:rsid w:val="0051749E"/>
    <w:rsid w:val="0051753E"/>
    <w:rsid w:val="005175CD"/>
    <w:rsid w:val="0051762B"/>
    <w:rsid w:val="00517646"/>
    <w:rsid w:val="00517683"/>
    <w:rsid w:val="005177B3"/>
    <w:rsid w:val="005177BA"/>
    <w:rsid w:val="00517A83"/>
    <w:rsid w:val="00517BB3"/>
    <w:rsid w:val="00517DE9"/>
    <w:rsid w:val="00517E7B"/>
    <w:rsid w:val="005200CD"/>
    <w:rsid w:val="00520137"/>
    <w:rsid w:val="00520182"/>
    <w:rsid w:val="005202A9"/>
    <w:rsid w:val="005203B2"/>
    <w:rsid w:val="0052046E"/>
    <w:rsid w:val="00520522"/>
    <w:rsid w:val="00520AD5"/>
    <w:rsid w:val="00520B83"/>
    <w:rsid w:val="00520BCD"/>
    <w:rsid w:val="00520F6F"/>
    <w:rsid w:val="00520F7E"/>
    <w:rsid w:val="00520FE9"/>
    <w:rsid w:val="005212F2"/>
    <w:rsid w:val="005214DC"/>
    <w:rsid w:val="0052151C"/>
    <w:rsid w:val="005215E3"/>
    <w:rsid w:val="005216CC"/>
    <w:rsid w:val="00521724"/>
    <w:rsid w:val="00521729"/>
    <w:rsid w:val="005217E0"/>
    <w:rsid w:val="00521896"/>
    <w:rsid w:val="0052189D"/>
    <w:rsid w:val="00521A9D"/>
    <w:rsid w:val="00521CBF"/>
    <w:rsid w:val="00521D73"/>
    <w:rsid w:val="00521DA4"/>
    <w:rsid w:val="00521E4E"/>
    <w:rsid w:val="00521E89"/>
    <w:rsid w:val="00521EA7"/>
    <w:rsid w:val="00521F23"/>
    <w:rsid w:val="0052225B"/>
    <w:rsid w:val="0052225C"/>
    <w:rsid w:val="00522263"/>
    <w:rsid w:val="005223ED"/>
    <w:rsid w:val="0052246D"/>
    <w:rsid w:val="00522492"/>
    <w:rsid w:val="00522555"/>
    <w:rsid w:val="005225B9"/>
    <w:rsid w:val="005225CD"/>
    <w:rsid w:val="005225E6"/>
    <w:rsid w:val="005226BF"/>
    <w:rsid w:val="00522789"/>
    <w:rsid w:val="00522A28"/>
    <w:rsid w:val="00522AA7"/>
    <w:rsid w:val="00522B4A"/>
    <w:rsid w:val="00522D6C"/>
    <w:rsid w:val="00522D78"/>
    <w:rsid w:val="00522E03"/>
    <w:rsid w:val="0052321D"/>
    <w:rsid w:val="005233EF"/>
    <w:rsid w:val="0052353F"/>
    <w:rsid w:val="00523591"/>
    <w:rsid w:val="00523682"/>
    <w:rsid w:val="005236B8"/>
    <w:rsid w:val="005236BB"/>
    <w:rsid w:val="005237C7"/>
    <w:rsid w:val="00523813"/>
    <w:rsid w:val="005239E1"/>
    <w:rsid w:val="00523B74"/>
    <w:rsid w:val="00523C94"/>
    <w:rsid w:val="0052423A"/>
    <w:rsid w:val="0052423E"/>
    <w:rsid w:val="005243FC"/>
    <w:rsid w:val="00524408"/>
    <w:rsid w:val="0052449D"/>
    <w:rsid w:val="00524512"/>
    <w:rsid w:val="0052467C"/>
    <w:rsid w:val="00524785"/>
    <w:rsid w:val="005248A1"/>
    <w:rsid w:val="0052494B"/>
    <w:rsid w:val="005249F9"/>
    <w:rsid w:val="00524A43"/>
    <w:rsid w:val="00524B4B"/>
    <w:rsid w:val="00524B8C"/>
    <w:rsid w:val="00524D25"/>
    <w:rsid w:val="00524D56"/>
    <w:rsid w:val="0052527D"/>
    <w:rsid w:val="005252B6"/>
    <w:rsid w:val="00525487"/>
    <w:rsid w:val="005254CF"/>
    <w:rsid w:val="005254D0"/>
    <w:rsid w:val="005254D6"/>
    <w:rsid w:val="005254F8"/>
    <w:rsid w:val="0052558E"/>
    <w:rsid w:val="005255A7"/>
    <w:rsid w:val="00525613"/>
    <w:rsid w:val="00525669"/>
    <w:rsid w:val="00525757"/>
    <w:rsid w:val="00525773"/>
    <w:rsid w:val="005257EB"/>
    <w:rsid w:val="005258C1"/>
    <w:rsid w:val="00525952"/>
    <w:rsid w:val="0052595E"/>
    <w:rsid w:val="00525A52"/>
    <w:rsid w:val="00525A68"/>
    <w:rsid w:val="00525AE9"/>
    <w:rsid w:val="00525B61"/>
    <w:rsid w:val="00525C1D"/>
    <w:rsid w:val="00525C97"/>
    <w:rsid w:val="00525E53"/>
    <w:rsid w:val="00525E7C"/>
    <w:rsid w:val="00525EE5"/>
    <w:rsid w:val="00526040"/>
    <w:rsid w:val="005260CE"/>
    <w:rsid w:val="0052621F"/>
    <w:rsid w:val="00526240"/>
    <w:rsid w:val="0052625C"/>
    <w:rsid w:val="0052629A"/>
    <w:rsid w:val="005262D6"/>
    <w:rsid w:val="005262E2"/>
    <w:rsid w:val="0052634C"/>
    <w:rsid w:val="0052634F"/>
    <w:rsid w:val="00526359"/>
    <w:rsid w:val="00526371"/>
    <w:rsid w:val="005263F4"/>
    <w:rsid w:val="005264D9"/>
    <w:rsid w:val="00526523"/>
    <w:rsid w:val="00526614"/>
    <w:rsid w:val="00526643"/>
    <w:rsid w:val="00526783"/>
    <w:rsid w:val="005267B4"/>
    <w:rsid w:val="005267FC"/>
    <w:rsid w:val="005268C0"/>
    <w:rsid w:val="00526936"/>
    <w:rsid w:val="005269DB"/>
    <w:rsid w:val="00526B51"/>
    <w:rsid w:val="00526BC6"/>
    <w:rsid w:val="00526C51"/>
    <w:rsid w:val="00526E7E"/>
    <w:rsid w:val="00526FF6"/>
    <w:rsid w:val="0052715E"/>
    <w:rsid w:val="005271BC"/>
    <w:rsid w:val="005272E2"/>
    <w:rsid w:val="005272ED"/>
    <w:rsid w:val="005273BA"/>
    <w:rsid w:val="005274DF"/>
    <w:rsid w:val="0052753B"/>
    <w:rsid w:val="005275A7"/>
    <w:rsid w:val="00527756"/>
    <w:rsid w:val="00527783"/>
    <w:rsid w:val="005277E9"/>
    <w:rsid w:val="0052793B"/>
    <w:rsid w:val="0052799E"/>
    <w:rsid w:val="005279C2"/>
    <w:rsid w:val="00527A45"/>
    <w:rsid w:val="00527AED"/>
    <w:rsid w:val="00527D9A"/>
    <w:rsid w:val="00527E37"/>
    <w:rsid w:val="00527F71"/>
    <w:rsid w:val="00527FA1"/>
    <w:rsid w:val="005300BB"/>
    <w:rsid w:val="005300C1"/>
    <w:rsid w:val="0053015F"/>
    <w:rsid w:val="00530431"/>
    <w:rsid w:val="00530507"/>
    <w:rsid w:val="00530571"/>
    <w:rsid w:val="00530579"/>
    <w:rsid w:val="005305C7"/>
    <w:rsid w:val="0053060F"/>
    <w:rsid w:val="0053062E"/>
    <w:rsid w:val="00530651"/>
    <w:rsid w:val="00530688"/>
    <w:rsid w:val="00530697"/>
    <w:rsid w:val="00530888"/>
    <w:rsid w:val="00530892"/>
    <w:rsid w:val="00530B70"/>
    <w:rsid w:val="00530C4D"/>
    <w:rsid w:val="00530CD8"/>
    <w:rsid w:val="00530F92"/>
    <w:rsid w:val="005310F7"/>
    <w:rsid w:val="00531239"/>
    <w:rsid w:val="005312C0"/>
    <w:rsid w:val="005312DD"/>
    <w:rsid w:val="0053139C"/>
    <w:rsid w:val="005313C3"/>
    <w:rsid w:val="005315A7"/>
    <w:rsid w:val="005315DE"/>
    <w:rsid w:val="005316F3"/>
    <w:rsid w:val="005317E6"/>
    <w:rsid w:val="005318D1"/>
    <w:rsid w:val="005318F7"/>
    <w:rsid w:val="00531936"/>
    <w:rsid w:val="00531958"/>
    <w:rsid w:val="00531AC8"/>
    <w:rsid w:val="00531C5B"/>
    <w:rsid w:val="00531D73"/>
    <w:rsid w:val="00531E22"/>
    <w:rsid w:val="0053200C"/>
    <w:rsid w:val="00532046"/>
    <w:rsid w:val="005321A6"/>
    <w:rsid w:val="00532228"/>
    <w:rsid w:val="00532255"/>
    <w:rsid w:val="0053228D"/>
    <w:rsid w:val="005322C2"/>
    <w:rsid w:val="00532338"/>
    <w:rsid w:val="00532486"/>
    <w:rsid w:val="00532519"/>
    <w:rsid w:val="005325B8"/>
    <w:rsid w:val="005327E8"/>
    <w:rsid w:val="005328BE"/>
    <w:rsid w:val="00532902"/>
    <w:rsid w:val="0053299D"/>
    <w:rsid w:val="005329B8"/>
    <w:rsid w:val="00532A46"/>
    <w:rsid w:val="00532AD5"/>
    <w:rsid w:val="00532AF6"/>
    <w:rsid w:val="00532B08"/>
    <w:rsid w:val="00532B4A"/>
    <w:rsid w:val="00532B8F"/>
    <w:rsid w:val="00532C48"/>
    <w:rsid w:val="00532C68"/>
    <w:rsid w:val="00532CDC"/>
    <w:rsid w:val="00532E90"/>
    <w:rsid w:val="00532F67"/>
    <w:rsid w:val="0053307D"/>
    <w:rsid w:val="0053312A"/>
    <w:rsid w:val="005332B4"/>
    <w:rsid w:val="005332D3"/>
    <w:rsid w:val="005332D6"/>
    <w:rsid w:val="005332DF"/>
    <w:rsid w:val="0053344D"/>
    <w:rsid w:val="0053378F"/>
    <w:rsid w:val="0053380C"/>
    <w:rsid w:val="005338FE"/>
    <w:rsid w:val="00533A24"/>
    <w:rsid w:val="00533A30"/>
    <w:rsid w:val="00533AEE"/>
    <w:rsid w:val="00533BEF"/>
    <w:rsid w:val="00533C79"/>
    <w:rsid w:val="00533CC8"/>
    <w:rsid w:val="00533EC4"/>
    <w:rsid w:val="00533F23"/>
    <w:rsid w:val="00533FBC"/>
    <w:rsid w:val="00534100"/>
    <w:rsid w:val="00534172"/>
    <w:rsid w:val="005341F0"/>
    <w:rsid w:val="00534265"/>
    <w:rsid w:val="00534276"/>
    <w:rsid w:val="00534346"/>
    <w:rsid w:val="00534515"/>
    <w:rsid w:val="005346F8"/>
    <w:rsid w:val="00534807"/>
    <w:rsid w:val="00534815"/>
    <w:rsid w:val="0053489B"/>
    <w:rsid w:val="005348FA"/>
    <w:rsid w:val="00534A56"/>
    <w:rsid w:val="00534A69"/>
    <w:rsid w:val="00534AB7"/>
    <w:rsid w:val="00534B92"/>
    <w:rsid w:val="00534D26"/>
    <w:rsid w:val="00534DA0"/>
    <w:rsid w:val="00534F1F"/>
    <w:rsid w:val="00534F76"/>
    <w:rsid w:val="00535025"/>
    <w:rsid w:val="0053506E"/>
    <w:rsid w:val="0053518F"/>
    <w:rsid w:val="005351C8"/>
    <w:rsid w:val="005351ED"/>
    <w:rsid w:val="00535264"/>
    <w:rsid w:val="00535451"/>
    <w:rsid w:val="005354D0"/>
    <w:rsid w:val="00535710"/>
    <w:rsid w:val="00535723"/>
    <w:rsid w:val="00535753"/>
    <w:rsid w:val="00535928"/>
    <w:rsid w:val="005359BB"/>
    <w:rsid w:val="005359F6"/>
    <w:rsid w:val="00535C13"/>
    <w:rsid w:val="00535C7A"/>
    <w:rsid w:val="00535D90"/>
    <w:rsid w:val="00535EFF"/>
    <w:rsid w:val="005360F2"/>
    <w:rsid w:val="005361A4"/>
    <w:rsid w:val="005361D8"/>
    <w:rsid w:val="0053624F"/>
    <w:rsid w:val="005362CE"/>
    <w:rsid w:val="005362E9"/>
    <w:rsid w:val="005365C9"/>
    <w:rsid w:val="00536687"/>
    <w:rsid w:val="00536706"/>
    <w:rsid w:val="005367F4"/>
    <w:rsid w:val="00536910"/>
    <w:rsid w:val="00536918"/>
    <w:rsid w:val="00536982"/>
    <w:rsid w:val="00536A03"/>
    <w:rsid w:val="00536BF7"/>
    <w:rsid w:val="00536C29"/>
    <w:rsid w:val="00536C8B"/>
    <w:rsid w:val="00536D92"/>
    <w:rsid w:val="00536E7A"/>
    <w:rsid w:val="00536E8A"/>
    <w:rsid w:val="00536F42"/>
    <w:rsid w:val="00536F76"/>
    <w:rsid w:val="00537114"/>
    <w:rsid w:val="005371F4"/>
    <w:rsid w:val="005374CB"/>
    <w:rsid w:val="00537545"/>
    <w:rsid w:val="00537546"/>
    <w:rsid w:val="005375F5"/>
    <w:rsid w:val="0053767D"/>
    <w:rsid w:val="005377A4"/>
    <w:rsid w:val="00537B45"/>
    <w:rsid w:val="00537C96"/>
    <w:rsid w:val="00537E15"/>
    <w:rsid w:val="00537E7D"/>
    <w:rsid w:val="00537F42"/>
    <w:rsid w:val="00537F6D"/>
    <w:rsid w:val="00537FF4"/>
    <w:rsid w:val="00540052"/>
    <w:rsid w:val="005400BB"/>
    <w:rsid w:val="005402D7"/>
    <w:rsid w:val="00540323"/>
    <w:rsid w:val="0054032D"/>
    <w:rsid w:val="005403C8"/>
    <w:rsid w:val="00540493"/>
    <w:rsid w:val="005407B0"/>
    <w:rsid w:val="005407E1"/>
    <w:rsid w:val="00540870"/>
    <w:rsid w:val="00540871"/>
    <w:rsid w:val="0054093C"/>
    <w:rsid w:val="005409BB"/>
    <w:rsid w:val="00540A59"/>
    <w:rsid w:val="00540B32"/>
    <w:rsid w:val="00540B85"/>
    <w:rsid w:val="00540D4C"/>
    <w:rsid w:val="00540E04"/>
    <w:rsid w:val="00540E0B"/>
    <w:rsid w:val="00540F26"/>
    <w:rsid w:val="00540F40"/>
    <w:rsid w:val="00541040"/>
    <w:rsid w:val="005411D8"/>
    <w:rsid w:val="00541300"/>
    <w:rsid w:val="00541308"/>
    <w:rsid w:val="0054133F"/>
    <w:rsid w:val="005413BC"/>
    <w:rsid w:val="00541426"/>
    <w:rsid w:val="005414DF"/>
    <w:rsid w:val="00541526"/>
    <w:rsid w:val="00541601"/>
    <w:rsid w:val="005416AF"/>
    <w:rsid w:val="0054178D"/>
    <w:rsid w:val="0054188E"/>
    <w:rsid w:val="005418DE"/>
    <w:rsid w:val="0054198E"/>
    <w:rsid w:val="005419FA"/>
    <w:rsid w:val="00541A18"/>
    <w:rsid w:val="00541A20"/>
    <w:rsid w:val="00541B25"/>
    <w:rsid w:val="00541BAD"/>
    <w:rsid w:val="00541C43"/>
    <w:rsid w:val="00541C4D"/>
    <w:rsid w:val="00541CF9"/>
    <w:rsid w:val="00541E9E"/>
    <w:rsid w:val="00542097"/>
    <w:rsid w:val="00542225"/>
    <w:rsid w:val="00542393"/>
    <w:rsid w:val="005423AB"/>
    <w:rsid w:val="0054251A"/>
    <w:rsid w:val="0054252F"/>
    <w:rsid w:val="0054253D"/>
    <w:rsid w:val="00542607"/>
    <w:rsid w:val="0054264A"/>
    <w:rsid w:val="0054278D"/>
    <w:rsid w:val="005428FC"/>
    <w:rsid w:val="00542987"/>
    <w:rsid w:val="00542A6F"/>
    <w:rsid w:val="00542A91"/>
    <w:rsid w:val="00542B90"/>
    <w:rsid w:val="00542C05"/>
    <w:rsid w:val="00542C1A"/>
    <w:rsid w:val="00542C3D"/>
    <w:rsid w:val="00542CC5"/>
    <w:rsid w:val="00542E98"/>
    <w:rsid w:val="00542F7B"/>
    <w:rsid w:val="005430D4"/>
    <w:rsid w:val="005432B7"/>
    <w:rsid w:val="005433EE"/>
    <w:rsid w:val="005433FE"/>
    <w:rsid w:val="00543485"/>
    <w:rsid w:val="005434BC"/>
    <w:rsid w:val="0054359D"/>
    <w:rsid w:val="00543653"/>
    <w:rsid w:val="00543A38"/>
    <w:rsid w:val="00543A40"/>
    <w:rsid w:val="00543A8C"/>
    <w:rsid w:val="00543BAB"/>
    <w:rsid w:val="00543BB2"/>
    <w:rsid w:val="00543CBC"/>
    <w:rsid w:val="00543FEA"/>
    <w:rsid w:val="0054405B"/>
    <w:rsid w:val="005440E9"/>
    <w:rsid w:val="00544124"/>
    <w:rsid w:val="0054417F"/>
    <w:rsid w:val="005441E8"/>
    <w:rsid w:val="0054434F"/>
    <w:rsid w:val="0054446E"/>
    <w:rsid w:val="0054456D"/>
    <w:rsid w:val="005446C8"/>
    <w:rsid w:val="0054478D"/>
    <w:rsid w:val="00544857"/>
    <w:rsid w:val="0054488F"/>
    <w:rsid w:val="00544A7A"/>
    <w:rsid w:val="00544BF3"/>
    <w:rsid w:val="00544C5F"/>
    <w:rsid w:val="00544E0B"/>
    <w:rsid w:val="00544FAE"/>
    <w:rsid w:val="00544FE3"/>
    <w:rsid w:val="005450BB"/>
    <w:rsid w:val="00545165"/>
    <w:rsid w:val="0054529A"/>
    <w:rsid w:val="005454DA"/>
    <w:rsid w:val="005455B9"/>
    <w:rsid w:val="005455E2"/>
    <w:rsid w:val="00545650"/>
    <w:rsid w:val="005457CE"/>
    <w:rsid w:val="005458A6"/>
    <w:rsid w:val="005458B0"/>
    <w:rsid w:val="00545B0D"/>
    <w:rsid w:val="00545B5F"/>
    <w:rsid w:val="00545C27"/>
    <w:rsid w:val="00545CAB"/>
    <w:rsid w:val="00545D01"/>
    <w:rsid w:val="00545D47"/>
    <w:rsid w:val="00545E34"/>
    <w:rsid w:val="00545E53"/>
    <w:rsid w:val="00545EAB"/>
    <w:rsid w:val="005460C3"/>
    <w:rsid w:val="005462B8"/>
    <w:rsid w:val="0054637F"/>
    <w:rsid w:val="005465B0"/>
    <w:rsid w:val="005466CA"/>
    <w:rsid w:val="00546727"/>
    <w:rsid w:val="00546777"/>
    <w:rsid w:val="0054678D"/>
    <w:rsid w:val="00546819"/>
    <w:rsid w:val="00546985"/>
    <w:rsid w:val="00546AAF"/>
    <w:rsid w:val="00546AB6"/>
    <w:rsid w:val="00546B23"/>
    <w:rsid w:val="00546CA9"/>
    <w:rsid w:val="00546E76"/>
    <w:rsid w:val="00546F7C"/>
    <w:rsid w:val="00546FB5"/>
    <w:rsid w:val="00547141"/>
    <w:rsid w:val="00547231"/>
    <w:rsid w:val="0054723D"/>
    <w:rsid w:val="00547257"/>
    <w:rsid w:val="00547281"/>
    <w:rsid w:val="0054735A"/>
    <w:rsid w:val="005473B8"/>
    <w:rsid w:val="00547844"/>
    <w:rsid w:val="00547853"/>
    <w:rsid w:val="005478C0"/>
    <w:rsid w:val="005478F3"/>
    <w:rsid w:val="00547B5E"/>
    <w:rsid w:val="00547BA5"/>
    <w:rsid w:val="00547C07"/>
    <w:rsid w:val="00547C0E"/>
    <w:rsid w:val="00547C7F"/>
    <w:rsid w:val="00547CF1"/>
    <w:rsid w:val="00547E8A"/>
    <w:rsid w:val="00550046"/>
    <w:rsid w:val="00550052"/>
    <w:rsid w:val="00550057"/>
    <w:rsid w:val="0055010B"/>
    <w:rsid w:val="00550125"/>
    <w:rsid w:val="00550179"/>
    <w:rsid w:val="005501DA"/>
    <w:rsid w:val="00550243"/>
    <w:rsid w:val="005502FD"/>
    <w:rsid w:val="00550411"/>
    <w:rsid w:val="005504A0"/>
    <w:rsid w:val="0055051B"/>
    <w:rsid w:val="005505CD"/>
    <w:rsid w:val="00550664"/>
    <w:rsid w:val="005506B7"/>
    <w:rsid w:val="005506DF"/>
    <w:rsid w:val="005507EF"/>
    <w:rsid w:val="00550869"/>
    <w:rsid w:val="00550959"/>
    <w:rsid w:val="00550A10"/>
    <w:rsid w:val="00550AC9"/>
    <w:rsid w:val="00550B09"/>
    <w:rsid w:val="00550BB9"/>
    <w:rsid w:val="00550CB9"/>
    <w:rsid w:val="00550CE7"/>
    <w:rsid w:val="00550E50"/>
    <w:rsid w:val="00550EDE"/>
    <w:rsid w:val="00550EF8"/>
    <w:rsid w:val="00550F7C"/>
    <w:rsid w:val="0055105B"/>
    <w:rsid w:val="0055115F"/>
    <w:rsid w:val="0055152B"/>
    <w:rsid w:val="00551675"/>
    <w:rsid w:val="0055178B"/>
    <w:rsid w:val="005518B3"/>
    <w:rsid w:val="005519D6"/>
    <w:rsid w:val="00551B47"/>
    <w:rsid w:val="00551B54"/>
    <w:rsid w:val="00551BE2"/>
    <w:rsid w:val="00551C5F"/>
    <w:rsid w:val="00551CF3"/>
    <w:rsid w:val="00551D64"/>
    <w:rsid w:val="00551DB9"/>
    <w:rsid w:val="00551E33"/>
    <w:rsid w:val="00551E40"/>
    <w:rsid w:val="00551FDC"/>
    <w:rsid w:val="005520C2"/>
    <w:rsid w:val="005522A5"/>
    <w:rsid w:val="005522AA"/>
    <w:rsid w:val="005522C1"/>
    <w:rsid w:val="005523A2"/>
    <w:rsid w:val="005523F9"/>
    <w:rsid w:val="00552528"/>
    <w:rsid w:val="00552641"/>
    <w:rsid w:val="0055269A"/>
    <w:rsid w:val="005527E4"/>
    <w:rsid w:val="005527E8"/>
    <w:rsid w:val="00552891"/>
    <w:rsid w:val="0055295E"/>
    <w:rsid w:val="0055296F"/>
    <w:rsid w:val="005529A2"/>
    <w:rsid w:val="00552A54"/>
    <w:rsid w:val="00552B00"/>
    <w:rsid w:val="00552B38"/>
    <w:rsid w:val="00552D3A"/>
    <w:rsid w:val="00552DD8"/>
    <w:rsid w:val="00552EB4"/>
    <w:rsid w:val="00552F62"/>
    <w:rsid w:val="00552FB2"/>
    <w:rsid w:val="00553000"/>
    <w:rsid w:val="00553119"/>
    <w:rsid w:val="00553164"/>
    <w:rsid w:val="00553241"/>
    <w:rsid w:val="005532EB"/>
    <w:rsid w:val="005533EE"/>
    <w:rsid w:val="00553418"/>
    <w:rsid w:val="00553432"/>
    <w:rsid w:val="00553451"/>
    <w:rsid w:val="00553499"/>
    <w:rsid w:val="005535B5"/>
    <w:rsid w:val="005535BA"/>
    <w:rsid w:val="005535F5"/>
    <w:rsid w:val="00553613"/>
    <w:rsid w:val="005537B8"/>
    <w:rsid w:val="0055387E"/>
    <w:rsid w:val="00553B46"/>
    <w:rsid w:val="00553C08"/>
    <w:rsid w:val="00553E10"/>
    <w:rsid w:val="00553E4B"/>
    <w:rsid w:val="00553F8F"/>
    <w:rsid w:val="00553FBF"/>
    <w:rsid w:val="0055403D"/>
    <w:rsid w:val="0055424D"/>
    <w:rsid w:val="00554380"/>
    <w:rsid w:val="005543CB"/>
    <w:rsid w:val="00554404"/>
    <w:rsid w:val="00554467"/>
    <w:rsid w:val="00554566"/>
    <w:rsid w:val="005546A6"/>
    <w:rsid w:val="0055470B"/>
    <w:rsid w:val="005549AA"/>
    <w:rsid w:val="00554A74"/>
    <w:rsid w:val="00554A90"/>
    <w:rsid w:val="00554C53"/>
    <w:rsid w:val="00554E1A"/>
    <w:rsid w:val="00554F31"/>
    <w:rsid w:val="00554F89"/>
    <w:rsid w:val="00554FC6"/>
    <w:rsid w:val="00555000"/>
    <w:rsid w:val="005552B6"/>
    <w:rsid w:val="00555322"/>
    <w:rsid w:val="00555324"/>
    <w:rsid w:val="005553A4"/>
    <w:rsid w:val="005553D5"/>
    <w:rsid w:val="00555405"/>
    <w:rsid w:val="00555423"/>
    <w:rsid w:val="0055555D"/>
    <w:rsid w:val="005555DD"/>
    <w:rsid w:val="0055562F"/>
    <w:rsid w:val="005556C1"/>
    <w:rsid w:val="00555737"/>
    <w:rsid w:val="00555740"/>
    <w:rsid w:val="005557BB"/>
    <w:rsid w:val="005557E8"/>
    <w:rsid w:val="00555806"/>
    <w:rsid w:val="0055583E"/>
    <w:rsid w:val="00555883"/>
    <w:rsid w:val="00555896"/>
    <w:rsid w:val="005559C4"/>
    <w:rsid w:val="00555A06"/>
    <w:rsid w:val="00555A7B"/>
    <w:rsid w:val="00555A83"/>
    <w:rsid w:val="00555AB3"/>
    <w:rsid w:val="00555B00"/>
    <w:rsid w:val="00555B23"/>
    <w:rsid w:val="00555B2F"/>
    <w:rsid w:val="00555B72"/>
    <w:rsid w:val="00555C75"/>
    <w:rsid w:val="00555CA3"/>
    <w:rsid w:val="00555CB0"/>
    <w:rsid w:val="00555CB4"/>
    <w:rsid w:val="00555D74"/>
    <w:rsid w:val="00555E04"/>
    <w:rsid w:val="00555FAD"/>
    <w:rsid w:val="00555FE8"/>
    <w:rsid w:val="0055601B"/>
    <w:rsid w:val="0055604D"/>
    <w:rsid w:val="0055609B"/>
    <w:rsid w:val="00556113"/>
    <w:rsid w:val="0055621B"/>
    <w:rsid w:val="005563B6"/>
    <w:rsid w:val="005563C5"/>
    <w:rsid w:val="00556462"/>
    <w:rsid w:val="005564BB"/>
    <w:rsid w:val="0055650B"/>
    <w:rsid w:val="0055654F"/>
    <w:rsid w:val="00556672"/>
    <w:rsid w:val="005566FC"/>
    <w:rsid w:val="00556731"/>
    <w:rsid w:val="0055677E"/>
    <w:rsid w:val="005567CA"/>
    <w:rsid w:val="0055686C"/>
    <w:rsid w:val="005568B7"/>
    <w:rsid w:val="005569A2"/>
    <w:rsid w:val="005569C7"/>
    <w:rsid w:val="00556A4E"/>
    <w:rsid w:val="00556B37"/>
    <w:rsid w:val="00556B5F"/>
    <w:rsid w:val="00556B8B"/>
    <w:rsid w:val="00556BA3"/>
    <w:rsid w:val="00556DD4"/>
    <w:rsid w:val="00556EE1"/>
    <w:rsid w:val="005571B6"/>
    <w:rsid w:val="005572C7"/>
    <w:rsid w:val="005572DA"/>
    <w:rsid w:val="00557360"/>
    <w:rsid w:val="005573F7"/>
    <w:rsid w:val="00557406"/>
    <w:rsid w:val="00557457"/>
    <w:rsid w:val="005574B1"/>
    <w:rsid w:val="0055752F"/>
    <w:rsid w:val="0055760F"/>
    <w:rsid w:val="00557672"/>
    <w:rsid w:val="005577BA"/>
    <w:rsid w:val="00557BB3"/>
    <w:rsid w:val="00557BF0"/>
    <w:rsid w:val="00557E36"/>
    <w:rsid w:val="00557ECA"/>
    <w:rsid w:val="00557F76"/>
    <w:rsid w:val="0055A099"/>
    <w:rsid w:val="005602D0"/>
    <w:rsid w:val="0056038B"/>
    <w:rsid w:val="005603F0"/>
    <w:rsid w:val="00560412"/>
    <w:rsid w:val="00560465"/>
    <w:rsid w:val="005604BD"/>
    <w:rsid w:val="00560509"/>
    <w:rsid w:val="0056054E"/>
    <w:rsid w:val="00560583"/>
    <w:rsid w:val="00560851"/>
    <w:rsid w:val="00560931"/>
    <w:rsid w:val="00560B02"/>
    <w:rsid w:val="00560B0D"/>
    <w:rsid w:val="00560B2E"/>
    <w:rsid w:val="00560C00"/>
    <w:rsid w:val="00560C3B"/>
    <w:rsid w:val="00560CD3"/>
    <w:rsid w:val="00560DAE"/>
    <w:rsid w:val="00560F0D"/>
    <w:rsid w:val="00561240"/>
    <w:rsid w:val="00561501"/>
    <w:rsid w:val="005615A2"/>
    <w:rsid w:val="0056167E"/>
    <w:rsid w:val="0056175B"/>
    <w:rsid w:val="005617BD"/>
    <w:rsid w:val="005617C9"/>
    <w:rsid w:val="00561884"/>
    <w:rsid w:val="005618DE"/>
    <w:rsid w:val="005618FE"/>
    <w:rsid w:val="0056195E"/>
    <w:rsid w:val="005619AB"/>
    <w:rsid w:val="00561A2A"/>
    <w:rsid w:val="00561AAC"/>
    <w:rsid w:val="00561ABB"/>
    <w:rsid w:val="00561AF5"/>
    <w:rsid w:val="00561B42"/>
    <w:rsid w:val="00561C93"/>
    <w:rsid w:val="00561CD8"/>
    <w:rsid w:val="00561D07"/>
    <w:rsid w:val="00561D9D"/>
    <w:rsid w:val="00561E0F"/>
    <w:rsid w:val="00561EAF"/>
    <w:rsid w:val="00561F9C"/>
    <w:rsid w:val="00561FFC"/>
    <w:rsid w:val="0056201E"/>
    <w:rsid w:val="005620A3"/>
    <w:rsid w:val="00562184"/>
    <w:rsid w:val="005621E5"/>
    <w:rsid w:val="005622D4"/>
    <w:rsid w:val="005623DC"/>
    <w:rsid w:val="00562418"/>
    <w:rsid w:val="00562517"/>
    <w:rsid w:val="005625CE"/>
    <w:rsid w:val="00562611"/>
    <w:rsid w:val="005626FA"/>
    <w:rsid w:val="005627A1"/>
    <w:rsid w:val="005628A6"/>
    <w:rsid w:val="005628B9"/>
    <w:rsid w:val="005629AC"/>
    <w:rsid w:val="00562ADD"/>
    <w:rsid w:val="00562BA8"/>
    <w:rsid w:val="00562C7C"/>
    <w:rsid w:val="00562CC2"/>
    <w:rsid w:val="00562D85"/>
    <w:rsid w:val="00562E52"/>
    <w:rsid w:val="00562E77"/>
    <w:rsid w:val="00562F16"/>
    <w:rsid w:val="00562F23"/>
    <w:rsid w:val="00562F38"/>
    <w:rsid w:val="00563202"/>
    <w:rsid w:val="00563223"/>
    <w:rsid w:val="005632C4"/>
    <w:rsid w:val="005632F6"/>
    <w:rsid w:val="005635DE"/>
    <w:rsid w:val="0056368B"/>
    <w:rsid w:val="0056370C"/>
    <w:rsid w:val="00563716"/>
    <w:rsid w:val="00563834"/>
    <w:rsid w:val="00563869"/>
    <w:rsid w:val="005638A8"/>
    <w:rsid w:val="005638B1"/>
    <w:rsid w:val="0056396A"/>
    <w:rsid w:val="00563B29"/>
    <w:rsid w:val="00563B41"/>
    <w:rsid w:val="00563BB3"/>
    <w:rsid w:val="00563BD3"/>
    <w:rsid w:val="00563BFB"/>
    <w:rsid w:val="00563C20"/>
    <w:rsid w:val="00563DD3"/>
    <w:rsid w:val="00563E88"/>
    <w:rsid w:val="00563EA8"/>
    <w:rsid w:val="00563EC0"/>
    <w:rsid w:val="00563F0F"/>
    <w:rsid w:val="00563FEF"/>
    <w:rsid w:val="005640BC"/>
    <w:rsid w:val="0056412E"/>
    <w:rsid w:val="005643B9"/>
    <w:rsid w:val="005643C2"/>
    <w:rsid w:val="005644D0"/>
    <w:rsid w:val="005644F5"/>
    <w:rsid w:val="0056462D"/>
    <w:rsid w:val="0056469C"/>
    <w:rsid w:val="00564744"/>
    <w:rsid w:val="005647D9"/>
    <w:rsid w:val="00564855"/>
    <w:rsid w:val="0056488C"/>
    <w:rsid w:val="005648FF"/>
    <w:rsid w:val="00564907"/>
    <w:rsid w:val="00564931"/>
    <w:rsid w:val="00564A0B"/>
    <w:rsid w:val="00564B7B"/>
    <w:rsid w:val="00564C0D"/>
    <w:rsid w:val="00564C2C"/>
    <w:rsid w:val="00564D24"/>
    <w:rsid w:val="00564DE2"/>
    <w:rsid w:val="00564E8F"/>
    <w:rsid w:val="00564EFB"/>
    <w:rsid w:val="00564F62"/>
    <w:rsid w:val="0056501C"/>
    <w:rsid w:val="00565048"/>
    <w:rsid w:val="005650B9"/>
    <w:rsid w:val="00565226"/>
    <w:rsid w:val="00565252"/>
    <w:rsid w:val="005652A6"/>
    <w:rsid w:val="005652B7"/>
    <w:rsid w:val="00565317"/>
    <w:rsid w:val="00565653"/>
    <w:rsid w:val="00565654"/>
    <w:rsid w:val="005656A5"/>
    <w:rsid w:val="00565834"/>
    <w:rsid w:val="0056587B"/>
    <w:rsid w:val="005659AC"/>
    <w:rsid w:val="00565A3B"/>
    <w:rsid w:val="00565AED"/>
    <w:rsid w:val="00565AFF"/>
    <w:rsid w:val="00565B8A"/>
    <w:rsid w:val="00565DEB"/>
    <w:rsid w:val="00565F87"/>
    <w:rsid w:val="0056612A"/>
    <w:rsid w:val="005661CC"/>
    <w:rsid w:val="005661FE"/>
    <w:rsid w:val="005662AB"/>
    <w:rsid w:val="00566348"/>
    <w:rsid w:val="005663B8"/>
    <w:rsid w:val="005663FB"/>
    <w:rsid w:val="00566614"/>
    <w:rsid w:val="005666BA"/>
    <w:rsid w:val="005666EF"/>
    <w:rsid w:val="00566A43"/>
    <w:rsid w:val="00566C60"/>
    <w:rsid w:val="00566CE0"/>
    <w:rsid w:val="00566E4F"/>
    <w:rsid w:val="00566EB6"/>
    <w:rsid w:val="005670FB"/>
    <w:rsid w:val="005671DC"/>
    <w:rsid w:val="00567217"/>
    <w:rsid w:val="0056726C"/>
    <w:rsid w:val="005672D2"/>
    <w:rsid w:val="00567370"/>
    <w:rsid w:val="0056745E"/>
    <w:rsid w:val="00567503"/>
    <w:rsid w:val="00567591"/>
    <w:rsid w:val="0056773F"/>
    <w:rsid w:val="00567814"/>
    <w:rsid w:val="00567936"/>
    <w:rsid w:val="00567984"/>
    <w:rsid w:val="005679BA"/>
    <w:rsid w:val="00567A11"/>
    <w:rsid w:val="00567A66"/>
    <w:rsid w:val="00567E1D"/>
    <w:rsid w:val="00567E50"/>
    <w:rsid w:val="00567E68"/>
    <w:rsid w:val="00567EAF"/>
    <w:rsid w:val="00567F04"/>
    <w:rsid w:val="00567F6E"/>
    <w:rsid w:val="00567FF0"/>
    <w:rsid w:val="005700CB"/>
    <w:rsid w:val="005701D8"/>
    <w:rsid w:val="00570260"/>
    <w:rsid w:val="00570329"/>
    <w:rsid w:val="005703FA"/>
    <w:rsid w:val="00570619"/>
    <w:rsid w:val="00570656"/>
    <w:rsid w:val="00570682"/>
    <w:rsid w:val="0057070C"/>
    <w:rsid w:val="00570783"/>
    <w:rsid w:val="005707BF"/>
    <w:rsid w:val="00570810"/>
    <w:rsid w:val="0057085A"/>
    <w:rsid w:val="005709D2"/>
    <w:rsid w:val="005709F1"/>
    <w:rsid w:val="00570AF8"/>
    <w:rsid w:val="00570B33"/>
    <w:rsid w:val="00570B95"/>
    <w:rsid w:val="00570D4F"/>
    <w:rsid w:val="00570D56"/>
    <w:rsid w:val="00570E3A"/>
    <w:rsid w:val="00570EA1"/>
    <w:rsid w:val="00571001"/>
    <w:rsid w:val="005710D3"/>
    <w:rsid w:val="00571233"/>
    <w:rsid w:val="005713C2"/>
    <w:rsid w:val="005713C7"/>
    <w:rsid w:val="005714C5"/>
    <w:rsid w:val="00571586"/>
    <w:rsid w:val="005716A5"/>
    <w:rsid w:val="005716BE"/>
    <w:rsid w:val="00571A2B"/>
    <w:rsid w:val="00571B61"/>
    <w:rsid w:val="00571C4F"/>
    <w:rsid w:val="00571D2E"/>
    <w:rsid w:val="00571FE6"/>
    <w:rsid w:val="00572118"/>
    <w:rsid w:val="00572180"/>
    <w:rsid w:val="00572250"/>
    <w:rsid w:val="00572255"/>
    <w:rsid w:val="00572354"/>
    <w:rsid w:val="00572496"/>
    <w:rsid w:val="00572580"/>
    <w:rsid w:val="005725D4"/>
    <w:rsid w:val="00572698"/>
    <w:rsid w:val="005726A0"/>
    <w:rsid w:val="00572737"/>
    <w:rsid w:val="00572781"/>
    <w:rsid w:val="005727FF"/>
    <w:rsid w:val="0057284E"/>
    <w:rsid w:val="0057288C"/>
    <w:rsid w:val="0057289A"/>
    <w:rsid w:val="005728A1"/>
    <w:rsid w:val="0057290B"/>
    <w:rsid w:val="005729C3"/>
    <w:rsid w:val="00572BA4"/>
    <w:rsid w:val="00572C8E"/>
    <w:rsid w:val="00572DE5"/>
    <w:rsid w:val="00572EBE"/>
    <w:rsid w:val="00572FC4"/>
    <w:rsid w:val="0057307A"/>
    <w:rsid w:val="0057318C"/>
    <w:rsid w:val="00573388"/>
    <w:rsid w:val="005734C9"/>
    <w:rsid w:val="00573567"/>
    <w:rsid w:val="005735BD"/>
    <w:rsid w:val="005735C0"/>
    <w:rsid w:val="005735C1"/>
    <w:rsid w:val="005736A7"/>
    <w:rsid w:val="005736B8"/>
    <w:rsid w:val="005737E4"/>
    <w:rsid w:val="005738A0"/>
    <w:rsid w:val="0057390F"/>
    <w:rsid w:val="00573B86"/>
    <w:rsid w:val="00573BAA"/>
    <w:rsid w:val="00573C7C"/>
    <w:rsid w:val="00573E72"/>
    <w:rsid w:val="00573F37"/>
    <w:rsid w:val="00573F8D"/>
    <w:rsid w:val="0057407D"/>
    <w:rsid w:val="005740E4"/>
    <w:rsid w:val="005743C5"/>
    <w:rsid w:val="0057446E"/>
    <w:rsid w:val="005744FE"/>
    <w:rsid w:val="0057456A"/>
    <w:rsid w:val="005745BC"/>
    <w:rsid w:val="00574611"/>
    <w:rsid w:val="0057463B"/>
    <w:rsid w:val="0057464E"/>
    <w:rsid w:val="005746E9"/>
    <w:rsid w:val="0057470A"/>
    <w:rsid w:val="005747BF"/>
    <w:rsid w:val="005747D1"/>
    <w:rsid w:val="005747F0"/>
    <w:rsid w:val="00574ABF"/>
    <w:rsid w:val="00574AD7"/>
    <w:rsid w:val="00574BAC"/>
    <w:rsid w:val="00574BBD"/>
    <w:rsid w:val="00574C4A"/>
    <w:rsid w:val="00574D63"/>
    <w:rsid w:val="00574D78"/>
    <w:rsid w:val="00574DC9"/>
    <w:rsid w:val="00574E0C"/>
    <w:rsid w:val="00574EA3"/>
    <w:rsid w:val="00574ED5"/>
    <w:rsid w:val="00574EE4"/>
    <w:rsid w:val="00574F47"/>
    <w:rsid w:val="00575140"/>
    <w:rsid w:val="005752CC"/>
    <w:rsid w:val="005753A1"/>
    <w:rsid w:val="005754F5"/>
    <w:rsid w:val="00575528"/>
    <w:rsid w:val="0057567E"/>
    <w:rsid w:val="00575764"/>
    <w:rsid w:val="00575766"/>
    <w:rsid w:val="005757C3"/>
    <w:rsid w:val="00575911"/>
    <w:rsid w:val="00575B0A"/>
    <w:rsid w:val="00575C10"/>
    <w:rsid w:val="00575D19"/>
    <w:rsid w:val="00575E33"/>
    <w:rsid w:val="00575EFB"/>
    <w:rsid w:val="00575F03"/>
    <w:rsid w:val="00575F34"/>
    <w:rsid w:val="00575F75"/>
    <w:rsid w:val="00575FF2"/>
    <w:rsid w:val="00576011"/>
    <w:rsid w:val="00576051"/>
    <w:rsid w:val="00576074"/>
    <w:rsid w:val="00576126"/>
    <w:rsid w:val="005762DF"/>
    <w:rsid w:val="00576483"/>
    <w:rsid w:val="005764E2"/>
    <w:rsid w:val="00576609"/>
    <w:rsid w:val="0057686C"/>
    <w:rsid w:val="005768BF"/>
    <w:rsid w:val="00576AF7"/>
    <w:rsid w:val="00576B6E"/>
    <w:rsid w:val="00576BD0"/>
    <w:rsid w:val="00576C30"/>
    <w:rsid w:val="00576C36"/>
    <w:rsid w:val="00576C61"/>
    <w:rsid w:val="00576C69"/>
    <w:rsid w:val="00576D3B"/>
    <w:rsid w:val="00576D87"/>
    <w:rsid w:val="00576DA3"/>
    <w:rsid w:val="00576DCE"/>
    <w:rsid w:val="00576EEB"/>
    <w:rsid w:val="00576F5E"/>
    <w:rsid w:val="005770A2"/>
    <w:rsid w:val="005770EC"/>
    <w:rsid w:val="00577169"/>
    <w:rsid w:val="005771A6"/>
    <w:rsid w:val="005771B9"/>
    <w:rsid w:val="005771C9"/>
    <w:rsid w:val="005771E7"/>
    <w:rsid w:val="00577283"/>
    <w:rsid w:val="005772E6"/>
    <w:rsid w:val="00577518"/>
    <w:rsid w:val="00577730"/>
    <w:rsid w:val="005778C8"/>
    <w:rsid w:val="005778ED"/>
    <w:rsid w:val="005779D5"/>
    <w:rsid w:val="00577A62"/>
    <w:rsid w:val="00577AA4"/>
    <w:rsid w:val="00577B62"/>
    <w:rsid w:val="00577DC6"/>
    <w:rsid w:val="00577DCB"/>
    <w:rsid w:val="00577DD8"/>
    <w:rsid w:val="00577F8A"/>
    <w:rsid w:val="005801E6"/>
    <w:rsid w:val="00580308"/>
    <w:rsid w:val="00580445"/>
    <w:rsid w:val="00580513"/>
    <w:rsid w:val="0058054F"/>
    <w:rsid w:val="0058064B"/>
    <w:rsid w:val="00580850"/>
    <w:rsid w:val="00580A42"/>
    <w:rsid w:val="00580A9F"/>
    <w:rsid w:val="00580C8A"/>
    <w:rsid w:val="00580DD1"/>
    <w:rsid w:val="00580E51"/>
    <w:rsid w:val="00580E8C"/>
    <w:rsid w:val="00580F36"/>
    <w:rsid w:val="00581125"/>
    <w:rsid w:val="00581246"/>
    <w:rsid w:val="005813FC"/>
    <w:rsid w:val="0058142F"/>
    <w:rsid w:val="0058148C"/>
    <w:rsid w:val="00581492"/>
    <w:rsid w:val="005814F2"/>
    <w:rsid w:val="0058154D"/>
    <w:rsid w:val="0058157E"/>
    <w:rsid w:val="005815D0"/>
    <w:rsid w:val="0058168B"/>
    <w:rsid w:val="005816E9"/>
    <w:rsid w:val="00581703"/>
    <w:rsid w:val="00581A29"/>
    <w:rsid w:val="00581A80"/>
    <w:rsid w:val="00581BDB"/>
    <w:rsid w:val="00581CD3"/>
    <w:rsid w:val="00581DFF"/>
    <w:rsid w:val="00581E98"/>
    <w:rsid w:val="00581EAD"/>
    <w:rsid w:val="00582005"/>
    <w:rsid w:val="00582048"/>
    <w:rsid w:val="005820C3"/>
    <w:rsid w:val="005820F5"/>
    <w:rsid w:val="00582109"/>
    <w:rsid w:val="0058214B"/>
    <w:rsid w:val="005821CC"/>
    <w:rsid w:val="00582307"/>
    <w:rsid w:val="005823AF"/>
    <w:rsid w:val="0058271E"/>
    <w:rsid w:val="005828A9"/>
    <w:rsid w:val="005829BE"/>
    <w:rsid w:val="005829CE"/>
    <w:rsid w:val="00582A4C"/>
    <w:rsid w:val="00582BE1"/>
    <w:rsid w:val="00582C27"/>
    <w:rsid w:val="00582C47"/>
    <w:rsid w:val="00582DA3"/>
    <w:rsid w:val="00582E55"/>
    <w:rsid w:val="00582F9A"/>
    <w:rsid w:val="00582FD7"/>
    <w:rsid w:val="00582FE7"/>
    <w:rsid w:val="0058317C"/>
    <w:rsid w:val="00583216"/>
    <w:rsid w:val="00583308"/>
    <w:rsid w:val="00583341"/>
    <w:rsid w:val="005833CC"/>
    <w:rsid w:val="00583474"/>
    <w:rsid w:val="005834C6"/>
    <w:rsid w:val="005836D8"/>
    <w:rsid w:val="005836EC"/>
    <w:rsid w:val="005836F0"/>
    <w:rsid w:val="0058372A"/>
    <w:rsid w:val="0058372C"/>
    <w:rsid w:val="0058379E"/>
    <w:rsid w:val="005837F9"/>
    <w:rsid w:val="00583888"/>
    <w:rsid w:val="005838D8"/>
    <w:rsid w:val="00583BF4"/>
    <w:rsid w:val="00583C3C"/>
    <w:rsid w:val="00583C93"/>
    <w:rsid w:val="00583D4A"/>
    <w:rsid w:val="00583DF8"/>
    <w:rsid w:val="00583F1A"/>
    <w:rsid w:val="00583F42"/>
    <w:rsid w:val="00583F48"/>
    <w:rsid w:val="00583F4B"/>
    <w:rsid w:val="00583F95"/>
    <w:rsid w:val="0058402F"/>
    <w:rsid w:val="0058403E"/>
    <w:rsid w:val="00584160"/>
    <w:rsid w:val="005841AB"/>
    <w:rsid w:val="0058427C"/>
    <w:rsid w:val="00584300"/>
    <w:rsid w:val="0058435E"/>
    <w:rsid w:val="005843B4"/>
    <w:rsid w:val="00584478"/>
    <w:rsid w:val="005844CA"/>
    <w:rsid w:val="005846F4"/>
    <w:rsid w:val="0058471E"/>
    <w:rsid w:val="00584720"/>
    <w:rsid w:val="00584860"/>
    <w:rsid w:val="005849F1"/>
    <w:rsid w:val="00584A0D"/>
    <w:rsid w:val="00584AB4"/>
    <w:rsid w:val="00584AD9"/>
    <w:rsid w:val="00584C47"/>
    <w:rsid w:val="00584C5B"/>
    <w:rsid w:val="00584C65"/>
    <w:rsid w:val="00584C72"/>
    <w:rsid w:val="00584CD0"/>
    <w:rsid w:val="00584D33"/>
    <w:rsid w:val="00584D9E"/>
    <w:rsid w:val="00584DD6"/>
    <w:rsid w:val="00584E1C"/>
    <w:rsid w:val="00584E90"/>
    <w:rsid w:val="00584F11"/>
    <w:rsid w:val="00584F16"/>
    <w:rsid w:val="00584F62"/>
    <w:rsid w:val="00584FA9"/>
    <w:rsid w:val="00585033"/>
    <w:rsid w:val="00585074"/>
    <w:rsid w:val="00585220"/>
    <w:rsid w:val="005852E5"/>
    <w:rsid w:val="00585368"/>
    <w:rsid w:val="0058536E"/>
    <w:rsid w:val="00585382"/>
    <w:rsid w:val="005853D0"/>
    <w:rsid w:val="005853ED"/>
    <w:rsid w:val="005853FC"/>
    <w:rsid w:val="00585593"/>
    <w:rsid w:val="005855DA"/>
    <w:rsid w:val="0058569B"/>
    <w:rsid w:val="005856CB"/>
    <w:rsid w:val="00585704"/>
    <w:rsid w:val="00585737"/>
    <w:rsid w:val="005857DC"/>
    <w:rsid w:val="00585801"/>
    <w:rsid w:val="00585873"/>
    <w:rsid w:val="005858A3"/>
    <w:rsid w:val="0058594A"/>
    <w:rsid w:val="005859C8"/>
    <w:rsid w:val="005859CA"/>
    <w:rsid w:val="005859E8"/>
    <w:rsid w:val="00585A66"/>
    <w:rsid w:val="00585ADB"/>
    <w:rsid w:val="00585B72"/>
    <w:rsid w:val="00585C68"/>
    <w:rsid w:val="00585E2B"/>
    <w:rsid w:val="00585E3B"/>
    <w:rsid w:val="00585ECF"/>
    <w:rsid w:val="00585ED5"/>
    <w:rsid w:val="00585F85"/>
    <w:rsid w:val="00586043"/>
    <w:rsid w:val="005861FF"/>
    <w:rsid w:val="0058634B"/>
    <w:rsid w:val="00586463"/>
    <w:rsid w:val="0058653F"/>
    <w:rsid w:val="00586637"/>
    <w:rsid w:val="00586723"/>
    <w:rsid w:val="00586810"/>
    <w:rsid w:val="00586866"/>
    <w:rsid w:val="00586923"/>
    <w:rsid w:val="0058698D"/>
    <w:rsid w:val="00586AE3"/>
    <w:rsid w:val="00586F5B"/>
    <w:rsid w:val="00586FA0"/>
    <w:rsid w:val="005870CC"/>
    <w:rsid w:val="00587114"/>
    <w:rsid w:val="0058719D"/>
    <w:rsid w:val="005872CE"/>
    <w:rsid w:val="00587462"/>
    <w:rsid w:val="005874F1"/>
    <w:rsid w:val="00587712"/>
    <w:rsid w:val="0058776E"/>
    <w:rsid w:val="0058777E"/>
    <w:rsid w:val="00587787"/>
    <w:rsid w:val="00587819"/>
    <w:rsid w:val="00587903"/>
    <w:rsid w:val="00587912"/>
    <w:rsid w:val="00587A61"/>
    <w:rsid w:val="00587AF0"/>
    <w:rsid w:val="00587C97"/>
    <w:rsid w:val="00587CF7"/>
    <w:rsid w:val="00587DB6"/>
    <w:rsid w:val="00587E8D"/>
    <w:rsid w:val="0059000A"/>
    <w:rsid w:val="0059018E"/>
    <w:rsid w:val="005901B3"/>
    <w:rsid w:val="005901D3"/>
    <w:rsid w:val="0059021D"/>
    <w:rsid w:val="0059029C"/>
    <w:rsid w:val="0059039F"/>
    <w:rsid w:val="005903EA"/>
    <w:rsid w:val="005904F1"/>
    <w:rsid w:val="00590650"/>
    <w:rsid w:val="00590684"/>
    <w:rsid w:val="005907A0"/>
    <w:rsid w:val="005907F0"/>
    <w:rsid w:val="00590805"/>
    <w:rsid w:val="00590865"/>
    <w:rsid w:val="005909F9"/>
    <w:rsid w:val="00590AAD"/>
    <w:rsid w:val="00590B06"/>
    <w:rsid w:val="00590C71"/>
    <w:rsid w:val="00590CC2"/>
    <w:rsid w:val="00590D97"/>
    <w:rsid w:val="00590DD5"/>
    <w:rsid w:val="00590E61"/>
    <w:rsid w:val="00590F6C"/>
    <w:rsid w:val="00590FEC"/>
    <w:rsid w:val="0059107C"/>
    <w:rsid w:val="0059111C"/>
    <w:rsid w:val="00591249"/>
    <w:rsid w:val="005912A0"/>
    <w:rsid w:val="00591325"/>
    <w:rsid w:val="00591331"/>
    <w:rsid w:val="00591431"/>
    <w:rsid w:val="00591574"/>
    <w:rsid w:val="00591673"/>
    <w:rsid w:val="0059169D"/>
    <w:rsid w:val="00591920"/>
    <w:rsid w:val="00591A11"/>
    <w:rsid w:val="00591B06"/>
    <w:rsid w:val="00591E42"/>
    <w:rsid w:val="00591E45"/>
    <w:rsid w:val="00591E8E"/>
    <w:rsid w:val="00592044"/>
    <w:rsid w:val="00592060"/>
    <w:rsid w:val="005920A6"/>
    <w:rsid w:val="0059212B"/>
    <w:rsid w:val="00592174"/>
    <w:rsid w:val="00592387"/>
    <w:rsid w:val="005923B9"/>
    <w:rsid w:val="00592543"/>
    <w:rsid w:val="005925A1"/>
    <w:rsid w:val="0059260A"/>
    <w:rsid w:val="005926CD"/>
    <w:rsid w:val="005926E9"/>
    <w:rsid w:val="00592811"/>
    <w:rsid w:val="0059281D"/>
    <w:rsid w:val="0059288D"/>
    <w:rsid w:val="005928E8"/>
    <w:rsid w:val="00592966"/>
    <w:rsid w:val="00592972"/>
    <w:rsid w:val="00592ABD"/>
    <w:rsid w:val="00592C3E"/>
    <w:rsid w:val="00592D52"/>
    <w:rsid w:val="00592E59"/>
    <w:rsid w:val="00592F40"/>
    <w:rsid w:val="0059302F"/>
    <w:rsid w:val="00593032"/>
    <w:rsid w:val="005930B8"/>
    <w:rsid w:val="005930DD"/>
    <w:rsid w:val="00593171"/>
    <w:rsid w:val="0059319E"/>
    <w:rsid w:val="00593284"/>
    <w:rsid w:val="005932BD"/>
    <w:rsid w:val="00593346"/>
    <w:rsid w:val="00593453"/>
    <w:rsid w:val="00593471"/>
    <w:rsid w:val="005934A8"/>
    <w:rsid w:val="00593532"/>
    <w:rsid w:val="005935DF"/>
    <w:rsid w:val="005936B5"/>
    <w:rsid w:val="00593790"/>
    <w:rsid w:val="00593824"/>
    <w:rsid w:val="005938AB"/>
    <w:rsid w:val="0059398E"/>
    <w:rsid w:val="00593BD4"/>
    <w:rsid w:val="00593C8E"/>
    <w:rsid w:val="00593CCE"/>
    <w:rsid w:val="00593CEA"/>
    <w:rsid w:val="00593DA0"/>
    <w:rsid w:val="00593DD8"/>
    <w:rsid w:val="00593E34"/>
    <w:rsid w:val="00593E6E"/>
    <w:rsid w:val="00593EA4"/>
    <w:rsid w:val="005940AC"/>
    <w:rsid w:val="0059414B"/>
    <w:rsid w:val="0059418D"/>
    <w:rsid w:val="005941CD"/>
    <w:rsid w:val="005942AA"/>
    <w:rsid w:val="00594308"/>
    <w:rsid w:val="0059431A"/>
    <w:rsid w:val="0059433F"/>
    <w:rsid w:val="0059440A"/>
    <w:rsid w:val="0059443B"/>
    <w:rsid w:val="00594530"/>
    <w:rsid w:val="0059454C"/>
    <w:rsid w:val="005945F5"/>
    <w:rsid w:val="00594667"/>
    <w:rsid w:val="0059473A"/>
    <w:rsid w:val="0059474C"/>
    <w:rsid w:val="005948D1"/>
    <w:rsid w:val="005949EB"/>
    <w:rsid w:val="00594BFB"/>
    <w:rsid w:val="00594C4C"/>
    <w:rsid w:val="00594D25"/>
    <w:rsid w:val="00594F30"/>
    <w:rsid w:val="00594FC6"/>
    <w:rsid w:val="00595039"/>
    <w:rsid w:val="00595048"/>
    <w:rsid w:val="00595075"/>
    <w:rsid w:val="0059511E"/>
    <w:rsid w:val="005951A8"/>
    <w:rsid w:val="0059548C"/>
    <w:rsid w:val="0059564E"/>
    <w:rsid w:val="0059578B"/>
    <w:rsid w:val="0059584E"/>
    <w:rsid w:val="00595904"/>
    <w:rsid w:val="0059599D"/>
    <w:rsid w:val="00595C1D"/>
    <w:rsid w:val="00595D2C"/>
    <w:rsid w:val="00595DC5"/>
    <w:rsid w:val="00595DF8"/>
    <w:rsid w:val="00595DFB"/>
    <w:rsid w:val="00595E59"/>
    <w:rsid w:val="00595FBD"/>
    <w:rsid w:val="00596070"/>
    <w:rsid w:val="005960EC"/>
    <w:rsid w:val="005961AA"/>
    <w:rsid w:val="005961F2"/>
    <w:rsid w:val="00596320"/>
    <w:rsid w:val="00596369"/>
    <w:rsid w:val="005964E1"/>
    <w:rsid w:val="0059676D"/>
    <w:rsid w:val="005967F5"/>
    <w:rsid w:val="00596885"/>
    <w:rsid w:val="00596951"/>
    <w:rsid w:val="005969AD"/>
    <w:rsid w:val="00596A25"/>
    <w:rsid w:val="00596A27"/>
    <w:rsid w:val="00596A2A"/>
    <w:rsid w:val="00596C23"/>
    <w:rsid w:val="00596C8B"/>
    <w:rsid w:val="00596F01"/>
    <w:rsid w:val="00596FAB"/>
    <w:rsid w:val="00597092"/>
    <w:rsid w:val="00597109"/>
    <w:rsid w:val="005971C2"/>
    <w:rsid w:val="00597240"/>
    <w:rsid w:val="00597282"/>
    <w:rsid w:val="00597428"/>
    <w:rsid w:val="00597446"/>
    <w:rsid w:val="005974F3"/>
    <w:rsid w:val="0059778E"/>
    <w:rsid w:val="00597823"/>
    <w:rsid w:val="005978D2"/>
    <w:rsid w:val="005979D6"/>
    <w:rsid w:val="00597A5F"/>
    <w:rsid w:val="00597B9E"/>
    <w:rsid w:val="00597DD8"/>
    <w:rsid w:val="00597E4E"/>
    <w:rsid w:val="00597EDF"/>
    <w:rsid w:val="00597F4E"/>
    <w:rsid w:val="00597FE8"/>
    <w:rsid w:val="005A0005"/>
    <w:rsid w:val="005A0047"/>
    <w:rsid w:val="005A0177"/>
    <w:rsid w:val="005A023D"/>
    <w:rsid w:val="005A0243"/>
    <w:rsid w:val="005A033C"/>
    <w:rsid w:val="005A045C"/>
    <w:rsid w:val="005A0499"/>
    <w:rsid w:val="005A05F4"/>
    <w:rsid w:val="005A061C"/>
    <w:rsid w:val="005A0B3A"/>
    <w:rsid w:val="005A0B8D"/>
    <w:rsid w:val="005A0C00"/>
    <w:rsid w:val="005A0C1B"/>
    <w:rsid w:val="005A0C51"/>
    <w:rsid w:val="005A0CA5"/>
    <w:rsid w:val="005A0D2E"/>
    <w:rsid w:val="005A0D4E"/>
    <w:rsid w:val="005A0DAC"/>
    <w:rsid w:val="005A0EF1"/>
    <w:rsid w:val="005A0F3F"/>
    <w:rsid w:val="005A10AF"/>
    <w:rsid w:val="005A1104"/>
    <w:rsid w:val="005A1124"/>
    <w:rsid w:val="005A1153"/>
    <w:rsid w:val="005A132A"/>
    <w:rsid w:val="005A1454"/>
    <w:rsid w:val="005A153F"/>
    <w:rsid w:val="005A15FF"/>
    <w:rsid w:val="005A16EE"/>
    <w:rsid w:val="005A1707"/>
    <w:rsid w:val="005A1736"/>
    <w:rsid w:val="005A174E"/>
    <w:rsid w:val="005A176C"/>
    <w:rsid w:val="005A185A"/>
    <w:rsid w:val="005A1912"/>
    <w:rsid w:val="005A1955"/>
    <w:rsid w:val="005A19D5"/>
    <w:rsid w:val="005A1A3D"/>
    <w:rsid w:val="005A1A5C"/>
    <w:rsid w:val="005A1BA2"/>
    <w:rsid w:val="005A1C17"/>
    <w:rsid w:val="005A1C39"/>
    <w:rsid w:val="005A1C48"/>
    <w:rsid w:val="005A1C7F"/>
    <w:rsid w:val="005A1D54"/>
    <w:rsid w:val="005A1D71"/>
    <w:rsid w:val="005A1DE0"/>
    <w:rsid w:val="005A1E93"/>
    <w:rsid w:val="005A20ED"/>
    <w:rsid w:val="005A21BA"/>
    <w:rsid w:val="005A21E2"/>
    <w:rsid w:val="005A2274"/>
    <w:rsid w:val="005A227F"/>
    <w:rsid w:val="005A22C9"/>
    <w:rsid w:val="005A22D5"/>
    <w:rsid w:val="005A22E6"/>
    <w:rsid w:val="005A25D4"/>
    <w:rsid w:val="005A2633"/>
    <w:rsid w:val="005A278B"/>
    <w:rsid w:val="005A27BB"/>
    <w:rsid w:val="005A2890"/>
    <w:rsid w:val="005A28C1"/>
    <w:rsid w:val="005A299C"/>
    <w:rsid w:val="005A2A97"/>
    <w:rsid w:val="005A2AFB"/>
    <w:rsid w:val="005A2C58"/>
    <w:rsid w:val="005A2CFD"/>
    <w:rsid w:val="005A2DFE"/>
    <w:rsid w:val="005A2F24"/>
    <w:rsid w:val="005A2F5F"/>
    <w:rsid w:val="005A2FF9"/>
    <w:rsid w:val="005A30E6"/>
    <w:rsid w:val="005A31F5"/>
    <w:rsid w:val="005A3257"/>
    <w:rsid w:val="005A32D6"/>
    <w:rsid w:val="005A32F1"/>
    <w:rsid w:val="005A35B9"/>
    <w:rsid w:val="005A35BC"/>
    <w:rsid w:val="005A3675"/>
    <w:rsid w:val="005A36D3"/>
    <w:rsid w:val="005A371B"/>
    <w:rsid w:val="005A3765"/>
    <w:rsid w:val="005A3842"/>
    <w:rsid w:val="005A39F2"/>
    <w:rsid w:val="005A3A51"/>
    <w:rsid w:val="005A3BB3"/>
    <w:rsid w:val="005A3DEE"/>
    <w:rsid w:val="005A3F27"/>
    <w:rsid w:val="005A4155"/>
    <w:rsid w:val="005A4170"/>
    <w:rsid w:val="005A455D"/>
    <w:rsid w:val="005A4595"/>
    <w:rsid w:val="005A466E"/>
    <w:rsid w:val="005A489E"/>
    <w:rsid w:val="005A4A45"/>
    <w:rsid w:val="005A4C1E"/>
    <w:rsid w:val="005A4C91"/>
    <w:rsid w:val="005A4CEC"/>
    <w:rsid w:val="005A4D41"/>
    <w:rsid w:val="005A4E5F"/>
    <w:rsid w:val="005A4E79"/>
    <w:rsid w:val="005A4F4E"/>
    <w:rsid w:val="005A4FCF"/>
    <w:rsid w:val="005A506A"/>
    <w:rsid w:val="005A51B3"/>
    <w:rsid w:val="005A526C"/>
    <w:rsid w:val="005A52AD"/>
    <w:rsid w:val="005A554F"/>
    <w:rsid w:val="005A5610"/>
    <w:rsid w:val="005A5751"/>
    <w:rsid w:val="005A58C5"/>
    <w:rsid w:val="005A58DC"/>
    <w:rsid w:val="005A59F1"/>
    <w:rsid w:val="005A5B2A"/>
    <w:rsid w:val="005A5CE4"/>
    <w:rsid w:val="005A5D26"/>
    <w:rsid w:val="005A5DD0"/>
    <w:rsid w:val="005A5F2F"/>
    <w:rsid w:val="005A6002"/>
    <w:rsid w:val="005A6051"/>
    <w:rsid w:val="005A6191"/>
    <w:rsid w:val="005A62F4"/>
    <w:rsid w:val="005A634E"/>
    <w:rsid w:val="005A63E4"/>
    <w:rsid w:val="005A6413"/>
    <w:rsid w:val="005A6485"/>
    <w:rsid w:val="005A65BA"/>
    <w:rsid w:val="005A6621"/>
    <w:rsid w:val="005A67AA"/>
    <w:rsid w:val="005A67C0"/>
    <w:rsid w:val="005A682D"/>
    <w:rsid w:val="005A68A1"/>
    <w:rsid w:val="005A68FD"/>
    <w:rsid w:val="005A69E3"/>
    <w:rsid w:val="005A6A9B"/>
    <w:rsid w:val="005A6B31"/>
    <w:rsid w:val="005A6B67"/>
    <w:rsid w:val="005A6BAF"/>
    <w:rsid w:val="005A6C21"/>
    <w:rsid w:val="005A6D52"/>
    <w:rsid w:val="005A6DA3"/>
    <w:rsid w:val="005A6E0C"/>
    <w:rsid w:val="005A6E38"/>
    <w:rsid w:val="005A6EEB"/>
    <w:rsid w:val="005A70A4"/>
    <w:rsid w:val="005A71D0"/>
    <w:rsid w:val="005A71E3"/>
    <w:rsid w:val="005A7422"/>
    <w:rsid w:val="005A749B"/>
    <w:rsid w:val="005A749C"/>
    <w:rsid w:val="005A75AF"/>
    <w:rsid w:val="005A75EC"/>
    <w:rsid w:val="005A75FA"/>
    <w:rsid w:val="005A760E"/>
    <w:rsid w:val="005A7647"/>
    <w:rsid w:val="005A766F"/>
    <w:rsid w:val="005A7698"/>
    <w:rsid w:val="005A76BC"/>
    <w:rsid w:val="005A77C0"/>
    <w:rsid w:val="005A77D0"/>
    <w:rsid w:val="005A78CF"/>
    <w:rsid w:val="005A7B22"/>
    <w:rsid w:val="005A7B59"/>
    <w:rsid w:val="005A7BB7"/>
    <w:rsid w:val="005A7C07"/>
    <w:rsid w:val="005A7C13"/>
    <w:rsid w:val="005A7C9A"/>
    <w:rsid w:val="005A7DA5"/>
    <w:rsid w:val="005A7F1E"/>
    <w:rsid w:val="005A7F9B"/>
    <w:rsid w:val="005A7FB1"/>
    <w:rsid w:val="005A7FD3"/>
    <w:rsid w:val="005A7FF2"/>
    <w:rsid w:val="005B0002"/>
    <w:rsid w:val="005B0063"/>
    <w:rsid w:val="005B00B8"/>
    <w:rsid w:val="005B00D1"/>
    <w:rsid w:val="005B00EA"/>
    <w:rsid w:val="005B00EE"/>
    <w:rsid w:val="005B0112"/>
    <w:rsid w:val="005B017C"/>
    <w:rsid w:val="005B01A9"/>
    <w:rsid w:val="005B020D"/>
    <w:rsid w:val="005B02CC"/>
    <w:rsid w:val="005B0352"/>
    <w:rsid w:val="005B03A2"/>
    <w:rsid w:val="005B0571"/>
    <w:rsid w:val="005B0604"/>
    <w:rsid w:val="005B0674"/>
    <w:rsid w:val="005B0729"/>
    <w:rsid w:val="005B0739"/>
    <w:rsid w:val="005B0805"/>
    <w:rsid w:val="005B08F2"/>
    <w:rsid w:val="005B09A5"/>
    <w:rsid w:val="005B0A50"/>
    <w:rsid w:val="005B0AAD"/>
    <w:rsid w:val="005B0C32"/>
    <w:rsid w:val="005B0DA5"/>
    <w:rsid w:val="005B0E17"/>
    <w:rsid w:val="005B0ED1"/>
    <w:rsid w:val="005B0F92"/>
    <w:rsid w:val="005B102E"/>
    <w:rsid w:val="005B105D"/>
    <w:rsid w:val="005B114F"/>
    <w:rsid w:val="005B1194"/>
    <w:rsid w:val="005B12AD"/>
    <w:rsid w:val="005B12E8"/>
    <w:rsid w:val="005B135F"/>
    <w:rsid w:val="005B13D8"/>
    <w:rsid w:val="005B14DD"/>
    <w:rsid w:val="005B1547"/>
    <w:rsid w:val="005B1595"/>
    <w:rsid w:val="005B15B4"/>
    <w:rsid w:val="005B1693"/>
    <w:rsid w:val="005B1729"/>
    <w:rsid w:val="005B1763"/>
    <w:rsid w:val="005B182F"/>
    <w:rsid w:val="005B1900"/>
    <w:rsid w:val="005B1914"/>
    <w:rsid w:val="005B19A0"/>
    <w:rsid w:val="005B1A12"/>
    <w:rsid w:val="005B1BBC"/>
    <w:rsid w:val="005B1BEA"/>
    <w:rsid w:val="005B1D5F"/>
    <w:rsid w:val="005B1DA4"/>
    <w:rsid w:val="005B1F97"/>
    <w:rsid w:val="005B203C"/>
    <w:rsid w:val="005B20F6"/>
    <w:rsid w:val="005B21B1"/>
    <w:rsid w:val="005B2421"/>
    <w:rsid w:val="005B26D7"/>
    <w:rsid w:val="005B2717"/>
    <w:rsid w:val="005B27B2"/>
    <w:rsid w:val="005B2868"/>
    <w:rsid w:val="005B2879"/>
    <w:rsid w:val="005B28A0"/>
    <w:rsid w:val="005B28E9"/>
    <w:rsid w:val="005B2938"/>
    <w:rsid w:val="005B2A89"/>
    <w:rsid w:val="005B2AC9"/>
    <w:rsid w:val="005B2B50"/>
    <w:rsid w:val="005B2BB4"/>
    <w:rsid w:val="005B2C50"/>
    <w:rsid w:val="005B2C9F"/>
    <w:rsid w:val="005B2D21"/>
    <w:rsid w:val="005B2DE5"/>
    <w:rsid w:val="005B2E3B"/>
    <w:rsid w:val="005B2E45"/>
    <w:rsid w:val="005B2EBA"/>
    <w:rsid w:val="005B3130"/>
    <w:rsid w:val="005B31FB"/>
    <w:rsid w:val="005B3205"/>
    <w:rsid w:val="005B323A"/>
    <w:rsid w:val="005B32CD"/>
    <w:rsid w:val="005B3372"/>
    <w:rsid w:val="005B33A5"/>
    <w:rsid w:val="005B33A7"/>
    <w:rsid w:val="005B3419"/>
    <w:rsid w:val="005B34D8"/>
    <w:rsid w:val="005B3525"/>
    <w:rsid w:val="005B35B5"/>
    <w:rsid w:val="005B3708"/>
    <w:rsid w:val="005B380B"/>
    <w:rsid w:val="005B3BE8"/>
    <w:rsid w:val="005B3C59"/>
    <w:rsid w:val="005B3CD1"/>
    <w:rsid w:val="005B3ED7"/>
    <w:rsid w:val="005B3EEF"/>
    <w:rsid w:val="005B3FA2"/>
    <w:rsid w:val="005B4097"/>
    <w:rsid w:val="005B40A8"/>
    <w:rsid w:val="005B40F4"/>
    <w:rsid w:val="005B41BC"/>
    <w:rsid w:val="005B432F"/>
    <w:rsid w:val="005B440F"/>
    <w:rsid w:val="005B44F6"/>
    <w:rsid w:val="005B45D4"/>
    <w:rsid w:val="005B47ED"/>
    <w:rsid w:val="005B49A6"/>
    <w:rsid w:val="005B4A2B"/>
    <w:rsid w:val="005B4A9B"/>
    <w:rsid w:val="005B4ACC"/>
    <w:rsid w:val="005B4AF4"/>
    <w:rsid w:val="005B4C2F"/>
    <w:rsid w:val="005B4C4E"/>
    <w:rsid w:val="005B4CBC"/>
    <w:rsid w:val="005B4D8C"/>
    <w:rsid w:val="005B4DE6"/>
    <w:rsid w:val="005B4DEA"/>
    <w:rsid w:val="005B4EA5"/>
    <w:rsid w:val="005B4EC4"/>
    <w:rsid w:val="005B514D"/>
    <w:rsid w:val="005B53A6"/>
    <w:rsid w:val="005B53C6"/>
    <w:rsid w:val="005B5439"/>
    <w:rsid w:val="005B54E6"/>
    <w:rsid w:val="005B574F"/>
    <w:rsid w:val="005B5781"/>
    <w:rsid w:val="005B57D8"/>
    <w:rsid w:val="005B57E0"/>
    <w:rsid w:val="005B588F"/>
    <w:rsid w:val="005B591C"/>
    <w:rsid w:val="005B5958"/>
    <w:rsid w:val="005B5960"/>
    <w:rsid w:val="005B59B6"/>
    <w:rsid w:val="005B59F7"/>
    <w:rsid w:val="005B5A0C"/>
    <w:rsid w:val="005B5A15"/>
    <w:rsid w:val="005B5A3C"/>
    <w:rsid w:val="005B5A40"/>
    <w:rsid w:val="005B5A49"/>
    <w:rsid w:val="005B5A6D"/>
    <w:rsid w:val="005B5C0C"/>
    <w:rsid w:val="005B5CB2"/>
    <w:rsid w:val="005B5D60"/>
    <w:rsid w:val="005B5E4A"/>
    <w:rsid w:val="005B5F21"/>
    <w:rsid w:val="005B5FE1"/>
    <w:rsid w:val="005B6135"/>
    <w:rsid w:val="005B61F8"/>
    <w:rsid w:val="005B6288"/>
    <w:rsid w:val="005B6579"/>
    <w:rsid w:val="005B68A4"/>
    <w:rsid w:val="005B68F4"/>
    <w:rsid w:val="005B69EA"/>
    <w:rsid w:val="005B6CB6"/>
    <w:rsid w:val="005B6CE5"/>
    <w:rsid w:val="005B6D6A"/>
    <w:rsid w:val="005B6E16"/>
    <w:rsid w:val="005B6FC9"/>
    <w:rsid w:val="005B6FCE"/>
    <w:rsid w:val="005B7050"/>
    <w:rsid w:val="005B719C"/>
    <w:rsid w:val="005B7306"/>
    <w:rsid w:val="005B739F"/>
    <w:rsid w:val="005B7447"/>
    <w:rsid w:val="005B74CD"/>
    <w:rsid w:val="005B77AA"/>
    <w:rsid w:val="005B7866"/>
    <w:rsid w:val="005B7883"/>
    <w:rsid w:val="005B78F8"/>
    <w:rsid w:val="005B794B"/>
    <w:rsid w:val="005B79B9"/>
    <w:rsid w:val="005B7BB3"/>
    <w:rsid w:val="005B7BCA"/>
    <w:rsid w:val="005B7C3E"/>
    <w:rsid w:val="005B7D65"/>
    <w:rsid w:val="005B7FF7"/>
    <w:rsid w:val="005C0024"/>
    <w:rsid w:val="005C00A5"/>
    <w:rsid w:val="005C059D"/>
    <w:rsid w:val="005C06C2"/>
    <w:rsid w:val="005C0738"/>
    <w:rsid w:val="005C084F"/>
    <w:rsid w:val="005C094C"/>
    <w:rsid w:val="005C09B7"/>
    <w:rsid w:val="005C09E4"/>
    <w:rsid w:val="005C0A5E"/>
    <w:rsid w:val="005C0BDD"/>
    <w:rsid w:val="005C0C8D"/>
    <w:rsid w:val="005C0CD2"/>
    <w:rsid w:val="005C0D98"/>
    <w:rsid w:val="005C0EC9"/>
    <w:rsid w:val="005C0EE5"/>
    <w:rsid w:val="005C1373"/>
    <w:rsid w:val="005C13F6"/>
    <w:rsid w:val="005C14CB"/>
    <w:rsid w:val="005C1583"/>
    <w:rsid w:val="005C1755"/>
    <w:rsid w:val="005C178D"/>
    <w:rsid w:val="005C17C9"/>
    <w:rsid w:val="005C1840"/>
    <w:rsid w:val="005C1861"/>
    <w:rsid w:val="005C187B"/>
    <w:rsid w:val="005C1897"/>
    <w:rsid w:val="005C18EC"/>
    <w:rsid w:val="005C1A00"/>
    <w:rsid w:val="005C1A6C"/>
    <w:rsid w:val="005C1AD6"/>
    <w:rsid w:val="005C1ADA"/>
    <w:rsid w:val="005C1C36"/>
    <w:rsid w:val="005C1E35"/>
    <w:rsid w:val="005C1EC8"/>
    <w:rsid w:val="005C2049"/>
    <w:rsid w:val="005C2094"/>
    <w:rsid w:val="005C209D"/>
    <w:rsid w:val="005C20E9"/>
    <w:rsid w:val="005C2164"/>
    <w:rsid w:val="005C224F"/>
    <w:rsid w:val="005C2303"/>
    <w:rsid w:val="005C246C"/>
    <w:rsid w:val="005C2470"/>
    <w:rsid w:val="005C25B7"/>
    <w:rsid w:val="005C25CE"/>
    <w:rsid w:val="005C266D"/>
    <w:rsid w:val="005C269D"/>
    <w:rsid w:val="005C271C"/>
    <w:rsid w:val="005C27B6"/>
    <w:rsid w:val="005C27D8"/>
    <w:rsid w:val="005C28AB"/>
    <w:rsid w:val="005C29C4"/>
    <w:rsid w:val="005C29F1"/>
    <w:rsid w:val="005C2A07"/>
    <w:rsid w:val="005C2B8D"/>
    <w:rsid w:val="005C2CF6"/>
    <w:rsid w:val="005C2D01"/>
    <w:rsid w:val="005C2D56"/>
    <w:rsid w:val="005C2D8B"/>
    <w:rsid w:val="005C2DD1"/>
    <w:rsid w:val="005C2ECD"/>
    <w:rsid w:val="005C2F2F"/>
    <w:rsid w:val="005C303E"/>
    <w:rsid w:val="005C3126"/>
    <w:rsid w:val="005C31FB"/>
    <w:rsid w:val="005C3475"/>
    <w:rsid w:val="005C34B4"/>
    <w:rsid w:val="005C34B8"/>
    <w:rsid w:val="005C34EA"/>
    <w:rsid w:val="005C34FF"/>
    <w:rsid w:val="005C3606"/>
    <w:rsid w:val="005C385A"/>
    <w:rsid w:val="005C3952"/>
    <w:rsid w:val="005C39D3"/>
    <w:rsid w:val="005C3B11"/>
    <w:rsid w:val="005C3BF7"/>
    <w:rsid w:val="005C3C25"/>
    <w:rsid w:val="005C3D32"/>
    <w:rsid w:val="005C3D33"/>
    <w:rsid w:val="005C3D49"/>
    <w:rsid w:val="005C3EE4"/>
    <w:rsid w:val="005C3F8C"/>
    <w:rsid w:val="005C404B"/>
    <w:rsid w:val="005C4199"/>
    <w:rsid w:val="005C426C"/>
    <w:rsid w:val="005C4309"/>
    <w:rsid w:val="005C4419"/>
    <w:rsid w:val="005C4498"/>
    <w:rsid w:val="005C44FF"/>
    <w:rsid w:val="005C4613"/>
    <w:rsid w:val="005C4616"/>
    <w:rsid w:val="005C4637"/>
    <w:rsid w:val="005C4785"/>
    <w:rsid w:val="005C47BD"/>
    <w:rsid w:val="005C483A"/>
    <w:rsid w:val="005C4922"/>
    <w:rsid w:val="005C4BDA"/>
    <w:rsid w:val="005C4DFC"/>
    <w:rsid w:val="005C4E0D"/>
    <w:rsid w:val="005C4EEA"/>
    <w:rsid w:val="005C4F2C"/>
    <w:rsid w:val="005C4FA2"/>
    <w:rsid w:val="005C528A"/>
    <w:rsid w:val="005C545F"/>
    <w:rsid w:val="005C5494"/>
    <w:rsid w:val="005C5511"/>
    <w:rsid w:val="005C557A"/>
    <w:rsid w:val="005C55ED"/>
    <w:rsid w:val="005C56E9"/>
    <w:rsid w:val="005C57DD"/>
    <w:rsid w:val="005C57FC"/>
    <w:rsid w:val="005C58D6"/>
    <w:rsid w:val="005C58DD"/>
    <w:rsid w:val="005C5A2E"/>
    <w:rsid w:val="005C5B0B"/>
    <w:rsid w:val="005C5BDA"/>
    <w:rsid w:val="005C5BF7"/>
    <w:rsid w:val="005C5C83"/>
    <w:rsid w:val="005C5CD6"/>
    <w:rsid w:val="005C5D94"/>
    <w:rsid w:val="005C5E23"/>
    <w:rsid w:val="005C5EAB"/>
    <w:rsid w:val="005C5EE9"/>
    <w:rsid w:val="005C5FF9"/>
    <w:rsid w:val="005C6002"/>
    <w:rsid w:val="005C6045"/>
    <w:rsid w:val="005C605F"/>
    <w:rsid w:val="005C6211"/>
    <w:rsid w:val="005C622E"/>
    <w:rsid w:val="005C6276"/>
    <w:rsid w:val="005C6293"/>
    <w:rsid w:val="005C633D"/>
    <w:rsid w:val="005C6386"/>
    <w:rsid w:val="005C64CC"/>
    <w:rsid w:val="005C652A"/>
    <w:rsid w:val="005C6547"/>
    <w:rsid w:val="005C660F"/>
    <w:rsid w:val="005C670E"/>
    <w:rsid w:val="005C69A6"/>
    <w:rsid w:val="005C69B3"/>
    <w:rsid w:val="005C6A81"/>
    <w:rsid w:val="005C6B7A"/>
    <w:rsid w:val="005C6D14"/>
    <w:rsid w:val="005C6EE0"/>
    <w:rsid w:val="005C6F85"/>
    <w:rsid w:val="005C7017"/>
    <w:rsid w:val="005C73B4"/>
    <w:rsid w:val="005C73E4"/>
    <w:rsid w:val="005C74D9"/>
    <w:rsid w:val="005C7512"/>
    <w:rsid w:val="005C751C"/>
    <w:rsid w:val="005C7542"/>
    <w:rsid w:val="005C763F"/>
    <w:rsid w:val="005C7683"/>
    <w:rsid w:val="005C77DE"/>
    <w:rsid w:val="005C7806"/>
    <w:rsid w:val="005C78A2"/>
    <w:rsid w:val="005C78E9"/>
    <w:rsid w:val="005C7941"/>
    <w:rsid w:val="005C79C0"/>
    <w:rsid w:val="005C7AF0"/>
    <w:rsid w:val="005C7BC8"/>
    <w:rsid w:val="005C7CAC"/>
    <w:rsid w:val="005C7D4A"/>
    <w:rsid w:val="005C7E9D"/>
    <w:rsid w:val="005C7EA7"/>
    <w:rsid w:val="005C7F8C"/>
    <w:rsid w:val="005C7FD8"/>
    <w:rsid w:val="005D0005"/>
    <w:rsid w:val="005D00EF"/>
    <w:rsid w:val="005D01CF"/>
    <w:rsid w:val="005D01E3"/>
    <w:rsid w:val="005D0278"/>
    <w:rsid w:val="005D0389"/>
    <w:rsid w:val="005D0618"/>
    <w:rsid w:val="005D070E"/>
    <w:rsid w:val="005D076A"/>
    <w:rsid w:val="005D082B"/>
    <w:rsid w:val="005D08DC"/>
    <w:rsid w:val="005D0958"/>
    <w:rsid w:val="005D09AE"/>
    <w:rsid w:val="005D0BA1"/>
    <w:rsid w:val="005D0C38"/>
    <w:rsid w:val="005D0C4A"/>
    <w:rsid w:val="005D0D25"/>
    <w:rsid w:val="005D0DA6"/>
    <w:rsid w:val="005D0F84"/>
    <w:rsid w:val="005D0FB7"/>
    <w:rsid w:val="005D100C"/>
    <w:rsid w:val="005D107C"/>
    <w:rsid w:val="005D10B6"/>
    <w:rsid w:val="005D11CA"/>
    <w:rsid w:val="005D11FD"/>
    <w:rsid w:val="005D12C3"/>
    <w:rsid w:val="005D1376"/>
    <w:rsid w:val="005D137E"/>
    <w:rsid w:val="005D14A8"/>
    <w:rsid w:val="005D166A"/>
    <w:rsid w:val="005D174E"/>
    <w:rsid w:val="005D17DA"/>
    <w:rsid w:val="005D186C"/>
    <w:rsid w:val="005D18D0"/>
    <w:rsid w:val="005D1A68"/>
    <w:rsid w:val="005D1A77"/>
    <w:rsid w:val="005D1A96"/>
    <w:rsid w:val="005D1AEA"/>
    <w:rsid w:val="005D1BED"/>
    <w:rsid w:val="005D1BF5"/>
    <w:rsid w:val="005D1C39"/>
    <w:rsid w:val="005D1CD9"/>
    <w:rsid w:val="005D1E1E"/>
    <w:rsid w:val="005D1EDC"/>
    <w:rsid w:val="005D1EE1"/>
    <w:rsid w:val="005D1EEE"/>
    <w:rsid w:val="005D1FF1"/>
    <w:rsid w:val="005D1FF7"/>
    <w:rsid w:val="005D2013"/>
    <w:rsid w:val="005D20E2"/>
    <w:rsid w:val="005D2322"/>
    <w:rsid w:val="005D2355"/>
    <w:rsid w:val="005D2611"/>
    <w:rsid w:val="005D274A"/>
    <w:rsid w:val="005D2855"/>
    <w:rsid w:val="005D28B7"/>
    <w:rsid w:val="005D28D4"/>
    <w:rsid w:val="005D2925"/>
    <w:rsid w:val="005D29F3"/>
    <w:rsid w:val="005D2AF7"/>
    <w:rsid w:val="005D2B44"/>
    <w:rsid w:val="005D2BB7"/>
    <w:rsid w:val="005D2D9B"/>
    <w:rsid w:val="005D2E4D"/>
    <w:rsid w:val="005D2F8A"/>
    <w:rsid w:val="005D3014"/>
    <w:rsid w:val="005D303D"/>
    <w:rsid w:val="005D307E"/>
    <w:rsid w:val="005D31E4"/>
    <w:rsid w:val="005D32D1"/>
    <w:rsid w:val="005D3307"/>
    <w:rsid w:val="005D33A8"/>
    <w:rsid w:val="005D3471"/>
    <w:rsid w:val="005D359C"/>
    <w:rsid w:val="005D3753"/>
    <w:rsid w:val="005D37BF"/>
    <w:rsid w:val="005D392F"/>
    <w:rsid w:val="005D3B3E"/>
    <w:rsid w:val="005D3BAB"/>
    <w:rsid w:val="005D3BCB"/>
    <w:rsid w:val="005D3BD6"/>
    <w:rsid w:val="005D3C56"/>
    <w:rsid w:val="005D3C60"/>
    <w:rsid w:val="005D3C94"/>
    <w:rsid w:val="005D3FA8"/>
    <w:rsid w:val="005D406B"/>
    <w:rsid w:val="005D40EE"/>
    <w:rsid w:val="005D42F6"/>
    <w:rsid w:val="005D42FF"/>
    <w:rsid w:val="005D4332"/>
    <w:rsid w:val="005D45FB"/>
    <w:rsid w:val="005D46E2"/>
    <w:rsid w:val="005D4787"/>
    <w:rsid w:val="005D47A9"/>
    <w:rsid w:val="005D492D"/>
    <w:rsid w:val="005D4973"/>
    <w:rsid w:val="005D4A3F"/>
    <w:rsid w:val="005D4B51"/>
    <w:rsid w:val="005D4BA6"/>
    <w:rsid w:val="005D4BD2"/>
    <w:rsid w:val="005D4BEE"/>
    <w:rsid w:val="005D4DAF"/>
    <w:rsid w:val="005D4EA4"/>
    <w:rsid w:val="005D4F95"/>
    <w:rsid w:val="005D53C4"/>
    <w:rsid w:val="005D5414"/>
    <w:rsid w:val="005D54FC"/>
    <w:rsid w:val="005D554F"/>
    <w:rsid w:val="005D5566"/>
    <w:rsid w:val="005D55D1"/>
    <w:rsid w:val="005D55E7"/>
    <w:rsid w:val="005D5649"/>
    <w:rsid w:val="005D56D4"/>
    <w:rsid w:val="005D5754"/>
    <w:rsid w:val="005D5891"/>
    <w:rsid w:val="005D5A7A"/>
    <w:rsid w:val="005D5AF2"/>
    <w:rsid w:val="005D5C89"/>
    <w:rsid w:val="005D5CF6"/>
    <w:rsid w:val="005D5D16"/>
    <w:rsid w:val="005D5DA3"/>
    <w:rsid w:val="005D5DA8"/>
    <w:rsid w:val="005D5E18"/>
    <w:rsid w:val="005D60CB"/>
    <w:rsid w:val="005D6135"/>
    <w:rsid w:val="005D65E8"/>
    <w:rsid w:val="005D66D5"/>
    <w:rsid w:val="005D670A"/>
    <w:rsid w:val="005D6761"/>
    <w:rsid w:val="005D67BF"/>
    <w:rsid w:val="005D6803"/>
    <w:rsid w:val="005D6837"/>
    <w:rsid w:val="005D6885"/>
    <w:rsid w:val="005D68C8"/>
    <w:rsid w:val="005D68F4"/>
    <w:rsid w:val="005D69D8"/>
    <w:rsid w:val="005D6C8D"/>
    <w:rsid w:val="005D6CA9"/>
    <w:rsid w:val="005D6D19"/>
    <w:rsid w:val="005D6DEF"/>
    <w:rsid w:val="005D6DF2"/>
    <w:rsid w:val="005D704C"/>
    <w:rsid w:val="005D72AB"/>
    <w:rsid w:val="005D738A"/>
    <w:rsid w:val="005D745D"/>
    <w:rsid w:val="005D74AD"/>
    <w:rsid w:val="005D7592"/>
    <w:rsid w:val="005D7709"/>
    <w:rsid w:val="005D78E8"/>
    <w:rsid w:val="005D78EA"/>
    <w:rsid w:val="005D790A"/>
    <w:rsid w:val="005D7A5D"/>
    <w:rsid w:val="005D7A66"/>
    <w:rsid w:val="005D7CA7"/>
    <w:rsid w:val="005D7CDE"/>
    <w:rsid w:val="005D7DBD"/>
    <w:rsid w:val="005D7E2D"/>
    <w:rsid w:val="005D7E9D"/>
    <w:rsid w:val="005D7ED0"/>
    <w:rsid w:val="005D7F96"/>
    <w:rsid w:val="005E003E"/>
    <w:rsid w:val="005E0063"/>
    <w:rsid w:val="005E0151"/>
    <w:rsid w:val="005E0160"/>
    <w:rsid w:val="005E01E1"/>
    <w:rsid w:val="005E0225"/>
    <w:rsid w:val="005E026C"/>
    <w:rsid w:val="005E0313"/>
    <w:rsid w:val="005E032F"/>
    <w:rsid w:val="005E0386"/>
    <w:rsid w:val="005E042F"/>
    <w:rsid w:val="005E0471"/>
    <w:rsid w:val="005E058E"/>
    <w:rsid w:val="005E05A4"/>
    <w:rsid w:val="005E06CB"/>
    <w:rsid w:val="005E06D9"/>
    <w:rsid w:val="005E073A"/>
    <w:rsid w:val="005E07BD"/>
    <w:rsid w:val="005E08A3"/>
    <w:rsid w:val="005E08C8"/>
    <w:rsid w:val="005E0983"/>
    <w:rsid w:val="005E09C6"/>
    <w:rsid w:val="005E0A0F"/>
    <w:rsid w:val="005E0A65"/>
    <w:rsid w:val="005E0B2F"/>
    <w:rsid w:val="005E0D5F"/>
    <w:rsid w:val="005E0DA0"/>
    <w:rsid w:val="005E0DC1"/>
    <w:rsid w:val="005E0E7F"/>
    <w:rsid w:val="005E0EE5"/>
    <w:rsid w:val="005E0F07"/>
    <w:rsid w:val="005E0F17"/>
    <w:rsid w:val="005E0F94"/>
    <w:rsid w:val="005E1011"/>
    <w:rsid w:val="005E10DC"/>
    <w:rsid w:val="005E1148"/>
    <w:rsid w:val="005E1411"/>
    <w:rsid w:val="005E1485"/>
    <w:rsid w:val="005E1569"/>
    <w:rsid w:val="005E15DE"/>
    <w:rsid w:val="005E15F8"/>
    <w:rsid w:val="005E16DB"/>
    <w:rsid w:val="005E1725"/>
    <w:rsid w:val="005E1760"/>
    <w:rsid w:val="005E1880"/>
    <w:rsid w:val="005E189F"/>
    <w:rsid w:val="005E1A66"/>
    <w:rsid w:val="005E1CEC"/>
    <w:rsid w:val="005E1E11"/>
    <w:rsid w:val="005E1EA8"/>
    <w:rsid w:val="005E1EDE"/>
    <w:rsid w:val="005E1FAD"/>
    <w:rsid w:val="005E203E"/>
    <w:rsid w:val="005E2082"/>
    <w:rsid w:val="005E20FD"/>
    <w:rsid w:val="005E2116"/>
    <w:rsid w:val="005E2203"/>
    <w:rsid w:val="005E23DA"/>
    <w:rsid w:val="005E2456"/>
    <w:rsid w:val="005E24DE"/>
    <w:rsid w:val="005E2547"/>
    <w:rsid w:val="005E26A1"/>
    <w:rsid w:val="005E271C"/>
    <w:rsid w:val="005E27C1"/>
    <w:rsid w:val="005E2908"/>
    <w:rsid w:val="005E291D"/>
    <w:rsid w:val="005E2A80"/>
    <w:rsid w:val="005E2AB3"/>
    <w:rsid w:val="005E2AB8"/>
    <w:rsid w:val="005E2AD9"/>
    <w:rsid w:val="005E2B1A"/>
    <w:rsid w:val="005E2DD2"/>
    <w:rsid w:val="005E2DF1"/>
    <w:rsid w:val="005E2F66"/>
    <w:rsid w:val="005E2F83"/>
    <w:rsid w:val="005E2FA8"/>
    <w:rsid w:val="005E31B8"/>
    <w:rsid w:val="005E31DB"/>
    <w:rsid w:val="005E329D"/>
    <w:rsid w:val="005E3374"/>
    <w:rsid w:val="005E33FD"/>
    <w:rsid w:val="005E3465"/>
    <w:rsid w:val="005E3473"/>
    <w:rsid w:val="005E3477"/>
    <w:rsid w:val="005E34C8"/>
    <w:rsid w:val="005E35DC"/>
    <w:rsid w:val="005E37BE"/>
    <w:rsid w:val="005E38F5"/>
    <w:rsid w:val="005E3A7E"/>
    <w:rsid w:val="005E3B3E"/>
    <w:rsid w:val="005E3E27"/>
    <w:rsid w:val="005E3E45"/>
    <w:rsid w:val="005E3E53"/>
    <w:rsid w:val="005E3E79"/>
    <w:rsid w:val="005E3F0C"/>
    <w:rsid w:val="005E3F48"/>
    <w:rsid w:val="005E405C"/>
    <w:rsid w:val="005E4063"/>
    <w:rsid w:val="005E4088"/>
    <w:rsid w:val="005E424D"/>
    <w:rsid w:val="005E432B"/>
    <w:rsid w:val="005E446F"/>
    <w:rsid w:val="005E44A9"/>
    <w:rsid w:val="005E44CE"/>
    <w:rsid w:val="005E4538"/>
    <w:rsid w:val="005E45EC"/>
    <w:rsid w:val="005E4798"/>
    <w:rsid w:val="005E483E"/>
    <w:rsid w:val="005E4912"/>
    <w:rsid w:val="005E49DF"/>
    <w:rsid w:val="005E4AA0"/>
    <w:rsid w:val="005E4B09"/>
    <w:rsid w:val="005E4B58"/>
    <w:rsid w:val="005E4CEF"/>
    <w:rsid w:val="005E4CF3"/>
    <w:rsid w:val="005E4D5F"/>
    <w:rsid w:val="005E4D68"/>
    <w:rsid w:val="005E4E96"/>
    <w:rsid w:val="005E4F20"/>
    <w:rsid w:val="005E5006"/>
    <w:rsid w:val="005E51A6"/>
    <w:rsid w:val="005E52B7"/>
    <w:rsid w:val="005E52E4"/>
    <w:rsid w:val="005E5325"/>
    <w:rsid w:val="005E53F9"/>
    <w:rsid w:val="005E54F1"/>
    <w:rsid w:val="005E555B"/>
    <w:rsid w:val="005E560A"/>
    <w:rsid w:val="005E5631"/>
    <w:rsid w:val="005E572C"/>
    <w:rsid w:val="005E58E3"/>
    <w:rsid w:val="005E58F3"/>
    <w:rsid w:val="005E5944"/>
    <w:rsid w:val="005E599A"/>
    <w:rsid w:val="005E5A79"/>
    <w:rsid w:val="005E5AF2"/>
    <w:rsid w:val="005E5B78"/>
    <w:rsid w:val="005E5BFD"/>
    <w:rsid w:val="005E5C6F"/>
    <w:rsid w:val="005E5D0E"/>
    <w:rsid w:val="005E5D86"/>
    <w:rsid w:val="005E5F00"/>
    <w:rsid w:val="005E5F64"/>
    <w:rsid w:val="005E5FE0"/>
    <w:rsid w:val="005E602A"/>
    <w:rsid w:val="005E614B"/>
    <w:rsid w:val="005E6167"/>
    <w:rsid w:val="005E6388"/>
    <w:rsid w:val="005E6524"/>
    <w:rsid w:val="005E65A3"/>
    <w:rsid w:val="005E66E1"/>
    <w:rsid w:val="005E6794"/>
    <w:rsid w:val="005E6880"/>
    <w:rsid w:val="005E68E0"/>
    <w:rsid w:val="005E6922"/>
    <w:rsid w:val="005E6B9F"/>
    <w:rsid w:val="005E6BE4"/>
    <w:rsid w:val="005E6C9A"/>
    <w:rsid w:val="005E6D43"/>
    <w:rsid w:val="005E6DD2"/>
    <w:rsid w:val="005E6E59"/>
    <w:rsid w:val="005E6F6E"/>
    <w:rsid w:val="005E7142"/>
    <w:rsid w:val="005E71AB"/>
    <w:rsid w:val="005E720F"/>
    <w:rsid w:val="005E7389"/>
    <w:rsid w:val="005E77E4"/>
    <w:rsid w:val="005E7835"/>
    <w:rsid w:val="005E7AF1"/>
    <w:rsid w:val="005E7B99"/>
    <w:rsid w:val="005E7D09"/>
    <w:rsid w:val="005E7DAB"/>
    <w:rsid w:val="005E7E26"/>
    <w:rsid w:val="005E7EB3"/>
    <w:rsid w:val="005F0068"/>
    <w:rsid w:val="005F00D5"/>
    <w:rsid w:val="005F00E5"/>
    <w:rsid w:val="005F011D"/>
    <w:rsid w:val="005F0140"/>
    <w:rsid w:val="005F022D"/>
    <w:rsid w:val="005F0296"/>
    <w:rsid w:val="005F02AB"/>
    <w:rsid w:val="005F02E2"/>
    <w:rsid w:val="005F0371"/>
    <w:rsid w:val="005F0641"/>
    <w:rsid w:val="005F0645"/>
    <w:rsid w:val="005F0661"/>
    <w:rsid w:val="005F070E"/>
    <w:rsid w:val="005F07D2"/>
    <w:rsid w:val="005F08FB"/>
    <w:rsid w:val="005F0929"/>
    <w:rsid w:val="005F0BB0"/>
    <w:rsid w:val="005F0BD3"/>
    <w:rsid w:val="005F0C5C"/>
    <w:rsid w:val="005F0E96"/>
    <w:rsid w:val="005F0F17"/>
    <w:rsid w:val="005F0F31"/>
    <w:rsid w:val="005F0F35"/>
    <w:rsid w:val="005F0FED"/>
    <w:rsid w:val="005F0FF0"/>
    <w:rsid w:val="005F107C"/>
    <w:rsid w:val="005F10BF"/>
    <w:rsid w:val="005F1206"/>
    <w:rsid w:val="005F1259"/>
    <w:rsid w:val="005F1266"/>
    <w:rsid w:val="005F137B"/>
    <w:rsid w:val="005F13B8"/>
    <w:rsid w:val="005F13EA"/>
    <w:rsid w:val="005F1450"/>
    <w:rsid w:val="005F150B"/>
    <w:rsid w:val="005F16D2"/>
    <w:rsid w:val="005F1713"/>
    <w:rsid w:val="005F1834"/>
    <w:rsid w:val="005F18AE"/>
    <w:rsid w:val="005F18D5"/>
    <w:rsid w:val="005F1960"/>
    <w:rsid w:val="005F1965"/>
    <w:rsid w:val="005F197E"/>
    <w:rsid w:val="005F1A49"/>
    <w:rsid w:val="005F1B8B"/>
    <w:rsid w:val="005F1CA5"/>
    <w:rsid w:val="005F1CEF"/>
    <w:rsid w:val="005F1D12"/>
    <w:rsid w:val="005F1D34"/>
    <w:rsid w:val="005F1E08"/>
    <w:rsid w:val="005F1EA7"/>
    <w:rsid w:val="005F1FF3"/>
    <w:rsid w:val="005F2035"/>
    <w:rsid w:val="005F2114"/>
    <w:rsid w:val="005F216C"/>
    <w:rsid w:val="005F2189"/>
    <w:rsid w:val="005F21C3"/>
    <w:rsid w:val="005F231F"/>
    <w:rsid w:val="005F2332"/>
    <w:rsid w:val="005F23A8"/>
    <w:rsid w:val="005F240E"/>
    <w:rsid w:val="005F244B"/>
    <w:rsid w:val="005F2587"/>
    <w:rsid w:val="005F25E2"/>
    <w:rsid w:val="005F290E"/>
    <w:rsid w:val="005F29E3"/>
    <w:rsid w:val="005F2B91"/>
    <w:rsid w:val="005F2C7F"/>
    <w:rsid w:val="005F2C8A"/>
    <w:rsid w:val="005F2CC5"/>
    <w:rsid w:val="005F2D2C"/>
    <w:rsid w:val="005F2DA1"/>
    <w:rsid w:val="005F2EC8"/>
    <w:rsid w:val="005F2ECB"/>
    <w:rsid w:val="005F2FED"/>
    <w:rsid w:val="005F304E"/>
    <w:rsid w:val="005F3152"/>
    <w:rsid w:val="005F3170"/>
    <w:rsid w:val="005F31F7"/>
    <w:rsid w:val="005F3222"/>
    <w:rsid w:val="005F325E"/>
    <w:rsid w:val="005F32C2"/>
    <w:rsid w:val="005F32D8"/>
    <w:rsid w:val="005F3355"/>
    <w:rsid w:val="005F3394"/>
    <w:rsid w:val="005F34D1"/>
    <w:rsid w:val="005F3750"/>
    <w:rsid w:val="005F37FB"/>
    <w:rsid w:val="005F38C0"/>
    <w:rsid w:val="005F3A6E"/>
    <w:rsid w:val="005F3AA4"/>
    <w:rsid w:val="005F3B85"/>
    <w:rsid w:val="005F3BA3"/>
    <w:rsid w:val="005F3BE0"/>
    <w:rsid w:val="005F3C21"/>
    <w:rsid w:val="005F3C85"/>
    <w:rsid w:val="005F3CA5"/>
    <w:rsid w:val="005F3D4E"/>
    <w:rsid w:val="005F3E71"/>
    <w:rsid w:val="005F4115"/>
    <w:rsid w:val="005F41A8"/>
    <w:rsid w:val="005F442B"/>
    <w:rsid w:val="005F4466"/>
    <w:rsid w:val="005F44DF"/>
    <w:rsid w:val="005F4524"/>
    <w:rsid w:val="005F4592"/>
    <w:rsid w:val="005F46F5"/>
    <w:rsid w:val="005F4724"/>
    <w:rsid w:val="005F4837"/>
    <w:rsid w:val="005F4863"/>
    <w:rsid w:val="005F499B"/>
    <w:rsid w:val="005F49DD"/>
    <w:rsid w:val="005F4A4B"/>
    <w:rsid w:val="005F4A4D"/>
    <w:rsid w:val="005F4A9F"/>
    <w:rsid w:val="005F4B28"/>
    <w:rsid w:val="005F4B30"/>
    <w:rsid w:val="005F4BA3"/>
    <w:rsid w:val="005F4C48"/>
    <w:rsid w:val="005F4D75"/>
    <w:rsid w:val="005F4D92"/>
    <w:rsid w:val="005F4E5B"/>
    <w:rsid w:val="005F4E8C"/>
    <w:rsid w:val="005F4F79"/>
    <w:rsid w:val="005F4FD4"/>
    <w:rsid w:val="005F515C"/>
    <w:rsid w:val="005F520A"/>
    <w:rsid w:val="005F528D"/>
    <w:rsid w:val="005F5314"/>
    <w:rsid w:val="005F550F"/>
    <w:rsid w:val="005F553B"/>
    <w:rsid w:val="005F5595"/>
    <w:rsid w:val="005F55C9"/>
    <w:rsid w:val="005F5618"/>
    <w:rsid w:val="005F56EE"/>
    <w:rsid w:val="005F577B"/>
    <w:rsid w:val="005F57DB"/>
    <w:rsid w:val="005F5926"/>
    <w:rsid w:val="005F5B9B"/>
    <w:rsid w:val="005F5BB3"/>
    <w:rsid w:val="005F5C09"/>
    <w:rsid w:val="005F607C"/>
    <w:rsid w:val="005F610B"/>
    <w:rsid w:val="005F6137"/>
    <w:rsid w:val="005F6357"/>
    <w:rsid w:val="005F66D5"/>
    <w:rsid w:val="005F672A"/>
    <w:rsid w:val="005F676F"/>
    <w:rsid w:val="005F6778"/>
    <w:rsid w:val="005F6880"/>
    <w:rsid w:val="005F698B"/>
    <w:rsid w:val="005F69FB"/>
    <w:rsid w:val="005F6AAB"/>
    <w:rsid w:val="005F6ADF"/>
    <w:rsid w:val="005F6B2E"/>
    <w:rsid w:val="005F6BA9"/>
    <w:rsid w:val="005F6C17"/>
    <w:rsid w:val="005F6CAC"/>
    <w:rsid w:val="005F6CC9"/>
    <w:rsid w:val="005F6CCD"/>
    <w:rsid w:val="005F6D18"/>
    <w:rsid w:val="005F6E7C"/>
    <w:rsid w:val="005F6EAC"/>
    <w:rsid w:val="005F6F76"/>
    <w:rsid w:val="005F6FB4"/>
    <w:rsid w:val="005F6FE2"/>
    <w:rsid w:val="005F6FE9"/>
    <w:rsid w:val="005F70AD"/>
    <w:rsid w:val="005F70DB"/>
    <w:rsid w:val="005F711B"/>
    <w:rsid w:val="005F71C1"/>
    <w:rsid w:val="005F72B4"/>
    <w:rsid w:val="005F72C7"/>
    <w:rsid w:val="005F7346"/>
    <w:rsid w:val="005F73D9"/>
    <w:rsid w:val="005F7426"/>
    <w:rsid w:val="005F744C"/>
    <w:rsid w:val="005F76D5"/>
    <w:rsid w:val="005F77BA"/>
    <w:rsid w:val="005F784D"/>
    <w:rsid w:val="005F79F7"/>
    <w:rsid w:val="005F7A56"/>
    <w:rsid w:val="005F7ABD"/>
    <w:rsid w:val="005F7AFC"/>
    <w:rsid w:val="005F7C4D"/>
    <w:rsid w:val="005F7C4E"/>
    <w:rsid w:val="005F7CE1"/>
    <w:rsid w:val="005F7F7C"/>
    <w:rsid w:val="006000C2"/>
    <w:rsid w:val="006000E8"/>
    <w:rsid w:val="0060013C"/>
    <w:rsid w:val="0060017B"/>
    <w:rsid w:val="006002F2"/>
    <w:rsid w:val="006002FF"/>
    <w:rsid w:val="00600316"/>
    <w:rsid w:val="00600606"/>
    <w:rsid w:val="00600637"/>
    <w:rsid w:val="0060063D"/>
    <w:rsid w:val="00600672"/>
    <w:rsid w:val="006007DB"/>
    <w:rsid w:val="006007E8"/>
    <w:rsid w:val="0060088E"/>
    <w:rsid w:val="00600913"/>
    <w:rsid w:val="00600A88"/>
    <w:rsid w:val="00600ABA"/>
    <w:rsid w:val="00600BC5"/>
    <w:rsid w:val="00600C01"/>
    <w:rsid w:val="00600DA5"/>
    <w:rsid w:val="00600DB1"/>
    <w:rsid w:val="00600DED"/>
    <w:rsid w:val="00600E41"/>
    <w:rsid w:val="00600E80"/>
    <w:rsid w:val="00600E93"/>
    <w:rsid w:val="00601009"/>
    <w:rsid w:val="00601030"/>
    <w:rsid w:val="0060110D"/>
    <w:rsid w:val="00601123"/>
    <w:rsid w:val="00601417"/>
    <w:rsid w:val="0060142C"/>
    <w:rsid w:val="00601431"/>
    <w:rsid w:val="00601596"/>
    <w:rsid w:val="006015E9"/>
    <w:rsid w:val="00601636"/>
    <w:rsid w:val="00601686"/>
    <w:rsid w:val="0060169F"/>
    <w:rsid w:val="006016C2"/>
    <w:rsid w:val="006016D0"/>
    <w:rsid w:val="0060170E"/>
    <w:rsid w:val="0060173E"/>
    <w:rsid w:val="006018A2"/>
    <w:rsid w:val="006018CA"/>
    <w:rsid w:val="0060195E"/>
    <w:rsid w:val="0060196E"/>
    <w:rsid w:val="00601A0B"/>
    <w:rsid w:val="00601A40"/>
    <w:rsid w:val="00601A6D"/>
    <w:rsid w:val="00601AE6"/>
    <w:rsid w:val="00601B56"/>
    <w:rsid w:val="00601D5F"/>
    <w:rsid w:val="00602054"/>
    <w:rsid w:val="00602103"/>
    <w:rsid w:val="006021A8"/>
    <w:rsid w:val="006021BE"/>
    <w:rsid w:val="0060220A"/>
    <w:rsid w:val="00602322"/>
    <w:rsid w:val="00602474"/>
    <w:rsid w:val="006024A4"/>
    <w:rsid w:val="00602569"/>
    <w:rsid w:val="00602601"/>
    <w:rsid w:val="00602609"/>
    <w:rsid w:val="00602688"/>
    <w:rsid w:val="00602778"/>
    <w:rsid w:val="0060282E"/>
    <w:rsid w:val="006029BA"/>
    <w:rsid w:val="00602A01"/>
    <w:rsid w:val="00602AD5"/>
    <w:rsid w:val="00602BA0"/>
    <w:rsid w:val="00602BC5"/>
    <w:rsid w:val="00602C5F"/>
    <w:rsid w:val="00602CBD"/>
    <w:rsid w:val="00602D68"/>
    <w:rsid w:val="00602E0D"/>
    <w:rsid w:val="00602EA9"/>
    <w:rsid w:val="00602FCF"/>
    <w:rsid w:val="00603032"/>
    <w:rsid w:val="0060319A"/>
    <w:rsid w:val="006031C0"/>
    <w:rsid w:val="00603273"/>
    <w:rsid w:val="006032B5"/>
    <w:rsid w:val="0060330F"/>
    <w:rsid w:val="006035B6"/>
    <w:rsid w:val="006035F6"/>
    <w:rsid w:val="006036E2"/>
    <w:rsid w:val="006037F8"/>
    <w:rsid w:val="00603849"/>
    <w:rsid w:val="00603865"/>
    <w:rsid w:val="006038E8"/>
    <w:rsid w:val="0060395E"/>
    <w:rsid w:val="00603AAD"/>
    <w:rsid w:val="00603B1B"/>
    <w:rsid w:val="00603E8A"/>
    <w:rsid w:val="00603F4E"/>
    <w:rsid w:val="00603FA8"/>
    <w:rsid w:val="0060400E"/>
    <w:rsid w:val="0060402B"/>
    <w:rsid w:val="00604072"/>
    <w:rsid w:val="00604104"/>
    <w:rsid w:val="00604195"/>
    <w:rsid w:val="0060430A"/>
    <w:rsid w:val="00604565"/>
    <w:rsid w:val="006046D0"/>
    <w:rsid w:val="006046ED"/>
    <w:rsid w:val="00604737"/>
    <w:rsid w:val="006047A4"/>
    <w:rsid w:val="0060485C"/>
    <w:rsid w:val="006048BA"/>
    <w:rsid w:val="00604A4C"/>
    <w:rsid w:val="00604E25"/>
    <w:rsid w:val="00604E3B"/>
    <w:rsid w:val="00604E96"/>
    <w:rsid w:val="00604EF8"/>
    <w:rsid w:val="0060505D"/>
    <w:rsid w:val="006050CF"/>
    <w:rsid w:val="0060512E"/>
    <w:rsid w:val="0060534F"/>
    <w:rsid w:val="0060537B"/>
    <w:rsid w:val="006053C4"/>
    <w:rsid w:val="006056D3"/>
    <w:rsid w:val="00605716"/>
    <w:rsid w:val="006057E4"/>
    <w:rsid w:val="00605851"/>
    <w:rsid w:val="00605903"/>
    <w:rsid w:val="00605915"/>
    <w:rsid w:val="00605A5E"/>
    <w:rsid w:val="00605B72"/>
    <w:rsid w:val="00605C9D"/>
    <w:rsid w:val="00605D08"/>
    <w:rsid w:val="00605FB6"/>
    <w:rsid w:val="00606163"/>
    <w:rsid w:val="00606191"/>
    <w:rsid w:val="006061BC"/>
    <w:rsid w:val="006061CD"/>
    <w:rsid w:val="0060627C"/>
    <w:rsid w:val="00606327"/>
    <w:rsid w:val="006063C7"/>
    <w:rsid w:val="00606479"/>
    <w:rsid w:val="00606481"/>
    <w:rsid w:val="00606493"/>
    <w:rsid w:val="006064A1"/>
    <w:rsid w:val="00606660"/>
    <w:rsid w:val="006066FE"/>
    <w:rsid w:val="0060683F"/>
    <w:rsid w:val="00606893"/>
    <w:rsid w:val="006068AF"/>
    <w:rsid w:val="0060691C"/>
    <w:rsid w:val="00606B04"/>
    <w:rsid w:val="00606B9A"/>
    <w:rsid w:val="00606C64"/>
    <w:rsid w:val="00606CF9"/>
    <w:rsid w:val="00606E32"/>
    <w:rsid w:val="0060703D"/>
    <w:rsid w:val="006070AB"/>
    <w:rsid w:val="00607124"/>
    <w:rsid w:val="006071BF"/>
    <w:rsid w:val="006071CB"/>
    <w:rsid w:val="00607300"/>
    <w:rsid w:val="0060732C"/>
    <w:rsid w:val="0060756F"/>
    <w:rsid w:val="00607620"/>
    <w:rsid w:val="00607722"/>
    <w:rsid w:val="006077D4"/>
    <w:rsid w:val="0060783C"/>
    <w:rsid w:val="0060787D"/>
    <w:rsid w:val="006078D8"/>
    <w:rsid w:val="006078FC"/>
    <w:rsid w:val="00607AE2"/>
    <w:rsid w:val="00607B02"/>
    <w:rsid w:val="00607B6E"/>
    <w:rsid w:val="00607BEA"/>
    <w:rsid w:val="00607C3D"/>
    <w:rsid w:val="00607E2F"/>
    <w:rsid w:val="00607E74"/>
    <w:rsid w:val="00607EDB"/>
    <w:rsid w:val="00607F3D"/>
    <w:rsid w:val="00607F4D"/>
    <w:rsid w:val="0061038B"/>
    <w:rsid w:val="006103D5"/>
    <w:rsid w:val="00610438"/>
    <w:rsid w:val="006104BB"/>
    <w:rsid w:val="006105F7"/>
    <w:rsid w:val="0061066A"/>
    <w:rsid w:val="0061068A"/>
    <w:rsid w:val="00610719"/>
    <w:rsid w:val="00610838"/>
    <w:rsid w:val="006109BE"/>
    <w:rsid w:val="00610A70"/>
    <w:rsid w:val="00610AAE"/>
    <w:rsid w:val="00610B2E"/>
    <w:rsid w:val="00610BFD"/>
    <w:rsid w:val="00610C30"/>
    <w:rsid w:val="00610DDD"/>
    <w:rsid w:val="00610E73"/>
    <w:rsid w:val="00610EF0"/>
    <w:rsid w:val="00611061"/>
    <w:rsid w:val="0061111D"/>
    <w:rsid w:val="00611169"/>
    <w:rsid w:val="00611225"/>
    <w:rsid w:val="00611277"/>
    <w:rsid w:val="0061135A"/>
    <w:rsid w:val="0061139D"/>
    <w:rsid w:val="00611440"/>
    <w:rsid w:val="00611477"/>
    <w:rsid w:val="00611555"/>
    <w:rsid w:val="006115C4"/>
    <w:rsid w:val="0061160E"/>
    <w:rsid w:val="00611629"/>
    <w:rsid w:val="006117E5"/>
    <w:rsid w:val="00611915"/>
    <w:rsid w:val="00611B12"/>
    <w:rsid w:val="00611B47"/>
    <w:rsid w:val="00611B73"/>
    <w:rsid w:val="00611C4F"/>
    <w:rsid w:val="00611C9C"/>
    <w:rsid w:val="00611D20"/>
    <w:rsid w:val="00611D44"/>
    <w:rsid w:val="00611DC8"/>
    <w:rsid w:val="00611EC5"/>
    <w:rsid w:val="00611F01"/>
    <w:rsid w:val="00611FA6"/>
    <w:rsid w:val="00612081"/>
    <w:rsid w:val="006121D5"/>
    <w:rsid w:val="0061230E"/>
    <w:rsid w:val="0061245F"/>
    <w:rsid w:val="006125BB"/>
    <w:rsid w:val="006125CB"/>
    <w:rsid w:val="00612827"/>
    <w:rsid w:val="00612934"/>
    <w:rsid w:val="00612B52"/>
    <w:rsid w:val="00612D93"/>
    <w:rsid w:val="00612E1A"/>
    <w:rsid w:val="00612E1C"/>
    <w:rsid w:val="00612E63"/>
    <w:rsid w:val="00612EA5"/>
    <w:rsid w:val="00612EAF"/>
    <w:rsid w:val="00612FE7"/>
    <w:rsid w:val="00613093"/>
    <w:rsid w:val="006130B0"/>
    <w:rsid w:val="00613116"/>
    <w:rsid w:val="0061311E"/>
    <w:rsid w:val="0061316A"/>
    <w:rsid w:val="00613260"/>
    <w:rsid w:val="006132C1"/>
    <w:rsid w:val="006133A7"/>
    <w:rsid w:val="006133D7"/>
    <w:rsid w:val="006134C4"/>
    <w:rsid w:val="00613590"/>
    <w:rsid w:val="00613669"/>
    <w:rsid w:val="0061370F"/>
    <w:rsid w:val="00613730"/>
    <w:rsid w:val="0061383F"/>
    <w:rsid w:val="00613A12"/>
    <w:rsid w:val="00613A49"/>
    <w:rsid w:val="00613A77"/>
    <w:rsid w:val="00613B5A"/>
    <w:rsid w:val="00613D90"/>
    <w:rsid w:val="00613F8F"/>
    <w:rsid w:val="00613FC5"/>
    <w:rsid w:val="00613FF2"/>
    <w:rsid w:val="00614150"/>
    <w:rsid w:val="00614167"/>
    <w:rsid w:val="00614204"/>
    <w:rsid w:val="0061453B"/>
    <w:rsid w:val="006145AA"/>
    <w:rsid w:val="006146E5"/>
    <w:rsid w:val="00614809"/>
    <w:rsid w:val="006148A6"/>
    <w:rsid w:val="006149EB"/>
    <w:rsid w:val="00614AE6"/>
    <w:rsid w:val="00614BE3"/>
    <w:rsid w:val="00614C41"/>
    <w:rsid w:val="00614EF9"/>
    <w:rsid w:val="0061506D"/>
    <w:rsid w:val="00615115"/>
    <w:rsid w:val="0061514A"/>
    <w:rsid w:val="006151B0"/>
    <w:rsid w:val="00615247"/>
    <w:rsid w:val="00615453"/>
    <w:rsid w:val="006154BA"/>
    <w:rsid w:val="006154C9"/>
    <w:rsid w:val="00615500"/>
    <w:rsid w:val="0061559C"/>
    <w:rsid w:val="0061568B"/>
    <w:rsid w:val="006156CB"/>
    <w:rsid w:val="006156EB"/>
    <w:rsid w:val="00615960"/>
    <w:rsid w:val="0061596E"/>
    <w:rsid w:val="0061597A"/>
    <w:rsid w:val="00615A4E"/>
    <w:rsid w:val="00615B8F"/>
    <w:rsid w:val="00615BA9"/>
    <w:rsid w:val="00615C3A"/>
    <w:rsid w:val="00615CC7"/>
    <w:rsid w:val="00615CE2"/>
    <w:rsid w:val="00615D17"/>
    <w:rsid w:val="00615E5D"/>
    <w:rsid w:val="00615F59"/>
    <w:rsid w:val="00615FA6"/>
    <w:rsid w:val="006160B2"/>
    <w:rsid w:val="0061613D"/>
    <w:rsid w:val="00616157"/>
    <w:rsid w:val="006161D5"/>
    <w:rsid w:val="006162C8"/>
    <w:rsid w:val="0061633F"/>
    <w:rsid w:val="006163B0"/>
    <w:rsid w:val="006164E9"/>
    <w:rsid w:val="006164F7"/>
    <w:rsid w:val="00616509"/>
    <w:rsid w:val="006166E7"/>
    <w:rsid w:val="006167B7"/>
    <w:rsid w:val="0061687B"/>
    <w:rsid w:val="0061689F"/>
    <w:rsid w:val="006168BC"/>
    <w:rsid w:val="006169A6"/>
    <w:rsid w:val="00616C48"/>
    <w:rsid w:val="00616D30"/>
    <w:rsid w:val="00616D73"/>
    <w:rsid w:val="00616D94"/>
    <w:rsid w:val="00616E3D"/>
    <w:rsid w:val="00616EE7"/>
    <w:rsid w:val="00616EF5"/>
    <w:rsid w:val="0061708A"/>
    <w:rsid w:val="006170C0"/>
    <w:rsid w:val="006170E1"/>
    <w:rsid w:val="006173C7"/>
    <w:rsid w:val="00617457"/>
    <w:rsid w:val="00617460"/>
    <w:rsid w:val="006174C1"/>
    <w:rsid w:val="00617622"/>
    <w:rsid w:val="00617647"/>
    <w:rsid w:val="006176BE"/>
    <w:rsid w:val="006176EF"/>
    <w:rsid w:val="006177E2"/>
    <w:rsid w:val="006177E7"/>
    <w:rsid w:val="00617ACC"/>
    <w:rsid w:val="00617C44"/>
    <w:rsid w:val="00617CDA"/>
    <w:rsid w:val="00617D41"/>
    <w:rsid w:val="00617E06"/>
    <w:rsid w:val="00617E59"/>
    <w:rsid w:val="00617F42"/>
    <w:rsid w:val="00620367"/>
    <w:rsid w:val="0062039F"/>
    <w:rsid w:val="00620484"/>
    <w:rsid w:val="006205D3"/>
    <w:rsid w:val="00620637"/>
    <w:rsid w:val="006208AD"/>
    <w:rsid w:val="006208D1"/>
    <w:rsid w:val="006208DE"/>
    <w:rsid w:val="00620A63"/>
    <w:rsid w:val="00620B6F"/>
    <w:rsid w:val="00620C00"/>
    <w:rsid w:val="00620CB6"/>
    <w:rsid w:val="00620D18"/>
    <w:rsid w:val="00620D30"/>
    <w:rsid w:val="00620EA2"/>
    <w:rsid w:val="00620ED5"/>
    <w:rsid w:val="006210A9"/>
    <w:rsid w:val="006210C6"/>
    <w:rsid w:val="006210DB"/>
    <w:rsid w:val="006210EA"/>
    <w:rsid w:val="00621134"/>
    <w:rsid w:val="006211D4"/>
    <w:rsid w:val="006211E8"/>
    <w:rsid w:val="006211EC"/>
    <w:rsid w:val="0062131C"/>
    <w:rsid w:val="00621427"/>
    <w:rsid w:val="0062151E"/>
    <w:rsid w:val="00621679"/>
    <w:rsid w:val="006216B4"/>
    <w:rsid w:val="006216FE"/>
    <w:rsid w:val="00621779"/>
    <w:rsid w:val="0062188B"/>
    <w:rsid w:val="006218B0"/>
    <w:rsid w:val="00621947"/>
    <w:rsid w:val="0062194E"/>
    <w:rsid w:val="00621A81"/>
    <w:rsid w:val="00621A90"/>
    <w:rsid w:val="00621A95"/>
    <w:rsid w:val="00621B42"/>
    <w:rsid w:val="00621B8C"/>
    <w:rsid w:val="00621BD3"/>
    <w:rsid w:val="00621BDB"/>
    <w:rsid w:val="00621D41"/>
    <w:rsid w:val="00621D54"/>
    <w:rsid w:val="00621E4E"/>
    <w:rsid w:val="00621EDA"/>
    <w:rsid w:val="00621FAE"/>
    <w:rsid w:val="00622065"/>
    <w:rsid w:val="00622205"/>
    <w:rsid w:val="006223A2"/>
    <w:rsid w:val="006223EB"/>
    <w:rsid w:val="006223F2"/>
    <w:rsid w:val="00622416"/>
    <w:rsid w:val="0062255A"/>
    <w:rsid w:val="0062258D"/>
    <w:rsid w:val="006226D4"/>
    <w:rsid w:val="0062275F"/>
    <w:rsid w:val="006227A8"/>
    <w:rsid w:val="006227B6"/>
    <w:rsid w:val="00622844"/>
    <w:rsid w:val="00622863"/>
    <w:rsid w:val="006228DA"/>
    <w:rsid w:val="00622A55"/>
    <w:rsid w:val="00622AD7"/>
    <w:rsid w:val="00622AE9"/>
    <w:rsid w:val="00622C9A"/>
    <w:rsid w:val="00622CB8"/>
    <w:rsid w:val="00622D34"/>
    <w:rsid w:val="00622D3F"/>
    <w:rsid w:val="00622DF8"/>
    <w:rsid w:val="00622F0D"/>
    <w:rsid w:val="00622F5B"/>
    <w:rsid w:val="006230BB"/>
    <w:rsid w:val="006230C2"/>
    <w:rsid w:val="006230DE"/>
    <w:rsid w:val="00623157"/>
    <w:rsid w:val="00623234"/>
    <w:rsid w:val="0062323F"/>
    <w:rsid w:val="006232B7"/>
    <w:rsid w:val="00623341"/>
    <w:rsid w:val="00623580"/>
    <w:rsid w:val="00623649"/>
    <w:rsid w:val="006236DA"/>
    <w:rsid w:val="0062385E"/>
    <w:rsid w:val="006238D7"/>
    <w:rsid w:val="00623AAE"/>
    <w:rsid w:val="00623AEA"/>
    <w:rsid w:val="00623BE0"/>
    <w:rsid w:val="00623C08"/>
    <w:rsid w:val="00623C16"/>
    <w:rsid w:val="00623CC6"/>
    <w:rsid w:val="00623D05"/>
    <w:rsid w:val="00623D9A"/>
    <w:rsid w:val="00623DCB"/>
    <w:rsid w:val="00623F08"/>
    <w:rsid w:val="00624088"/>
    <w:rsid w:val="0062409C"/>
    <w:rsid w:val="006242C3"/>
    <w:rsid w:val="00624348"/>
    <w:rsid w:val="006243C9"/>
    <w:rsid w:val="006244E2"/>
    <w:rsid w:val="006244E3"/>
    <w:rsid w:val="00624558"/>
    <w:rsid w:val="00624721"/>
    <w:rsid w:val="0062478B"/>
    <w:rsid w:val="006247EB"/>
    <w:rsid w:val="00624833"/>
    <w:rsid w:val="0062489A"/>
    <w:rsid w:val="00624938"/>
    <w:rsid w:val="006249B4"/>
    <w:rsid w:val="00624A08"/>
    <w:rsid w:val="00624A3E"/>
    <w:rsid w:val="00624B91"/>
    <w:rsid w:val="00624D19"/>
    <w:rsid w:val="00624D5A"/>
    <w:rsid w:val="00624D9B"/>
    <w:rsid w:val="00624E9F"/>
    <w:rsid w:val="00624F97"/>
    <w:rsid w:val="0062505F"/>
    <w:rsid w:val="00625089"/>
    <w:rsid w:val="00625093"/>
    <w:rsid w:val="006250AF"/>
    <w:rsid w:val="006250BF"/>
    <w:rsid w:val="0062522B"/>
    <w:rsid w:val="0062535B"/>
    <w:rsid w:val="00625388"/>
    <w:rsid w:val="0062541A"/>
    <w:rsid w:val="0062562D"/>
    <w:rsid w:val="006256B0"/>
    <w:rsid w:val="00625734"/>
    <w:rsid w:val="00625758"/>
    <w:rsid w:val="00625767"/>
    <w:rsid w:val="006257E5"/>
    <w:rsid w:val="006257EE"/>
    <w:rsid w:val="0062580D"/>
    <w:rsid w:val="0062586D"/>
    <w:rsid w:val="006259DD"/>
    <w:rsid w:val="00625AA7"/>
    <w:rsid w:val="00625BFE"/>
    <w:rsid w:val="00625C5A"/>
    <w:rsid w:val="00626063"/>
    <w:rsid w:val="00626165"/>
    <w:rsid w:val="00626167"/>
    <w:rsid w:val="006264CB"/>
    <w:rsid w:val="00626583"/>
    <w:rsid w:val="00626660"/>
    <w:rsid w:val="00626716"/>
    <w:rsid w:val="006267A1"/>
    <w:rsid w:val="00626810"/>
    <w:rsid w:val="00626865"/>
    <w:rsid w:val="00626BAE"/>
    <w:rsid w:val="00626CAF"/>
    <w:rsid w:val="00626CDB"/>
    <w:rsid w:val="00626CDC"/>
    <w:rsid w:val="00626DDE"/>
    <w:rsid w:val="00626DF6"/>
    <w:rsid w:val="00626EA2"/>
    <w:rsid w:val="00626EF3"/>
    <w:rsid w:val="00626FA4"/>
    <w:rsid w:val="006270D2"/>
    <w:rsid w:val="006271B8"/>
    <w:rsid w:val="006271FB"/>
    <w:rsid w:val="006272DF"/>
    <w:rsid w:val="006273A1"/>
    <w:rsid w:val="0062743D"/>
    <w:rsid w:val="0062748E"/>
    <w:rsid w:val="006274B9"/>
    <w:rsid w:val="0062784A"/>
    <w:rsid w:val="00627855"/>
    <w:rsid w:val="00627989"/>
    <w:rsid w:val="00627998"/>
    <w:rsid w:val="00627A9D"/>
    <w:rsid w:val="00627BE9"/>
    <w:rsid w:val="00627CA0"/>
    <w:rsid w:val="00627CE2"/>
    <w:rsid w:val="00627D11"/>
    <w:rsid w:val="00627D5A"/>
    <w:rsid w:val="00627DE5"/>
    <w:rsid w:val="00627E88"/>
    <w:rsid w:val="00627EBB"/>
    <w:rsid w:val="00627F9E"/>
    <w:rsid w:val="00627FCA"/>
    <w:rsid w:val="00630096"/>
    <w:rsid w:val="00630128"/>
    <w:rsid w:val="006301CE"/>
    <w:rsid w:val="0063024C"/>
    <w:rsid w:val="006302EE"/>
    <w:rsid w:val="00630318"/>
    <w:rsid w:val="0063039E"/>
    <w:rsid w:val="0063046C"/>
    <w:rsid w:val="00630599"/>
    <w:rsid w:val="00630607"/>
    <w:rsid w:val="006306CE"/>
    <w:rsid w:val="006307A9"/>
    <w:rsid w:val="006307D2"/>
    <w:rsid w:val="00630AE2"/>
    <w:rsid w:val="00630B33"/>
    <w:rsid w:val="00630BEF"/>
    <w:rsid w:val="00630C6F"/>
    <w:rsid w:val="00630C9B"/>
    <w:rsid w:val="00630CA2"/>
    <w:rsid w:val="00630D91"/>
    <w:rsid w:val="00630E49"/>
    <w:rsid w:val="00630EB8"/>
    <w:rsid w:val="00630FD3"/>
    <w:rsid w:val="00631075"/>
    <w:rsid w:val="006310B4"/>
    <w:rsid w:val="00631123"/>
    <w:rsid w:val="00631145"/>
    <w:rsid w:val="00631151"/>
    <w:rsid w:val="0063122C"/>
    <w:rsid w:val="00631418"/>
    <w:rsid w:val="00631465"/>
    <w:rsid w:val="00631544"/>
    <w:rsid w:val="00631568"/>
    <w:rsid w:val="0063157A"/>
    <w:rsid w:val="006315ED"/>
    <w:rsid w:val="00631616"/>
    <w:rsid w:val="0063165B"/>
    <w:rsid w:val="00631698"/>
    <w:rsid w:val="00631734"/>
    <w:rsid w:val="00631A71"/>
    <w:rsid w:val="00631C8A"/>
    <w:rsid w:val="00631E23"/>
    <w:rsid w:val="00631E46"/>
    <w:rsid w:val="00631EC8"/>
    <w:rsid w:val="006320BD"/>
    <w:rsid w:val="006320CB"/>
    <w:rsid w:val="006322C6"/>
    <w:rsid w:val="0063231D"/>
    <w:rsid w:val="006323E9"/>
    <w:rsid w:val="00632529"/>
    <w:rsid w:val="0063252E"/>
    <w:rsid w:val="0063259A"/>
    <w:rsid w:val="006325B8"/>
    <w:rsid w:val="006326A3"/>
    <w:rsid w:val="006326EF"/>
    <w:rsid w:val="0063280C"/>
    <w:rsid w:val="006328DE"/>
    <w:rsid w:val="006329E5"/>
    <w:rsid w:val="00632E07"/>
    <w:rsid w:val="00632E1A"/>
    <w:rsid w:val="00632E30"/>
    <w:rsid w:val="00632FBE"/>
    <w:rsid w:val="00633057"/>
    <w:rsid w:val="00633066"/>
    <w:rsid w:val="006330E8"/>
    <w:rsid w:val="0063316B"/>
    <w:rsid w:val="006331B6"/>
    <w:rsid w:val="006331CA"/>
    <w:rsid w:val="0063342C"/>
    <w:rsid w:val="00633438"/>
    <w:rsid w:val="00633445"/>
    <w:rsid w:val="006334BC"/>
    <w:rsid w:val="006334EB"/>
    <w:rsid w:val="0063353C"/>
    <w:rsid w:val="00633609"/>
    <w:rsid w:val="0063364B"/>
    <w:rsid w:val="00633731"/>
    <w:rsid w:val="00633769"/>
    <w:rsid w:val="006337A3"/>
    <w:rsid w:val="006337E7"/>
    <w:rsid w:val="00633827"/>
    <w:rsid w:val="00633864"/>
    <w:rsid w:val="006338ED"/>
    <w:rsid w:val="00633952"/>
    <w:rsid w:val="00633958"/>
    <w:rsid w:val="00633A9E"/>
    <w:rsid w:val="00633C3E"/>
    <w:rsid w:val="00633C7B"/>
    <w:rsid w:val="00633DFD"/>
    <w:rsid w:val="00633E01"/>
    <w:rsid w:val="00633ECA"/>
    <w:rsid w:val="006340C8"/>
    <w:rsid w:val="006341CF"/>
    <w:rsid w:val="006341D5"/>
    <w:rsid w:val="00634299"/>
    <w:rsid w:val="00634357"/>
    <w:rsid w:val="006346CC"/>
    <w:rsid w:val="00634727"/>
    <w:rsid w:val="00634869"/>
    <w:rsid w:val="006348C4"/>
    <w:rsid w:val="006348C6"/>
    <w:rsid w:val="00634A26"/>
    <w:rsid w:val="00634A4C"/>
    <w:rsid w:val="00634A87"/>
    <w:rsid w:val="00634B4D"/>
    <w:rsid w:val="00634BB1"/>
    <w:rsid w:val="00634D59"/>
    <w:rsid w:val="00634E0D"/>
    <w:rsid w:val="00634E15"/>
    <w:rsid w:val="00634E48"/>
    <w:rsid w:val="00634E52"/>
    <w:rsid w:val="00634F18"/>
    <w:rsid w:val="0063503A"/>
    <w:rsid w:val="0063524C"/>
    <w:rsid w:val="0063537C"/>
    <w:rsid w:val="006354E0"/>
    <w:rsid w:val="0063566F"/>
    <w:rsid w:val="00635708"/>
    <w:rsid w:val="0063570C"/>
    <w:rsid w:val="006357AE"/>
    <w:rsid w:val="0063584A"/>
    <w:rsid w:val="0063585A"/>
    <w:rsid w:val="006358D5"/>
    <w:rsid w:val="006358F5"/>
    <w:rsid w:val="00635902"/>
    <w:rsid w:val="00635922"/>
    <w:rsid w:val="00635932"/>
    <w:rsid w:val="00635993"/>
    <w:rsid w:val="006359EF"/>
    <w:rsid w:val="00635A92"/>
    <w:rsid w:val="00635B14"/>
    <w:rsid w:val="00635B7B"/>
    <w:rsid w:val="00635CF4"/>
    <w:rsid w:val="00635D1E"/>
    <w:rsid w:val="00635D80"/>
    <w:rsid w:val="00635DA1"/>
    <w:rsid w:val="00635F3A"/>
    <w:rsid w:val="00635FB3"/>
    <w:rsid w:val="00635FC0"/>
    <w:rsid w:val="00636067"/>
    <w:rsid w:val="006360B4"/>
    <w:rsid w:val="006360D8"/>
    <w:rsid w:val="00636203"/>
    <w:rsid w:val="0063637D"/>
    <w:rsid w:val="006363B1"/>
    <w:rsid w:val="0063649D"/>
    <w:rsid w:val="006364EE"/>
    <w:rsid w:val="0063664E"/>
    <w:rsid w:val="00636698"/>
    <w:rsid w:val="0063683C"/>
    <w:rsid w:val="006368A3"/>
    <w:rsid w:val="006369A8"/>
    <w:rsid w:val="006369FC"/>
    <w:rsid w:val="00636B20"/>
    <w:rsid w:val="00636B2D"/>
    <w:rsid w:val="00636D7E"/>
    <w:rsid w:val="00636D95"/>
    <w:rsid w:val="00636E2A"/>
    <w:rsid w:val="00636EDB"/>
    <w:rsid w:val="00636EFC"/>
    <w:rsid w:val="00636F32"/>
    <w:rsid w:val="00636FBB"/>
    <w:rsid w:val="0063706C"/>
    <w:rsid w:val="006370C7"/>
    <w:rsid w:val="0063715A"/>
    <w:rsid w:val="00637357"/>
    <w:rsid w:val="00637366"/>
    <w:rsid w:val="00637638"/>
    <w:rsid w:val="0063764C"/>
    <w:rsid w:val="00637662"/>
    <w:rsid w:val="006376F5"/>
    <w:rsid w:val="006377D4"/>
    <w:rsid w:val="00637816"/>
    <w:rsid w:val="0063783F"/>
    <w:rsid w:val="0063785F"/>
    <w:rsid w:val="00637A9E"/>
    <w:rsid w:val="00637AE6"/>
    <w:rsid w:val="00637B1E"/>
    <w:rsid w:val="00637BC8"/>
    <w:rsid w:val="00637CC7"/>
    <w:rsid w:val="00637D3D"/>
    <w:rsid w:val="00640080"/>
    <w:rsid w:val="006402C7"/>
    <w:rsid w:val="006402E0"/>
    <w:rsid w:val="00640309"/>
    <w:rsid w:val="00640495"/>
    <w:rsid w:val="006404E5"/>
    <w:rsid w:val="00640539"/>
    <w:rsid w:val="006406F3"/>
    <w:rsid w:val="00640794"/>
    <w:rsid w:val="006407E0"/>
    <w:rsid w:val="0064080B"/>
    <w:rsid w:val="00640867"/>
    <w:rsid w:val="0064096D"/>
    <w:rsid w:val="006409FD"/>
    <w:rsid w:val="00640A32"/>
    <w:rsid w:val="00640AB4"/>
    <w:rsid w:val="00640C45"/>
    <w:rsid w:val="00640D16"/>
    <w:rsid w:val="00640DAC"/>
    <w:rsid w:val="00640DC1"/>
    <w:rsid w:val="00640E55"/>
    <w:rsid w:val="00640EF0"/>
    <w:rsid w:val="00640EF4"/>
    <w:rsid w:val="00640F16"/>
    <w:rsid w:val="00640FEA"/>
    <w:rsid w:val="00641020"/>
    <w:rsid w:val="00641393"/>
    <w:rsid w:val="0064144A"/>
    <w:rsid w:val="0064146B"/>
    <w:rsid w:val="006414AF"/>
    <w:rsid w:val="00641664"/>
    <w:rsid w:val="0064168E"/>
    <w:rsid w:val="0064172A"/>
    <w:rsid w:val="0064177D"/>
    <w:rsid w:val="006417C9"/>
    <w:rsid w:val="0064197E"/>
    <w:rsid w:val="006419A2"/>
    <w:rsid w:val="00641A0C"/>
    <w:rsid w:val="00641A86"/>
    <w:rsid w:val="00641AF1"/>
    <w:rsid w:val="00641B4B"/>
    <w:rsid w:val="00641C70"/>
    <w:rsid w:val="00641D15"/>
    <w:rsid w:val="00641F5B"/>
    <w:rsid w:val="00642083"/>
    <w:rsid w:val="006422E7"/>
    <w:rsid w:val="00642338"/>
    <w:rsid w:val="006423BF"/>
    <w:rsid w:val="006423F9"/>
    <w:rsid w:val="00642444"/>
    <w:rsid w:val="0064254F"/>
    <w:rsid w:val="0064269B"/>
    <w:rsid w:val="00642953"/>
    <w:rsid w:val="00642C70"/>
    <w:rsid w:val="00642C72"/>
    <w:rsid w:val="00642D65"/>
    <w:rsid w:val="006430D1"/>
    <w:rsid w:val="006430E9"/>
    <w:rsid w:val="00643141"/>
    <w:rsid w:val="0064315E"/>
    <w:rsid w:val="00643172"/>
    <w:rsid w:val="0064317E"/>
    <w:rsid w:val="00643279"/>
    <w:rsid w:val="0064329D"/>
    <w:rsid w:val="0064330F"/>
    <w:rsid w:val="00643361"/>
    <w:rsid w:val="0064356A"/>
    <w:rsid w:val="00643726"/>
    <w:rsid w:val="006437BC"/>
    <w:rsid w:val="006437EE"/>
    <w:rsid w:val="00643825"/>
    <w:rsid w:val="006439A0"/>
    <w:rsid w:val="00643A3B"/>
    <w:rsid w:val="00643CCD"/>
    <w:rsid w:val="00643D5C"/>
    <w:rsid w:val="00643DB1"/>
    <w:rsid w:val="00643DEE"/>
    <w:rsid w:val="00643EC5"/>
    <w:rsid w:val="00643F9D"/>
    <w:rsid w:val="00643FE8"/>
    <w:rsid w:val="006441D2"/>
    <w:rsid w:val="00644210"/>
    <w:rsid w:val="00644248"/>
    <w:rsid w:val="0064426F"/>
    <w:rsid w:val="00644307"/>
    <w:rsid w:val="00644452"/>
    <w:rsid w:val="006444E5"/>
    <w:rsid w:val="00644511"/>
    <w:rsid w:val="0064458F"/>
    <w:rsid w:val="00644591"/>
    <w:rsid w:val="00644624"/>
    <w:rsid w:val="006446D6"/>
    <w:rsid w:val="00644808"/>
    <w:rsid w:val="0064492B"/>
    <w:rsid w:val="00644A7D"/>
    <w:rsid w:val="00644AFF"/>
    <w:rsid w:val="00644B2D"/>
    <w:rsid w:val="00644B40"/>
    <w:rsid w:val="00644E01"/>
    <w:rsid w:val="006450A4"/>
    <w:rsid w:val="0064515F"/>
    <w:rsid w:val="00645184"/>
    <w:rsid w:val="0064520F"/>
    <w:rsid w:val="006452CE"/>
    <w:rsid w:val="00645401"/>
    <w:rsid w:val="00645461"/>
    <w:rsid w:val="006454EC"/>
    <w:rsid w:val="0064552A"/>
    <w:rsid w:val="0064557C"/>
    <w:rsid w:val="006455DB"/>
    <w:rsid w:val="006455F2"/>
    <w:rsid w:val="006456BA"/>
    <w:rsid w:val="00645740"/>
    <w:rsid w:val="00645830"/>
    <w:rsid w:val="006459CB"/>
    <w:rsid w:val="00645A50"/>
    <w:rsid w:val="00645B62"/>
    <w:rsid w:val="00645CE3"/>
    <w:rsid w:val="00645DBF"/>
    <w:rsid w:val="00646001"/>
    <w:rsid w:val="0064601A"/>
    <w:rsid w:val="006460A0"/>
    <w:rsid w:val="006460B1"/>
    <w:rsid w:val="006462DF"/>
    <w:rsid w:val="006464AD"/>
    <w:rsid w:val="00646520"/>
    <w:rsid w:val="00646602"/>
    <w:rsid w:val="006467C7"/>
    <w:rsid w:val="00646878"/>
    <w:rsid w:val="0064694E"/>
    <w:rsid w:val="00646A1B"/>
    <w:rsid w:val="00646B4F"/>
    <w:rsid w:val="00646C1C"/>
    <w:rsid w:val="0064719C"/>
    <w:rsid w:val="006471C2"/>
    <w:rsid w:val="00647216"/>
    <w:rsid w:val="006472F5"/>
    <w:rsid w:val="0064745A"/>
    <w:rsid w:val="006475E4"/>
    <w:rsid w:val="00647720"/>
    <w:rsid w:val="00647722"/>
    <w:rsid w:val="006477A4"/>
    <w:rsid w:val="00647A61"/>
    <w:rsid w:val="00647BD5"/>
    <w:rsid w:val="00647C1F"/>
    <w:rsid w:val="00647C25"/>
    <w:rsid w:val="00647C99"/>
    <w:rsid w:val="00647D67"/>
    <w:rsid w:val="00647D70"/>
    <w:rsid w:val="00647E43"/>
    <w:rsid w:val="00647E5D"/>
    <w:rsid w:val="00647E66"/>
    <w:rsid w:val="00647F03"/>
    <w:rsid w:val="00650105"/>
    <w:rsid w:val="00650153"/>
    <w:rsid w:val="00650201"/>
    <w:rsid w:val="00650279"/>
    <w:rsid w:val="006502BF"/>
    <w:rsid w:val="006502D2"/>
    <w:rsid w:val="00650536"/>
    <w:rsid w:val="00650646"/>
    <w:rsid w:val="0065070F"/>
    <w:rsid w:val="0065074F"/>
    <w:rsid w:val="00650812"/>
    <w:rsid w:val="006509E6"/>
    <w:rsid w:val="00650A0C"/>
    <w:rsid w:val="00650A75"/>
    <w:rsid w:val="00650A97"/>
    <w:rsid w:val="00650AAF"/>
    <w:rsid w:val="00650B61"/>
    <w:rsid w:val="00650BB9"/>
    <w:rsid w:val="00650BEF"/>
    <w:rsid w:val="00650BF4"/>
    <w:rsid w:val="00650C0D"/>
    <w:rsid w:val="00650C4F"/>
    <w:rsid w:val="00650EC9"/>
    <w:rsid w:val="00650FD9"/>
    <w:rsid w:val="006511CC"/>
    <w:rsid w:val="006511ED"/>
    <w:rsid w:val="006513F0"/>
    <w:rsid w:val="006514B2"/>
    <w:rsid w:val="0065152D"/>
    <w:rsid w:val="0065168C"/>
    <w:rsid w:val="00651807"/>
    <w:rsid w:val="00651870"/>
    <w:rsid w:val="00651984"/>
    <w:rsid w:val="00651A85"/>
    <w:rsid w:val="00651AFE"/>
    <w:rsid w:val="00651C1D"/>
    <w:rsid w:val="00651C37"/>
    <w:rsid w:val="00651C39"/>
    <w:rsid w:val="00651CC4"/>
    <w:rsid w:val="00651CFB"/>
    <w:rsid w:val="00651D46"/>
    <w:rsid w:val="00651DB0"/>
    <w:rsid w:val="00651DE6"/>
    <w:rsid w:val="00651E3F"/>
    <w:rsid w:val="00651EF5"/>
    <w:rsid w:val="00651FED"/>
    <w:rsid w:val="006520C7"/>
    <w:rsid w:val="006520CE"/>
    <w:rsid w:val="006520D2"/>
    <w:rsid w:val="006520D9"/>
    <w:rsid w:val="0065217D"/>
    <w:rsid w:val="006522B5"/>
    <w:rsid w:val="00652342"/>
    <w:rsid w:val="0065235C"/>
    <w:rsid w:val="00652361"/>
    <w:rsid w:val="00652429"/>
    <w:rsid w:val="00652455"/>
    <w:rsid w:val="0065245C"/>
    <w:rsid w:val="00652519"/>
    <w:rsid w:val="0065251B"/>
    <w:rsid w:val="0065257C"/>
    <w:rsid w:val="006525DD"/>
    <w:rsid w:val="006525EC"/>
    <w:rsid w:val="00652686"/>
    <w:rsid w:val="006526EC"/>
    <w:rsid w:val="00652782"/>
    <w:rsid w:val="0065283B"/>
    <w:rsid w:val="00652850"/>
    <w:rsid w:val="006528C1"/>
    <w:rsid w:val="00652931"/>
    <w:rsid w:val="00652963"/>
    <w:rsid w:val="0065298F"/>
    <w:rsid w:val="006529CA"/>
    <w:rsid w:val="00652A11"/>
    <w:rsid w:val="00652B18"/>
    <w:rsid w:val="00652B1F"/>
    <w:rsid w:val="00652BF5"/>
    <w:rsid w:val="00652CEC"/>
    <w:rsid w:val="00652D07"/>
    <w:rsid w:val="00652D40"/>
    <w:rsid w:val="00652DF5"/>
    <w:rsid w:val="00652EA3"/>
    <w:rsid w:val="00653070"/>
    <w:rsid w:val="00653095"/>
    <w:rsid w:val="00653164"/>
    <w:rsid w:val="006531CC"/>
    <w:rsid w:val="0065334C"/>
    <w:rsid w:val="00653466"/>
    <w:rsid w:val="00653514"/>
    <w:rsid w:val="006535A4"/>
    <w:rsid w:val="006537C7"/>
    <w:rsid w:val="00653997"/>
    <w:rsid w:val="00653AC4"/>
    <w:rsid w:val="00653B89"/>
    <w:rsid w:val="00653B92"/>
    <w:rsid w:val="00653C10"/>
    <w:rsid w:val="00653C50"/>
    <w:rsid w:val="00653CAE"/>
    <w:rsid w:val="00653CBD"/>
    <w:rsid w:val="00653CCD"/>
    <w:rsid w:val="00653ED3"/>
    <w:rsid w:val="00653F9D"/>
    <w:rsid w:val="00654055"/>
    <w:rsid w:val="0065413A"/>
    <w:rsid w:val="006541B4"/>
    <w:rsid w:val="006542D9"/>
    <w:rsid w:val="00654423"/>
    <w:rsid w:val="0065449F"/>
    <w:rsid w:val="006544BC"/>
    <w:rsid w:val="006544CB"/>
    <w:rsid w:val="0065450C"/>
    <w:rsid w:val="006545A9"/>
    <w:rsid w:val="0065466F"/>
    <w:rsid w:val="006547E9"/>
    <w:rsid w:val="0065490A"/>
    <w:rsid w:val="0065490B"/>
    <w:rsid w:val="006549CB"/>
    <w:rsid w:val="00654AA6"/>
    <w:rsid w:val="00654B20"/>
    <w:rsid w:val="00654D6A"/>
    <w:rsid w:val="00654EF6"/>
    <w:rsid w:val="00654F17"/>
    <w:rsid w:val="00655058"/>
    <w:rsid w:val="00655077"/>
    <w:rsid w:val="00655270"/>
    <w:rsid w:val="0065535C"/>
    <w:rsid w:val="006553ED"/>
    <w:rsid w:val="0065545F"/>
    <w:rsid w:val="00655463"/>
    <w:rsid w:val="0065550F"/>
    <w:rsid w:val="0065563F"/>
    <w:rsid w:val="0065565F"/>
    <w:rsid w:val="00655884"/>
    <w:rsid w:val="00655914"/>
    <w:rsid w:val="00655946"/>
    <w:rsid w:val="00655B61"/>
    <w:rsid w:val="00655B8F"/>
    <w:rsid w:val="00655BEF"/>
    <w:rsid w:val="00655D02"/>
    <w:rsid w:val="00655D8C"/>
    <w:rsid w:val="00655DB2"/>
    <w:rsid w:val="00655F9C"/>
    <w:rsid w:val="00655FCF"/>
    <w:rsid w:val="00656051"/>
    <w:rsid w:val="00656105"/>
    <w:rsid w:val="00656366"/>
    <w:rsid w:val="00656471"/>
    <w:rsid w:val="006565C2"/>
    <w:rsid w:val="00656765"/>
    <w:rsid w:val="006567F1"/>
    <w:rsid w:val="00656800"/>
    <w:rsid w:val="00656A50"/>
    <w:rsid w:val="00656A59"/>
    <w:rsid w:val="00656CED"/>
    <w:rsid w:val="00656CFD"/>
    <w:rsid w:val="00656DFB"/>
    <w:rsid w:val="00656F8B"/>
    <w:rsid w:val="00656FF8"/>
    <w:rsid w:val="00657061"/>
    <w:rsid w:val="0065730B"/>
    <w:rsid w:val="0065748B"/>
    <w:rsid w:val="006575F5"/>
    <w:rsid w:val="00657604"/>
    <w:rsid w:val="0065775D"/>
    <w:rsid w:val="0065776D"/>
    <w:rsid w:val="0065789F"/>
    <w:rsid w:val="006578A9"/>
    <w:rsid w:val="0065794B"/>
    <w:rsid w:val="00657990"/>
    <w:rsid w:val="00657994"/>
    <w:rsid w:val="006579AB"/>
    <w:rsid w:val="006579D2"/>
    <w:rsid w:val="00657AC6"/>
    <w:rsid w:val="00657C2D"/>
    <w:rsid w:val="00657D44"/>
    <w:rsid w:val="00657D90"/>
    <w:rsid w:val="00657FE4"/>
    <w:rsid w:val="0066010A"/>
    <w:rsid w:val="0066017D"/>
    <w:rsid w:val="00660185"/>
    <w:rsid w:val="00660200"/>
    <w:rsid w:val="00660204"/>
    <w:rsid w:val="006602C9"/>
    <w:rsid w:val="006603BD"/>
    <w:rsid w:val="006603DF"/>
    <w:rsid w:val="00660407"/>
    <w:rsid w:val="00660528"/>
    <w:rsid w:val="00660542"/>
    <w:rsid w:val="0066073E"/>
    <w:rsid w:val="00660A89"/>
    <w:rsid w:val="00660AC5"/>
    <w:rsid w:val="00660BE3"/>
    <w:rsid w:val="00660C39"/>
    <w:rsid w:val="00660C47"/>
    <w:rsid w:val="00660D08"/>
    <w:rsid w:val="00660D1A"/>
    <w:rsid w:val="00660E47"/>
    <w:rsid w:val="00660EA9"/>
    <w:rsid w:val="00660EAF"/>
    <w:rsid w:val="00660ED9"/>
    <w:rsid w:val="00660F99"/>
    <w:rsid w:val="00660FDC"/>
    <w:rsid w:val="00661039"/>
    <w:rsid w:val="006610DC"/>
    <w:rsid w:val="00661127"/>
    <w:rsid w:val="00661183"/>
    <w:rsid w:val="00661377"/>
    <w:rsid w:val="0066142A"/>
    <w:rsid w:val="0066197E"/>
    <w:rsid w:val="00661985"/>
    <w:rsid w:val="006619E5"/>
    <w:rsid w:val="00661C6B"/>
    <w:rsid w:val="00661C7E"/>
    <w:rsid w:val="00661CA1"/>
    <w:rsid w:val="00661CAF"/>
    <w:rsid w:val="00661CDD"/>
    <w:rsid w:val="00661D19"/>
    <w:rsid w:val="00661E12"/>
    <w:rsid w:val="00661E9A"/>
    <w:rsid w:val="00661EC8"/>
    <w:rsid w:val="00661ED7"/>
    <w:rsid w:val="00661F48"/>
    <w:rsid w:val="00661F51"/>
    <w:rsid w:val="00662152"/>
    <w:rsid w:val="006622ED"/>
    <w:rsid w:val="006624AD"/>
    <w:rsid w:val="00662608"/>
    <w:rsid w:val="0066281F"/>
    <w:rsid w:val="00662885"/>
    <w:rsid w:val="006629A2"/>
    <w:rsid w:val="006629B6"/>
    <w:rsid w:val="006629DC"/>
    <w:rsid w:val="00662CE1"/>
    <w:rsid w:val="00662E0A"/>
    <w:rsid w:val="00662E9D"/>
    <w:rsid w:val="00662FC2"/>
    <w:rsid w:val="00662FF9"/>
    <w:rsid w:val="006630C7"/>
    <w:rsid w:val="0066325F"/>
    <w:rsid w:val="00663261"/>
    <w:rsid w:val="00663364"/>
    <w:rsid w:val="006633B7"/>
    <w:rsid w:val="0066345A"/>
    <w:rsid w:val="006634D4"/>
    <w:rsid w:val="00663869"/>
    <w:rsid w:val="00663885"/>
    <w:rsid w:val="00663AB9"/>
    <w:rsid w:val="00663B14"/>
    <w:rsid w:val="00663C54"/>
    <w:rsid w:val="00663CAD"/>
    <w:rsid w:val="00663DF7"/>
    <w:rsid w:val="00663F68"/>
    <w:rsid w:val="00663FFC"/>
    <w:rsid w:val="00664004"/>
    <w:rsid w:val="006640BC"/>
    <w:rsid w:val="006640DB"/>
    <w:rsid w:val="006640F9"/>
    <w:rsid w:val="00664435"/>
    <w:rsid w:val="0066443D"/>
    <w:rsid w:val="00664519"/>
    <w:rsid w:val="00664560"/>
    <w:rsid w:val="00664589"/>
    <w:rsid w:val="00664635"/>
    <w:rsid w:val="0066471C"/>
    <w:rsid w:val="00664739"/>
    <w:rsid w:val="006647F3"/>
    <w:rsid w:val="0066481E"/>
    <w:rsid w:val="0066490A"/>
    <w:rsid w:val="00664934"/>
    <w:rsid w:val="00664A28"/>
    <w:rsid w:val="00664B01"/>
    <w:rsid w:val="00664B08"/>
    <w:rsid w:val="00664C49"/>
    <w:rsid w:val="00664CB7"/>
    <w:rsid w:val="00664DB1"/>
    <w:rsid w:val="00664DB8"/>
    <w:rsid w:val="00664EEF"/>
    <w:rsid w:val="00664F35"/>
    <w:rsid w:val="00665213"/>
    <w:rsid w:val="00665282"/>
    <w:rsid w:val="00665436"/>
    <w:rsid w:val="00665555"/>
    <w:rsid w:val="006655F6"/>
    <w:rsid w:val="0066561F"/>
    <w:rsid w:val="00665712"/>
    <w:rsid w:val="00665772"/>
    <w:rsid w:val="00665787"/>
    <w:rsid w:val="0066587E"/>
    <w:rsid w:val="006658B6"/>
    <w:rsid w:val="006658D6"/>
    <w:rsid w:val="0066597B"/>
    <w:rsid w:val="00665A36"/>
    <w:rsid w:val="00665AA2"/>
    <w:rsid w:val="00665B57"/>
    <w:rsid w:val="00665C78"/>
    <w:rsid w:val="00665D8E"/>
    <w:rsid w:val="00665E4C"/>
    <w:rsid w:val="00665EFD"/>
    <w:rsid w:val="00665FD7"/>
    <w:rsid w:val="00666038"/>
    <w:rsid w:val="00666063"/>
    <w:rsid w:val="00666103"/>
    <w:rsid w:val="00666148"/>
    <w:rsid w:val="00666168"/>
    <w:rsid w:val="0066634A"/>
    <w:rsid w:val="0066636B"/>
    <w:rsid w:val="00666417"/>
    <w:rsid w:val="00666421"/>
    <w:rsid w:val="0066657C"/>
    <w:rsid w:val="00666596"/>
    <w:rsid w:val="0066671C"/>
    <w:rsid w:val="0066683A"/>
    <w:rsid w:val="006668F7"/>
    <w:rsid w:val="00666952"/>
    <w:rsid w:val="006669AC"/>
    <w:rsid w:val="00666A29"/>
    <w:rsid w:val="00666BD3"/>
    <w:rsid w:val="00666CC3"/>
    <w:rsid w:val="00666D38"/>
    <w:rsid w:val="00666E5E"/>
    <w:rsid w:val="00666E67"/>
    <w:rsid w:val="00666E6A"/>
    <w:rsid w:val="00666E86"/>
    <w:rsid w:val="00666FF4"/>
    <w:rsid w:val="00667072"/>
    <w:rsid w:val="006670BE"/>
    <w:rsid w:val="006670F6"/>
    <w:rsid w:val="00667159"/>
    <w:rsid w:val="00667166"/>
    <w:rsid w:val="00667176"/>
    <w:rsid w:val="006671E5"/>
    <w:rsid w:val="00667343"/>
    <w:rsid w:val="0066736F"/>
    <w:rsid w:val="0066738D"/>
    <w:rsid w:val="00667417"/>
    <w:rsid w:val="00667449"/>
    <w:rsid w:val="006674B4"/>
    <w:rsid w:val="006676E1"/>
    <w:rsid w:val="00667863"/>
    <w:rsid w:val="00667A81"/>
    <w:rsid w:val="00667BAE"/>
    <w:rsid w:val="00667C0C"/>
    <w:rsid w:val="00667E80"/>
    <w:rsid w:val="00667F13"/>
    <w:rsid w:val="00667F9A"/>
    <w:rsid w:val="00670057"/>
    <w:rsid w:val="00670141"/>
    <w:rsid w:val="00670159"/>
    <w:rsid w:val="0067020C"/>
    <w:rsid w:val="00670274"/>
    <w:rsid w:val="006702B2"/>
    <w:rsid w:val="006702EA"/>
    <w:rsid w:val="0067036A"/>
    <w:rsid w:val="006703A3"/>
    <w:rsid w:val="00670473"/>
    <w:rsid w:val="0067056C"/>
    <w:rsid w:val="0067062E"/>
    <w:rsid w:val="0067065D"/>
    <w:rsid w:val="006707AB"/>
    <w:rsid w:val="00670885"/>
    <w:rsid w:val="00670957"/>
    <w:rsid w:val="0067095D"/>
    <w:rsid w:val="00670B5C"/>
    <w:rsid w:val="00670C36"/>
    <w:rsid w:val="00670DD4"/>
    <w:rsid w:val="00670E01"/>
    <w:rsid w:val="00670E8F"/>
    <w:rsid w:val="00670F5D"/>
    <w:rsid w:val="00671057"/>
    <w:rsid w:val="00671202"/>
    <w:rsid w:val="0067120B"/>
    <w:rsid w:val="0067126E"/>
    <w:rsid w:val="00671380"/>
    <w:rsid w:val="006713ED"/>
    <w:rsid w:val="006713F6"/>
    <w:rsid w:val="00671488"/>
    <w:rsid w:val="006714E9"/>
    <w:rsid w:val="00671523"/>
    <w:rsid w:val="0067162E"/>
    <w:rsid w:val="006716B2"/>
    <w:rsid w:val="006716F1"/>
    <w:rsid w:val="00671744"/>
    <w:rsid w:val="006717D9"/>
    <w:rsid w:val="00671802"/>
    <w:rsid w:val="0067187E"/>
    <w:rsid w:val="00671946"/>
    <w:rsid w:val="0067199B"/>
    <w:rsid w:val="006719BA"/>
    <w:rsid w:val="006719E6"/>
    <w:rsid w:val="00671A5B"/>
    <w:rsid w:val="00671C61"/>
    <w:rsid w:val="00671DC8"/>
    <w:rsid w:val="00671E02"/>
    <w:rsid w:val="00671E57"/>
    <w:rsid w:val="00671F21"/>
    <w:rsid w:val="00671FF0"/>
    <w:rsid w:val="00672087"/>
    <w:rsid w:val="0067208E"/>
    <w:rsid w:val="006720FE"/>
    <w:rsid w:val="00672147"/>
    <w:rsid w:val="00672198"/>
    <w:rsid w:val="00672211"/>
    <w:rsid w:val="00672226"/>
    <w:rsid w:val="0067228F"/>
    <w:rsid w:val="006722A4"/>
    <w:rsid w:val="00672345"/>
    <w:rsid w:val="0067243B"/>
    <w:rsid w:val="00672498"/>
    <w:rsid w:val="006724CC"/>
    <w:rsid w:val="00672516"/>
    <w:rsid w:val="006726A8"/>
    <w:rsid w:val="00672711"/>
    <w:rsid w:val="00672863"/>
    <w:rsid w:val="00672884"/>
    <w:rsid w:val="006729B4"/>
    <w:rsid w:val="006729E4"/>
    <w:rsid w:val="006729F4"/>
    <w:rsid w:val="00672A68"/>
    <w:rsid w:val="00672AF8"/>
    <w:rsid w:val="00672C75"/>
    <w:rsid w:val="00672CB9"/>
    <w:rsid w:val="00672E0A"/>
    <w:rsid w:val="00672E27"/>
    <w:rsid w:val="00672EB8"/>
    <w:rsid w:val="00672EDF"/>
    <w:rsid w:val="00672F54"/>
    <w:rsid w:val="00672F5B"/>
    <w:rsid w:val="00672F83"/>
    <w:rsid w:val="00672FE6"/>
    <w:rsid w:val="00673279"/>
    <w:rsid w:val="0067342D"/>
    <w:rsid w:val="00673463"/>
    <w:rsid w:val="006734D6"/>
    <w:rsid w:val="0067392E"/>
    <w:rsid w:val="00673A05"/>
    <w:rsid w:val="00673AAC"/>
    <w:rsid w:val="00673B00"/>
    <w:rsid w:val="00673CC4"/>
    <w:rsid w:val="00673EB9"/>
    <w:rsid w:val="00674004"/>
    <w:rsid w:val="00674037"/>
    <w:rsid w:val="0067403E"/>
    <w:rsid w:val="006740F6"/>
    <w:rsid w:val="00674324"/>
    <w:rsid w:val="00674369"/>
    <w:rsid w:val="0067438C"/>
    <w:rsid w:val="00674735"/>
    <w:rsid w:val="00674901"/>
    <w:rsid w:val="006749F7"/>
    <w:rsid w:val="00674B76"/>
    <w:rsid w:val="00674CE1"/>
    <w:rsid w:val="00674DFA"/>
    <w:rsid w:val="00675101"/>
    <w:rsid w:val="00675142"/>
    <w:rsid w:val="006751FD"/>
    <w:rsid w:val="00675299"/>
    <w:rsid w:val="006752AA"/>
    <w:rsid w:val="006752DA"/>
    <w:rsid w:val="00675309"/>
    <w:rsid w:val="006753C8"/>
    <w:rsid w:val="00675408"/>
    <w:rsid w:val="0067542A"/>
    <w:rsid w:val="00675512"/>
    <w:rsid w:val="0067556D"/>
    <w:rsid w:val="00675603"/>
    <w:rsid w:val="006757DD"/>
    <w:rsid w:val="0067596D"/>
    <w:rsid w:val="00675A53"/>
    <w:rsid w:val="00675B51"/>
    <w:rsid w:val="00675DD7"/>
    <w:rsid w:val="00675E7F"/>
    <w:rsid w:val="00675F6F"/>
    <w:rsid w:val="00675FC8"/>
    <w:rsid w:val="00676010"/>
    <w:rsid w:val="00676033"/>
    <w:rsid w:val="006761D5"/>
    <w:rsid w:val="00676214"/>
    <w:rsid w:val="006762CD"/>
    <w:rsid w:val="006762E8"/>
    <w:rsid w:val="00676374"/>
    <w:rsid w:val="006763BB"/>
    <w:rsid w:val="00676488"/>
    <w:rsid w:val="00676500"/>
    <w:rsid w:val="00676649"/>
    <w:rsid w:val="00676703"/>
    <w:rsid w:val="00676743"/>
    <w:rsid w:val="00676754"/>
    <w:rsid w:val="0067678C"/>
    <w:rsid w:val="0067683E"/>
    <w:rsid w:val="00676890"/>
    <w:rsid w:val="006768A4"/>
    <w:rsid w:val="006768F7"/>
    <w:rsid w:val="00676929"/>
    <w:rsid w:val="006769B7"/>
    <w:rsid w:val="006769F8"/>
    <w:rsid w:val="00676A2D"/>
    <w:rsid w:val="00676A52"/>
    <w:rsid w:val="00676A54"/>
    <w:rsid w:val="00676A7E"/>
    <w:rsid w:val="00676BAE"/>
    <w:rsid w:val="00676BDF"/>
    <w:rsid w:val="00676C06"/>
    <w:rsid w:val="00676C07"/>
    <w:rsid w:val="00676CBF"/>
    <w:rsid w:val="00676D60"/>
    <w:rsid w:val="00676E19"/>
    <w:rsid w:val="00676E59"/>
    <w:rsid w:val="00676F2B"/>
    <w:rsid w:val="0067709B"/>
    <w:rsid w:val="006770B6"/>
    <w:rsid w:val="006770DE"/>
    <w:rsid w:val="00677113"/>
    <w:rsid w:val="00677276"/>
    <w:rsid w:val="00677330"/>
    <w:rsid w:val="006773FA"/>
    <w:rsid w:val="00677487"/>
    <w:rsid w:val="00677501"/>
    <w:rsid w:val="0067769E"/>
    <w:rsid w:val="006777BC"/>
    <w:rsid w:val="006778F0"/>
    <w:rsid w:val="00677AA4"/>
    <w:rsid w:val="00677AE9"/>
    <w:rsid w:val="00677B06"/>
    <w:rsid w:val="00677B49"/>
    <w:rsid w:val="00677B69"/>
    <w:rsid w:val="00677B7B"/>
    <w:rsid w:val="00677BC8"/>
    <w:rsid w:val="00677C09"/>
    <w:rsid w:val="00677E13"/>
    <w:rsid w:val="0067EC10"/>
    <w:rsid w:val="00680119"/>
    <w:rsid w:val="006801CD"/>
    <w:rsid w:val="0068026B"/>
    <w:rsid w:val="006803B7"/>
    <w:rsid w:val="006806BF"/>
    <w:rsid w:val="006806E8"/>
    <w:rsid w:val="006807BB"/>
    <w:rsid w:val="00680AAB"/>
    <w:rsid w:val="00680AF1"/>
    <w:rsid w:val="00680B75"/>
    <w:rsid w:val="00680D48"/>
    <w:rsid w:val="00680E97"/>
    <w:rsid w:val="00680FEE"/>
    <w:rsid w:val="0068108E"/>
    <w:rsid w:val="0068109F"/>
    <w:rsid w:val="00681346"/>
    <w:rsid w:val="006813DE"/>
    <w:rsid w:val="00681419"/>
    <w:rsid w:val="00681496"/>
    <w:rsid w:val="00681528"/>
    <w:rsid w:val="00681578"/>
    <w:rsid w:val="006817B1"/>
    <w:rsid w:val="00681A1E"/>
    <w:rsid w:val="00681A9F"/>
    <w:rsid w:val="00681B73"/>
    <w:rsid w:val="00681C36"/>
    <w:rsid w:val="00681D77"/>
    <w:rsid w:val="00681E47"/>
    <w:rsid w:val="00681EB5"/>
    <w:rsid w:val="00681F57"/>
    <w:rsid w:val="00681F88"/>
    <w:rsid w:val="00681FA1"/>
    <w:rsid w:val="00682006"/>
    <w:rsid w:val="006820E0"/>
    <w:rsid w:val="0068210A"/>
    <w:rsid w:val="00682159"/>
    <w:rsid w:val="006821D1"/>
    <w:rsid w:val="00682307"/>
    <w:rsid w:val="0068231E"/>
    <w:rsid w:val="006824B7"/>
    <w:rsid w:val="00682520"/>
    <w:rsid w:val="00682567"/>
    <w:rsid w:val="006825D8"/>
    <w:rsid w:val="006825DD"/>
    <w:rsid w:val="0068266F"/>
    <w:rsid w:val="006828F0"/>
    <w:rsid w:val="00682B4F"/>
    <w:rsid w:val="00682C8C"/>
    <w:rsid w:val="00682DC7"/>
    <w:rsid w:val="00682DD8"/>
    <w:rsid w:val="00682E5A"/>
    <w:rsid w:val="00682F59"/>
    <w:rsid w:val="00682FD2"/>
    <w:rsid w:val="006830C0"/>
    <w:rsid w:val="006830C1"/>
    <w:rsid w:val="00683199"/>
    <w:rsid w:val="006831A8"/>
    <w:rsid w:val="0068326F"/>
    <w:rsid w:val="006833A9"/>
    <w:rsid w:val="006833F6"/>
    <w:rsid w:val="006834A1"/>
    <w:rsid w:val="0068353C"/>
    <w:rsid w:val="006835B0"/>
    <w:rsid w:val="006838A1"/>
    <w:rsid w:val="006839F6"/>
    <w:rsid w:val="00683A70"/>
    <w:rsid w:val="00683B77"/>
    <w:rsid w:val="00683EBB"/>
    <w:rsid w:val="00683EE6"/>
    <w:rsid w:val="00683F27"/>
    <w:rsid w:val="00684068"/>
    <w:rsid w:val="0068412A"/>
    <w:rsid w:val="00684170"/>
    <w:rsid w:val="006841AC"/>
    <w:rsid w:val="006841CA"/>
    <w:rsid w:val="0068422A"/>
    <w:rsid w:val="0068429F"/>
    <w:rsid w:val="006842B7"/>
    <w:rsid w:val="00684306"/>
    <w:rsid w:val="00684329"/>
    <w:rsid w:val="00684406"/>
    <w:rsid w:val="0068442E"/>
    <w:rsid w:val="006844E9"/>
    <w:rsid w:val="00684505"/>
    <w:rsid w:val="006845A8"/>
    <w:rsid w:val="00684831"/>
    <w:rsid w:val="006848B9"/>
    <w:rsid w:val="0068490B"/>
    <w:rsid w:val="006849A8"/>
    <w:rsid w:val="006849CC"/>
    <w:rsid w:val="00684A50"/>
    <w:rsid w:val="00684AB4"/>
    <w:rsid w:val="00684B0B"/>
    <w:rsid w:val="00684C7F"/>
    <w:rsid w:val="00684CB3"/>
    <w:rsid w:val="00684E33"/>
    <w:rsid w:val="0068502A"/>
    <w:rsid w:val="00685094"/>
    <w:rsid w:val="00685128"/>
    <w:rsid w:val="00685186"/>
    <w:rsid w:val="0068529E"/>
    <w:rsid w:val="0068533D"/>
    <w:rsid w:val="006853A8"/>
    <w:rsid w:val="00685538"/>
    <w:rsid w:val="00685539"/>
    <w:rsid w:val="00685795"/>
    <w:rsid w:val="0068596E"/>
    <w:rsid w:val="0068598B"/>
    <w:rsid w:val="00685A4F"/>
    <w:rsid w:val="00685ABF"/>
    <w:rsid w:val="00685C0C"/>
    <w:rsid w:val="00685C74"/>
    <w:rsid w:val="00685CC4"/>
    <w:rsid w:val="00685D2C"/>
    <w:rsid w:val="00685E3F"/>
    <w:rsid w:val="00685E48"/>
    <w:rsid w:val="0068600A"/>
    <w:rsid w:val="0068626B"/>
    <w:rsid w:val="006862D7"/>
    <w:rsid w:val="00686395"/>
    <w:rsid w:val="00686417"/>
    <w:rsid w:val="0068646A"/>
    <w:rsid w:val="006864B0"/>
    <w:rsid w:val="006866EA"/>
    <w:rsid w:val="006867BE"/>
    <w:rsid w:val="0068683B"/>
    <w:rsid w:val="00686852"/>
    <w:rsid w:val="0068686D"/>
    <w:rsid w:val="00686946"/>
    <w:rsid w:val="00686A68"/>
    <w:rsid w:val="00686B07"/>
    <w:rsid w:val="00686B7D"/>
    <w:rsid w:val="00686BA1"/>
    <w:rsid w:val="00686BD2"/>
    <w:rsid w:val="00686BDA"/>
    <w:rsid w:val="00686DAA"/>
    <w:rsid w:val="00686DDE"/>
    <w:rsid w:val="006871B4"/>
    <w:rsid w:val="006871BB"/>
    <w:rsid w:val="006871ED"/>
    <w:rsid w:val="00687414"/>
    <w:rsid w:val="006874AC"/>
    <w:rsid w:val="006874C2"/>
    <w:rsid w:val="00687707"/>
    <w:rsid w:val="00687731"/>
    <w:rsid w:val="0068775F"/>
    <w:rsid w:val="0068776F"/>
    <w:rsid w:val="006877B8"/>
    <w:rsid w:val="006878A9"/>
    <w:rsid w:val="006878E0"/>
    <w:rsid w:val="00687920"/>
    <w:rsid w:val="00687984"/>
    <w:rsid w:val="006879D8"/>
    <w:rsid w:val="00687A0D"/>
    <w:rsid w:val="00687A47"/>
    <w:rsid w:val="00687A98"/>
    <w:rsid w:val="00687B62"/>
    <w:rsid w:val="00687BA6"/>
    <w:rsid w:val="00687E60"/>
    <w:rsid w:val="00690092"/>
    <w:rsid w:val="0069016A"/>
    <w:rsid w:val="006902A8"/>
    <w:rsid w:val="006902E8"/>
    <w:rsid w:val="00690415"/>
    <w:rsid w:val="00690426"/>
    <w:rsid w:val="00690449"/>
    <w:rsid w:val="00690464"/>
    <w:rsid w:val="006905C0"/>
    <w:rsid w:val="0069062B"/>
    <w:rsid w:val="0069075B"/>
    <w:rsid w:val="00690927"/>
    <w:rsid w:val="0069094A"/>
    <w:rsid w:val="006909A1"/>
    <w:rsid w:val="00690CF4"/>
    <w:rsid w:val="00690F8C"/>
    <w:rsid w:val="00690FAF"/>
    <w:rsid w:val="00691014"/>
    <w:rsid w:val="00691037"/>
    <w:rsid w:val="0069108F"/>
    <w:rsid w:val="00691110"/>
    <w:rsid w:val="006911BB"/>
    <w:rsid w:val="006912A5"/>
    <w:rsid w:val="00691436"/>
    <w:rsid w:val="006914B1"/>
    <w:rsid w:val="0069151C"/>
    <w:rsid w:val="006915E3"/>
    <w:rsid w:val="0069160E"/>
    <w:rsid w:val="00691629"/>
    <w:rsid w:val="00691647"/>
    <w:rsid w:val="006916DD"/>
    <w:rsid w:val="006916E9"/>
    <w:rsid w:val="00691705"/>
    <w:rsid w:val="00691728"/>
    <w:rsid w:val="0069178B"/>
    <w:rsid w:val="006918E9"/>
    <w:rsid w:val="00691A46"/>
    <w:rsid w:val="00691A4A"/>
    <w:rsid w:val="00691AB7"/>
    <w:rsid w:val="00691AB9"/>
    <w:rsid w:val="00691B24"/>
    <w:rsid w:val="00691C42"/>
    <w:rsid w:val="00691D10"/>
    <w:rsid w:val="00691D2B"/>
    <w:rsid w:val="00691F55"/>
    <w:rsid w:val="00691F62"/>
    <w:rsid w:val="00692134"/>
    <w:rsid w:val="006921CC"/>
    <w:rsid w:val="006921F6"/>
    <w:rsid w:val="00692244"/>
    <w:rsid w:val="0069237C"/>
    <w:rsid w:val="006923C4"/>
    <w:rsid w:val="0069243E"/>
    <w:rsid w:val="006924BE"/>
    <w:rsid w:val="006924C0"/>
    <w:rsid w:val="00692541"/>
    <w:rsid w:val="00692742"/>
    <w:rsid w:val="006927A3"/>
    <w:rsid w:val="006927A7"/>
    <w:rsid w:val="00692814"/>
    <w:rsid w:val="00692946"/>
    <w:rsid w:val="00692A1C"/>
    <w:rsid w:val="00692A3F"/>
    <w:rsid w:val="00692ABF"/>
    <w:rsid w:val="00692B38"/>
    <w:rsid w:val="00692B4F"/>
    <w:rsid w:val="00692BF3"/>
    <w:rsid w:val="00692CC6"/>
    <w:rsid w:val="00692E81"/>
    <w:rsid w:val="00692F45"/>
    <w:rsid w:val="00692F8C"/>
    <w:rsid w:val="0069304C"/>
    <w:rsid w:val="00693061"/>
    <w:rsid w:val="00693146"/>
    <w:rsid w:val="00693161"/>
    <w:rsid w:val="00693213"/>
    <w:rsid w:val="00693227"/>
    <w:rsid w:val="0069327F"/>
    <w:rsid w:val="006932A2"/>
    <w:rsid w:val="006932CE"/>
    <w:rsid w:val="006932DD"/>
    <w:rsid w:val="00693417"/>
    <w:rsid w:val="0069349F"/>
    <w:rsid w:val="006934CD"/>
    <w:rsid w:val="00693563"/>
    <w:rsid w:val="006935BC"/>
    <w:rsid w:val="0069363C"/>
    <w:rsid w:val="006937B3"/>
    <w:rsid w:val="00693803"/>
    <w:rsid w:val="00693928"/>
    <w:rsid w:val="006939CC"/>
    <w:rsid w:val="006939F8"/>
    <w:rsid w:val="00693A4A"/>
    <w:rsid w:val="00693AAE"/>
    <w:rsid w:val="00693AC8"/>
    <w:rsid w:val="00693ACA"/>
    <w:rsid w:val="00693ACE"/>
    <w:rsid w:val="00693B3D"/>
    <w:rsid w:val="00693BD8"/>
    <w:rsid w:val="00693D2D"/>
    <w:rsid w:val="00693D85"/>
    <w:rsid w:val="00693E8E"/>
    <w:rsid w:val="00693EAB"/>
    <w:rsid w:val="00693FF9"/>
    <w:rsid w:val="006940F6"/>
    <w:rsid w:val="00694137"/>
    <w:rsid w:val="00694196"/>
    <w:rsid w:val="006942BE"/>
    <w:rsid w:val="0069432A"/>
    <w:rsid w:val="0069438E"/>
    <w:rsid w:val="006943AC"/>
    <w:rsid w:val="006944DF"/>
    <w:rsid w:val="006945A3"/>
    <w:rsid w:val="006946AE"/>
    <w:rsid w:val="00694725"/>
    <w:rsid w:val="00694776"/>
    <w:rsid w:val="006947C5"/>
    <w:rsid w:val="00694812"/>
    <w:rsid w:val="00694A54"/>
    <w:rsid w:val="00694AE8"/>
    <w:rsid w:val="00694AF6"/>
    <w:rsid w:val="00694C9E"/>
    <w:rsid w:val="00694CF6"/>
    <w:rsid w:val="00694D37"/>
    <w:rsid w:val="00694E1F"/>
    <w:rsid w:val="00694EFE"/>
    <w:rsid w:val="0069504E"/>
    <w:rsid w:val="0069509C"/>
    <w:rsid w:val="0069510B"/>
    <w:rsid w:val="006951AF"/>
    <w:rsid w:val="0069526A"/>
    <w:rsid w:val="006952A7"/>
    <w:rsid w:val="006952CA"/>
    <w:rsid w:val="00695348"/>
    <w:rsid w:val="00695377"/>
    <w:rsid w:val="00695490"/>
    <w:rsid w:val="006954B9"/>
    <w:rsid w:val="006954C8"/>
    <w:rsid w:val="006954F9"/>
    <w:rsid w:val="006955CD"/>
    <w:rsid w:val="00695612"/>
    <w:rsid w:val="00695648"/>
    <w:rsid w:val="006956B8"/>
    <w:rsid w:val="0069572C"/>
    <w:rsid w:val="00695748"/>
    <w:rsid w:val="006958FF"/>
    <w:rsid w:val="0069595F"/>
    <w:rsid w:val="00695A28"/>
    <w:rsid w:val="00695A44"/>
    <w:rsid w:val="00695AA4"/>
    <w:rsid w:val="00695CF7"/>
    <w:rsid w:val="00695D1F"/>
    <w:rsid w:val="00695E7B"/>
    <w:rsid w:val="00695E7E"/>
    <w:rsid w:val="00695EA9"/>
    <w:rsid w:val="00695F6B"/>
    <w:rsid w:val="00695F6C"/>
    <w:rsid w:val="00696027"/>
    <w:rsid w:val="006960AA"/>
    <w:rsid w:val="006960AD"/>
    <w:rsid w:val="00696133"/>
    <w:rsid w:val="00696146"/>
    <w:rsid w:val="0069631D"/>
    <w:rsid w:val="00696369"/>
    <w:rsid w:val="006963B1"/>
    <w:rsid w:val="006963D1"/>
    <w:rsid w:val="0069664D"/>
    <w:rsid w:val="00696681"/>
    <w:rsid w:val="00696842"/>
    <w:rsid w:val="0069687E"/>
    <w:rsid w:val="006968D8"/>
    <w:rsid w:val="00696904"/>
    <w:rsid w:val="00696A99"/>
    <w:rsid w:val="00696AE3"/>
    <w:rsid w:val="00696B18"/>
    <w:rsid w:val="00696CB8"/>
    <w:rsid w:val="00696CD4"/>
    <w:rsid w:val="00696D11"/>
    <w:rsid w:val="00696D84"/>
    <w:rsid w:val="00696DA9"/>
    <w:rsid w:val="00696F0C"/>
    <w:rsid w:val="00696FFF"/>
    <w:rsid w:val="00697150"/>
    <w:rsid w:val="006971D0"/>
    <w:rsid w:val="006971E9"/>
    <w:rsid w:val="0069724A"/>
    <w:rsid w:val="0069728C"/>
    <w:rsid w:val="00697434"/>
    <w:rsid w:val="0069743A"/>
    <w:rsid w:val="00697484"/>
    <w:rsid w:val="0069754C"/>
    <w:rsid w:val="006975FD"/>
    <w:rsid w:val="00697612"/>
    <w:rsid w:val="0069763A"/>
    <w:rsid w:val="006977B4"/>
    <w:rsid w:val="00697876"/>
    <w:rsid w:val="006978C5"/>
    <w:rsid w:val="006978EA"/>
    <w:rsid w:val="00697910"/>
    <w:rsid w:val="00697ACE"/>
    <w:rsid w:val="00697ADB"/>
    <w:rsid w:val="00697B1E"/>
    <w:rsid w:val="00697B27"/>
    <w:rsid w:val="00697B6A"/>
    <w:rsid w:val="00697B8A"/>
    <w:rsid w:val="00697C0D"/>
    <w:rsid w:val="00697D92"/>
    <w:rsid w:val="00697D95"/>
    <w:rsid w:val="00697DEB"/>
    <w:rsid w:val="00697E2E"/>
    <w:rsid w:val="00697E54"/>
    <w:rsid w:val="00697EAC"/>
    <w:rsid w:val="00697EDA"/>
    <w:rsid w:val="00697F10"/>
    <w:rsid w:val="00697F8F"/>
    <w:rsid w:val="00697FA8"/>
    <w:rsid w:val="006A01FF"/>
    <w:rsid w:val="006A021B"/>
    <w:rsid w:val="006A024C"/>
    <w:rsid w:val="006A0433"/>
    <w:rsid w:val="006A04F8"/>
    <w:rsid w:val="006A0639"/>
    <w:rsid w:val="006A06DC"/>
    <w:rsid w:val="006A0704"/>
    <w:rsid w:val="006A073D"/>
    <w:rsid w:val="006A093E"/>
    <w:rsid w:val="006A095F"/>
    <w:rsid w:val="006A0A26"/>
    <w:rsid w:val="006A0A6C"/>
    <w:rsid w:val="006A0A91"/>
    <w:rsid w:val="006A0AAB"/>
    <w:rsid w:val="006A0D90"/>
    <w:rsid w:val="006A0E67"/>
    <w:rsid w:val="006A102D"/>
    <w:rsid w:val="006A10AB"/>
    <w:rsid w:val="006A10EF"/>
    <w:rsid w:val="006A115C"/>
    <w:rsid w:val="006A11CB"/>
    <w:rsid w:val="006A129E"/>
    <w:rsid w:val="006A1323"/>
    <w:rsid w:val="006A1324"/>
    <w:rsid w:val="006A14C6"/>
    <w:rsid w:val="006A16B2"/>
    <w:rsid w:val="006A16E3"/>
    <w:rsid w:val="006A1718"/>
    <w:rsid w:val="006A189A"/>
    <w:rsid w:val="006A194B"/>
    <w:rsid w:val="006A19EC"/>
    <w:rsid w:val="006A1B63"/>
    <w:rsid w:val="006A1BEB"/>
    <w:rsid w:val="006A1E3E"/>
    <w:rsid w:val="006A1E6D"/>
    <w:rsid w:val="006A2040"/>
    <w:rsid w:val="006A2083"/>
    <w:rsid w:val="006A20AC"/>
    <w:rsid w:val="006A20AD"/>
    <w:rsid w:val="006A2119"/>
    <w:rsid w:val="006A2141"/>
    <w:rsid w:val="006A217C"/>
    <w:rsid w:val="006A21EC"/>
    <w:rsid w:val="006A21EF"/>
    <w:rsid w:val="006A226E"/>
    <w:rsid w:val="006A2287"/>
    <w:rsid w:val="006A230B"/>
    <w:rsid w:val="006A2406"/>
    <w:rsid w:val="006A2472"/>
    <w:rsid w:val="006A24A2"/>
    <w:rsid w:val="006A24D8"/>
    <w:rsid w:val="006A24F9"/>
    <w:rsid w:val="006A2509"/>
    <w:rsid w:val="006A2534"/>
    <w:rsid w:val="006A2548"/>
    <w:rsid w:val="006A255B"/>
    <w:rsid w:val="006A2567"/>
    <w:rsid w:val="006A26AD"/>
    <w:rsid w:val="006A27C0"/>
    <w:rsid w:val="006A27DF"/>
    <w:rsid w:val="006A2845"/>
    <w:rsid w:val="006A2971"/>
    <w:rsid w:val="006A2B15"/>
    <w:rsid w:val="006A2C1C"/>
    <w:rsid w:val="006A2CE1"/>
    <w:rsid w:val="006A2F2A"/>
    <w:rsid w:val="006A305D"/>
    <w:rsid w:val="006A30C8"/>
    <w:rsid w:val="006A316E"/>
    <w:rsid w:val="006A323D"/>
    <w:rsid w:val="006A332E"/>
    <w:rsid w:val="006A3352"/>
    <w:rsid w:val="006A33DE"/>
    <w:rsid w:val="006A354F"/>
    <w:rsid w:val="006A3622"/>
    <w:rsid w:val="006A381A"/>
    <w:rsid w:val="006A38C9"/>
    <w:rsid w:val="006A38FD"/>
    <w:rsid w:val="006A3A05"/>
    <w:rsid w:val="006A3A91"/>
    <w:rsid w:val="006A3C2D"/>
    <w:rsid w:val="006A3E8C"/>
    <w:rsid w:val="006A3EFA"/>
    <w:rsid w:val="006A3FD1"/>
    <w:rsid w:val="006A404D"/>
    <w:rsid w:val="006A4092"/>
    <w:rsid w:val="006A4181"/>
    <w:rsid w:val="006A419E"/>
    <w:rsid w:val="006A4285"/>
    <w:rsid w:val="006A4293"/>
    <w:rsid w:val="006A43EB"/>
    <w:rsid w:val="006A4438"/>
    <w:rsid w:val="006A4537"/>
    <w:rsid w:val="006A467B"/>
    <w:rsid w:val="006A467C"/>
    <w:rsid w:val="006A4784"/>
    <w:rsid w:val="006A48A2"/>
    <w:rsid w:val="006A48C0"/>
    <w:rsid w:val="006A4A40"/>
    <w:rsid w:val="006A4A6B"/>
    <w:rsid w:val="006A4AC0"/>
    <w:rsid w:val="006A4BE1"/>
    <w:rsid w:val="006A4BEC"/>
    <w:rsid w:val="006A4E08"/>
    <w:rsid w:val="006A4E9E"/>
    <w:rsid w:val="006A504D"/>
    <w:rsid w:val="006A5060"/>
    <w:rsid w:val="006A50DF"/>
    <w:rsid w:val="006A523B"/>
    <w:rsid w:val="006A52F8"/>
    <w:rsid w:val="006A536D"/>
    <w:rsid w:val="006A540A"/>
    <w:rsid w:val="006A5494"/>
    <w:rsid w:val="006A54BE"/>
    <w:rsid w:val="006A54D5"/>
    <w:rsid w:val="006A54FD"/>
    <w:rsid w:val="006A555A"/>
    <w:rsid w:val="006A57A9"/>
    <w:rsid w:val="006A583F"/>
    <w:rsid w:val="006A5852"/>
    <w:rsid w:val="006A5885"/>
    <w:rsid w:val="006A5909"/>
    <w:rsid w:val="006A5B27"/>
    <w:rsid w:val="006A5B3B"/>
    <w:rsid w:val="006A5B74"/>
    <w:rsid w:val="006A5C52"/>
    <w:rsid w:val="006A5C53"/>
    <w:rsid w:val="006A5CDD"/>
    <w:rsid w:val="006A5CEF"/>
    <w:rsid w:val="006A5D01"/>
    <w:rsid w:val="006A5ED2"/>
    <w:rsid w:val="006A5FCE"/>
    <w:rsid w:val="006A6031"/>
    <w:rsid w:val="006A61B8"/>
    <w:rsid w:val="006A6305"/>
    <w:rsid w:val="006A63E2"/>
    <w:rsid w:val="006A64C4"/>
    <w:rsid w:val="006A64F0"/>
    <w:rsid w:val="006A668D"/>
    <w:rsid w:val="006A6768"/>
    <w:rsid w:val="006A68F1"/>
    <w:rsid w:val="006A6969"/>
    <w:rsid w:val="006A6C88"/>
    <w:rsid w:val="006A6CFC"/>
    <w:rsid w:val="006A6D17"/>
    <w:rsid w:val="006A6D3B"/>
    <w:rsid w:val="006A6D78"/>
    <w:rsid w:val="006A6DCF"/>
    <w:rsid w:val="006A6E2C"/>
    <w:rsid w:val="006A70CF"/>
    <w:rsid w:val="006A70E9"/>
    <w:rsid w:val="006A7192"/>
    <w:rsid w:val="006A7205"/>
    <w:rsid w:val="006A7230"/>
    <w:rsid w:val="006A72B0"/>
    <w:rsid w:val="006A7316"/>
    <w:rsid w:val="006A73B4"/>
    <w:rsid w:val="006A73E2"/>
    <w:rsid w:val="006A757C"/>
    <w:rsid w:val="006A75EE"/>
    <w:rsid w:val="006A76E9"/>
    <w:rsid w:val="006A774A"/>
    <w:rsid w:val="006A77A2"/>
    <w:rsid w:val="006A77CF"/>
    <w:rsid w:val="006A7859"/>
    <w:rsid w:val="006A798E"/>
    <w:rsid w:val="006A79AC"/>
    <w:rsid w:val="006A79FA"/>
    <w:rsid w:val="006A7A5C"/>
    <w:rsid w:val="006A7A8A"/>
    <w:rsid w:val="006A7B80"/>
    <w:rsid w:val="006A7BDD"/>
    <w:rsid w:val="006A7C62"/>
    <w:rsid w:val="006B00E3"/>
    <w:rsid w:val="006B01DB"/>
    <w:rsid w:val="006B024A"/>
    <w:rsid w:val="006B027D"/>
    <w:rsid w:val="006B0359"/>
    <w:rsid w:val="006B036A"/>
    <w:rsid w:val="006B03D0"/>
    <w:rsid w:val="006B0435"/>
    <w:rsid w:val="006B0495"/>
    <w:rsid w:val="006B055E"/>
    <w:rsid w:val="006B058B"/>
    <w:rsid w:val="006B05E5"/>
    <w:rsid w:val="006B0642"/>
    <w:rsid w:val="006B0644"/>
    <w:rsid w:val="006B0848"/>
    <w:rsid w:val="006B09CC"/>
    <w:rsid w:val="006B09FC"/>
    <w:rsid w:val="006B0B75"/>
    <w:rsid w:val="006B0C56"/>
    <w:rsid w:val="006B0C8E"/>
    <w:rsid w:val="006B0CD5"/>
    <w:rsid w:val="006B0D1B"/>
    <w:rsid w:val="006B0D3A"/>
    <w:rsid w:val="006B0E09"/>
    <w:rsid w:val="006B0E41"/>
    <w:rsid w:val="006B0E4B"/>
    <w:rsid w:val="006B0F0B"/>
    <w:rsid w:val="006B0F86"/>
    <w:rsid w:val="006B0FB9"/>
    <w:rsid w:val="006B10EE"/>
    <w:rsid w:val="006B113A"/>
    <w:rsid w:val="006B114E"/>
    <w:rsid w:val="006B11D6"/>
    <w:rsid w:val="006B12F4"/>
    <w:rsid w:val="006B1451"/>
    <w:rsid w:val="006B14C7"/>
    <w:rsid w:val="006B15A2"/>
    <w:rsid w:val="006B166D"/>
    <w:rsid w:val="006B17B1"/>
    <w:rsid w:val="006B17E3"/>
    <w:rsid w:val="006B1878"/>
    <w:rsid w:val="006B1879"/>
    <w:rsid w:val="006B190E"/>
    <w:rsid w:val="006B1927"/>
    <w:rsid w:val="006B1A7F"/>
    <w:rsid w:val="006B1B5F"/>
    <w:rsid w:val="006B1BF2"/>
    <w:rsid w:val="006B1C99"/>
    <w:rsid w:val="006B1DF0"/>
    <w:rsid w:val="006B1E06"/>
    <w:rsid w:val="006B1E5E"/>
    <w:rsid w:val="006B1E95"/>
    <w:rsid w:val="006B1EAC"/>
    <w:rsid w:val="006B1EE3"/>
    <w:rsid w:val="006B1FF7"/>
    <w:rsid w:val="006B206D"/>
    <w:rsid w:val="006B2075"/>
    <w:rsid w:val="006B20EE"/>
    <w:rsid w:val="006B21C3"/>
    <w:rsid w:val="006B233B"/>
    <w:rsid w:val="006B24F0"/>
    <w:rsid w:val="006B2614"/>
    <w:rsid w:val="006B263E"/>
    <w:rsid w:val="006B27A5"/>
    <w:rsid w:val="006B27F5"/>
    <w:rsid w:val="006B27FC"/>
    <w:rsid w:val="006B2814"/>
    <w:rsid w:val="006B2954"/>
    <w:rsid w:val="006B2AFB"/>
    <w:rsid w:val="006B2CC2"/>
    <w:rsid w:val="006B2E21"/>
    <w:rsid w:val="006B2E9E"/>
    <w:rsid w:val="006B3033"/>
    <w:rsid w:val="006B30C8"/>
    <w:rsid w:val="006B31AA"/>
    <w:rsid w:val="006B321A"/>
    <w:rsid w:val="006B32E3"/>
    <w:rsid w:val="006B3431"/>
    <w:rsid w:val="006B34FF"/>
    <w:rsid w:val="006B357B"/>
    <w:rsid w:val="006B376C"/>
    <w:rsid w:val="006B3821"/>
    <w:rsid w:val="006B3959"/>
    <w:rsid w:val="006B3A07"/>
    <w:rsid w:val="006B3C59"/>
    <w:rsid w:val="006B3C83"/>
    <w:rsid w:val="006B3E35"/>
    <w:rsid w:val="006B3F05"/>
    <w:rsid w:val="006B3F58"/>
    <w:rsid w:val="006B4188"/>
    <w:rsid w:val="006B41A0"/>
    <w:rsid w:val="006B4395"/>
    <w:rsid w:val="006B4633"/>
    <w:rsid w:val="006B46DE"/>
    <w:rsid w:val="006B489F"/>
    <w:rsid w:val="006B495B"/>
    <w:rsid w:val="006B4B87"/>
    <w:rsid w:val="006B4C0F"/>
    <w:rsid w:val="006B4C87"/>
    <w:rsid w:val="006B4CB4"/>
    <w:rsid w:val="006B4DA5"/>
    <w:rsid w:val="006B4E5F"/>
    <w:rsid w:val="006B4E84"/>
    <w:rsid w:val="006B4F53"/>
    <w:rsid w:val="006B4F95"/>
    <w:rsid w:val="006B50B7"/>
    <w:rsid w:val="006B50BB"/>
    <w:rsid w:val="006B50F4"/>
    <w:rsid w:val="006B519D"/>
    <w:rsid w:val="006B51F9"/>
    <w:rsid w:val="006B52E9"/>
    <w:rsid w:val="006B557F"/>
    <w:rsid w:val="006B55AA"/>
    <w:rsid w:val="006B5673"/>
    <w:rsid w:val="006B5685"/>
    <w:rsid w:val="006B56A2"/>
    <w:rsid w:val="006B5893"/>
    <w:rsid w:val="006B59A7"/>
    <w:rsid w:val="006B5B8D"/>
    <w:rsid w:val="006B5BA6"/>
    <w:rsid w:val="006B5D92"/>
    <w:rsid w:val="006B60FD"/>
    <w:rsid w:val="006B61A7"/>
    <w:rsid w:val="006B6420"/>
    <w:rsid w:val="006B655B"/>
    <w:rsid w:val="006B6787"/>
    <w:rsid w:val="006B67D8"/>
    <w:rsid w:val="006B68FF"/>
    <w:rsid w:val="006B699D"/>
    <w:rsid w:val="006B6ABA"/>
    <w:rsid w:val="006B6AE0"/>
    <w:rsid w:val="006B6B25"/>
    <w:rsid w:val="006B6BF7"/>
    <w:rsid w:val="006B6BFD"/>
    <w:rsid w:val="006B6D81"/>
    <w:rsid w:val="006B6DDF"/>
    <w:rsid w:val="006B6E1A"/>
    <w:rsid w:val="006B6E52"/>
    <w:rsid w:val="006B6F6F"/>
    <w:rsid w:val="006B719A"/>
    <w:rsid w:val="006B71B8"/>
    <w:rsid w:val="006B71E9"/>
    <w:rsid w:val="006B71FA"/>
    <w:rsid w:val="006B7262"/>
    <w:rsid w:val="006B72AD"/>
    <w:rsid w:val="006B748B"/>
    <w:rsid w:val="006B74D1"/>
    <w:rsid w:val="006B7749"/>
    <w:rsid w:val="006B7957"/>
    <w:rsid w:val="006B7AAB"/>
    <w:rsid w:val="006B7B3E"/>
    <w:rsid w:val="006B7C78"/>
    <w:rsid w:val="006B7CBF"/>
    <w:rsid w:val="006B7D12"/>
    <w:rsid w:val="006B7D72"/>
    <w:rsid w:val="006B7E32"/>
    <w:rsid w:val="006B7E7E"/>
    <w:rsid w:val="006B7EF7"/>
    <w:rsid w:val="006B7F1D"/>
    <w:rsid w:val="006C018D"/>
    <w:rsid w:val="006C01FE"/>
    <w:rsid w:val="006C0225"/>
    <w:rsid w:val="006C047B"/>
    <w:rsid w:val="006C0504"/>
    <w:rsid w:val="006C05AA"/>
    <w:rsid w:val="006C070F"/>
    <w:rsid w:val="006C076D"/>
    <w:rsid w:val="006C0935"/>
    <w:rsid w:val="006C0AA8"/>
    <w:rsid w:val="006C0B57"/>
    <w:rsid w:val="006C0B59"/>
    <w:rsid w:val="006C0CEC"/>
    <w:rsid w:val="006C0D23"/>
    <w:rsid w:val="006C0D7F"/>
    <w:rsid w:val="006C0FB6"/>
    <w:rsid w:val="006C0FF4"/>
    <w:rsid w:val="006C1024"/>
    <w:rsid w:val="006C1197"/>
    <w:rsid w:val="006C1224"/>
    <w:rsid w:val="006C1247"/>
    <w:rsid w:val="006C133F"/>
    <w:rsid w:val="006C136C"/>
    <w:rsid w:val="006C1463"/>
    <w:rsid w:val="006C1587"/>
    <w:rsid w:val="006C15F8"/>
    <w:rsid w:val="006C16C8"/>
    <w:rsid w:val="006C176A"/>
    <w:rsid w:val="006C17B7"/>
    <w:rsid w:val="006C18D7"/>
    <w:rsid w:val="006C1931"/>
    <w:rsid w:val="006C19B5"/>
    <w:rsid w:val="006C1A5E"/>
    <w:rsid w:val="006C1AD3"/>
    <w:rsid w:val="006C1AF6"/>
    <w:rsid w:val="006C1B3B"/>
    <w:rsid w:val="006C1B5A"/>
    <w:rsid w:val="006C1C30"/>
    <w:rsid w:val="006C1D0A"/>
    <w:rsid w:val="006C1D47"/>
    <w:rsid w:val="006C1D80"/>
    <w:rsid w:val="006C1D99"/>
    <w:rsid w:val="006C2020"/>
    <w:rsid w:val="006C2024"/>
    <w:rsid w:val="006C2047"/>
    <w:rsid w:val="006C2098"/>
    <w:rsid w:val="006C2141"/>
    <w:rsid w:val="006C214F"/>
    <w:rsid w:val="006C225D"/>
    <w:rsid w:val="006C2266"/>
    <w:rsid w:val="006C233B"/>
    <w:rsid w:val="006C2387"/>
    <w:rsid w:val="006C23F5"/>
    <w:rsid w:val="006C24DE"/>
    <w:rsid w:val="006C29C4"/>
    <w:rsid w:val="006C2AEC"/>
    <w:rsid w:val="006C2B80"/>
    <w:rsid w:val="006C2C18"/>
    <w:rsid w:val="006C2C9B"/>
    <w:rsid w:val="006C2DCE"/>
    <w:rsid w:val="006C2E4B"/>
    <w:rsid w:val="006C2FB1"/>
    <w:rsid w:val="006C30A0"/>
    <w:rsid w:val="006C335C"/>
    <w:rsid w:val="006C3364"/>
    <w:rsid w:val="006C3373"/>
    <w:rsid w:val="006C3452"/>
    <w:rsid w:val="006C3475"/>
    <w:rsid w:val="006C34A2"/>
    <w:rsid w:val="006C3538"/>
    <w:rsid w:val="006C363D"/>
    <w:rsid w:val="006C36AD"/>
    <w:rsid w:val="006C3727"/>
    <w:rsid w:val="006C37AD"/>
    <w:rsid w:val="006C37D7"/>
    <w:rsid w:val="006C3805"/>
    <w:rsid w:val="006C389A"/>
    <w:rsid w:val="006C38C7"/>
    <w:rsid w:val="006C39A8"/>
    <w:rsid w:val="006C39F7"/>
    <w:rsid w:val="006C3A02"/>
    <w:rsid w:val="006C3A61"/>
    <w:rsid w:val="006C3AC6"/>
    <w:rsid w:val="006C3B9E"/>
    <w:rsid w:val="006C3C1C"/>
    <w:rsid w:val="006C3C53"/>
    <w:rsid w:val="006C3CD6"/>
    <w:rsid w:val="006C3D21"/>
    <w:rsid w:val="006C3D30"/>
    <w:rsid w:val="006C3D72"/>
    <w:rsid w:val="006C3DF8"/>
    <w:rsid w:val="006C3EA6"/>
    <w:rsid w:val="006C4026"/>
    <w:rsid w:val="006C4053"/>
    <w:rsid w:val="006C411C"/>
    <w:rsid w:val="006C4131"/>
    <w:rsid w:val="006C4148"/>
    <w:rsid w:val="006C4293"/>
    <w:rsid w:val="006C431B"/>
    <w:rsid w:val="006C44EE"/>
    <w:rsid w:val="006C460B"/>
    <w:rsid w:val="006C461A"/>
    <w:rsid w:val="006C4663"/>
    <w:rsid w:val="006C46B2"/>
    <w:rsid w:val="006C4770"/>
    <w:rsid w:val="006C47B0"/>
    <w:rsid w:val="006C47D2"/>
    <w:rsid w:val="006C480B"/>
    <w:rsid w:val="006C48A9"/>
    <w:rsid w:val="006C48B3"/>
    <w:rsid w:val="006C48BE"/>
    <w:rsid w:val="006C4934"/>
    <w:rsid w:val="006C4A03"/>
    <w:rsid w:val="006C4AE3"/>
    <w:rsid w:val="006C4C56"/>
    <w:rsid w:val="006C4C84"/>
    <w:rsid w:val="006C4C99"/>
    <w:rsid w:val="006C4DF3"/>
    <w:rsid w:val="006C4ED0"/>
    <w:rsid w:val="006C4F4C"/>
    <w:rsid w:val="006C4F7A"/>
    <w:rsid w:val="006C4FBC"/>
    <w:rsid w:val="006C52B1"/>
    <w:rsid w:val="006C52C0"/>
    <w:rsid w:val="006C52E6"/>
    <w:rsid w:val="006C5385"/>
    <w:rsid w:val="006C53D5"/>
    <w:rsid w:val="006C54C1"/>
    <w:rsid w:val="006C54E6"/>
    <w:rsid w:val="006C54F9"/>
    <w:rsid w:val="006C561C"/>
    <w:rsid w:val="006C5776"/>
    <w:rsid w:val="006C5787"/>
    <w:rsid w:val="006C57B6"/>
    <w:rsid w:val="006C5988"/>
    <w:rsid w:val="006C59A4"/>
    <w:rsid w:val="006C5B7F"/>
    <w:rsid w:val="006C5BDF"/>
    <w:rsid w:val="006C5CB0"/>
    <w:rsid w:val="006C5F9D"/>
    <w:rsid w:val="006C626D"/>
    <w:rsid w:val="006C6323"/>
    <w:rsid w:val="006C6491"/>
    <w:rsid w:val="006C653E"/>
    <w:rsid w:val="006C668F"/>
    <w:rsid w:val="006C66F1"/>
    <w:rsid w:val="006C6823"/>
    <w:rsid w:val="006C6858"/>
    <w:rsid w:val="006C690F"/>
    <w:rsid w:val="006C6B0F"/>
    <w:rsid w:val="006C6D4D"/>
    <w:rsid w:val="006C6F99"/>
    <w:rsid w:val="006C7036"/>
    <w:rsid w:val="006C703B"/>
    <w:rsid w:val="006C7042"/>
    <w:rsid w:val="006C7046"/>
    <w:rsid w:val="006C7162"/>
    <w:rsid w:val="006C71E6"/>
    <w:rsid w:val="006C72C8"/>
    <w:rsid w:val="006C74AC"/>
    <w:rsid w:val="006C74F7"/>
    <w:rsid w:val="006C7513"/>
    <w:rsid w:val="006C758A"/>
    <w:rsid w:val="006C75BD"/>
    <w:rsid w:val="006C7654"/>
    <w:rsid w:val="006C76A4"/>
    <w:rsid w:val="006C76D8"/>
    <w:rsid w:val="006C7790"/>
    <w:rsid w:val="006C77D9"/>
    <w:rsid w:val="006C7886"/>
    <w:rsid w:val="006C78A5"/>
    <w:rsid w:val="006C7A8C"/>
    <w:rsid w:val="006C7B54"/>
    <w:rsid w:val="006C7C75"/>
    <w:rsid w:val="006C7D13"/>
    <w:rsid w:val="006C7D15"/>
    <w:rsid w:val="006C7DBA"/>
    <w:rsid w:val="006D0091"/>
    <w:rsid w:val="006D01DD"/>
    <w:rsid w:val="006D02DE"/>
    <w:rsid w:val="006D0428"/>
    <w:rsid w:val="006D0494"/>
    <w:rsid w:val="006D04C7"/>
    <w:rsid w:val="006D0567"/>
    <w:rsid w:val="006D0768"/>
    <w:rsid w:val="006D079D"/>
    <w:rsid w:val="006D0851"/>
    <w:rsid w:val="006D08BE"/>
    <w:rsid w:val="006D0914"/>
    <w:rsid w:val="006D0946"/>
    <w:rsid w:val="006D096C"/>
    <w:rsid w:val="006D0A88"/>
    <w:rsid w:val="006D0B3C"/>
    <w:rsid w:val="006D0C43"/>
    <w:rsid w:val="006D0C59"/>
    <w:rsid w:val="006D0CD7"/>
    <w:rsid w:val="006D0CDE"/>
    <w:rsid w:val="006D1024"/>
    <w:rsid w:val="006D1056"/>
    <w:rsid w:val="006D10EB"/>
    <w:rsid w:val="006D12DF"/>
    <w:rsid w:val="006D1307"/>
    <w:rsid w:val="006D130B"/>
    <w:rsid w:val="006D13B0"/>
    <w:rsid w:val="006D13BC"/>
    <w:rsid w:val="006D1482"/>
    <w:rsid w:val="006D1616"/>
    <w:rsid w:val="006D1721"/>
    <w:rsid w:val="006D177F"/>
    <w:rsid w:val="006D17E3"/>
    <w:rsid w:val="006D1831"/>
    <w:rsid w:val="006D18A1"/>
    <w:rsid w:val="006D18C3"/>
    <w:rsid w:val="006D18F5"/>
    <w:rsid w:val="006D19D2"/>
    <w:rsid w:val="006D1C8C"/>
    <w:rsid w:val="006D1CCB"/>
    <w:rsid w:val="006D1D11"/>
    <w:rsid w:val="006D1DC8"/>
    <w:rsid w:val="006D202D"/>
    <w:rsid w:val="006D2184"/>
    <w:rsid w:val="006D21A0"/>
    <w:rsid w:val="006D21C6"/>
    <w:rsid w:val="006D2263"/>
    <w:rsid w:val="006D226C"/>
    <w:rsid w:val="006D2299"/>
    <w:rsid w:val="006D2347"/>
    <w:rsid w:val="006D24D1"/>
    <w:rsid w:val="006D266A"/>
    <w:rsid w:val="006D267D"/>
    <w:rsid w:val="006D26A6"/>
    <w:rsid w:val="006D2720"/>
    <w:rsid w:val="006D2783"/>
    <w:rsid w:val="006D27A1"/>
    <w:rsid w:val="006D2847"/>
    <w:rsid w:val="006D2994"/>
    <w:rsid w:val="006D299F"/>
    <w:rsid w:val="006D2A6A"/>
    <w:rsid w:val="006D2A9B"/>
    <w:rsid w:val="006D2AD0"/>
    <w:rsid w:val="006D2B1B"/>
    <w:rsid w:val="006D2CA7"/>
    <w:rsid w:val="006D2CF7"/>
    <w:rsid w:val="006D2D6A"/>
    <w:rsid w:val="006D2DB7"/>
    <w:rsid w:val="006D2DC6"/>
    <w:rsid w:val="006D2F15"/>
    <w:rsid w:val="006D3135"/>
    <w:rsid w:val="006D325D"/>
    <w:rsid w:val="006D3292"/>
    <w:rsid w:val="006D33B4"/>
    <w:rsid w:val="006D345D"/>
    <w:rsid w:val="006D37F5"/>
    <w:rsid w:val="006D384C"/>
    <w:rsid w:val="006D3880"/>
    <w:rsid w:val="006D39C3"/>
    <w:rsid w:val="006D39C5"/>
    <w:rsid w:val="006D3A6D"/>
    <w:rsid w:val="006D3AA6"/>
    <w:rsid w:val="006D3D11"/>
    <w:rsid w:val="006D3D19"/>
    <w:rsid w:val="006D3D29"/>
    <w:rsid w:val="006D3D52"/>
    <w:rsid w:val="006D3E30"/>
    <w:rsid w:val="006D3E52"/>
    <w:rsid w:val="006D3F1D"/>
    <w:rsid w:val="006D3F87"/>
    <w:rsid w:val="006D406A"/>
    <w:rsid w:val="006D412A"/>
    <w:rsid w:val="006D427E"/>
    <w:rsid w:val="006D43A7"/>
    <w:rsid w:val="006D4405"/>
    <w:rsid w:val="006D4410"/>
    <w:rsid w:val="006D44A0"/>
    <w:rsid w:val="006D4699"/>
    <w:rsid w:val="006D477C"/>
    <w:rsid w:val="006D48DD"/>
    <w:rsid w:val="006D4918"/>
    <w:rsid w:val="006D4A23"/>
    <w:rsid w:val="006D4A9C"/>
    <w:rsid w:val="006D4C5D"/>
    <w:rsid w:val="006D4D53"/>
    <w:rsid w:val="006D4DA1"/>
    <w:rsid w:val="006D4E34"/>
    <w:rsid w:val="006D4E90"/>
    <w:rsid w:val="006D4EAF"/>
    <w:rsid w:val="006D4EB9"/>
    <w:rsid w:val="006D4EC1"/>
    <w:rsid w:val="006D503A"/>
    <w:rsid w:val="006D50BB"/>
    <w:rsid w:val="006D511F"/>
    <w:rsid w:val="006D51B2"/>
    <w:rsid w:val="006D51D2"/>
    <w:rsid w:val="006D522E"/>
    <w:rsid w:val="006D5578"/>
    <w:rsid w:val="006D558F"/>
    <w:rsid w:val="006D5633"/>
    <w:rsid w:val="006D568D"/>
    <w:rsid w:val="006D56BE"/>
    <w:rsid w:val="006D5725"/>
    <w:rsid w:val="006D573A"/>
    <w:rsid w:val="006D581B"/>
    <w:rsid w:val="006D5948"/>
    <w:rsid w:val="006D5A4F"/>
    <w:rsid w:val="006D5A86"/>
    <w:rsid w:val="006D5AAF"/>
    <w:rsid w:val="006D5CA1"/>
    <w:rsid w:val="006D5E64"/>
    <w:rsid w:val="006D5E6C"/>
    <w:rsid w:val="006D5EEC"/>
    <w:rsid w:val="006D5FA4"/>
    <w:rsid w:val="006D607F"/>
    <w:rsid w:val="006D60FD"/>
    <w:rsid w:val="006D6191"/>
    <w:rsid w:val="006D6231"/>
    <w:rsid w:val="006D6234"/>
    <w:rsid w:val="006D6246"/>
    <w:rsid w:val="006D62CB"/>
    <w:rsid w:val="006D6321"/>
    <w:rsid w:val="006D6357"/>
    <w:rsid w:val="006D64B1"/>
    <w:rsid w:val="006D6615"/>
    <w:rsid w:val="006D66BD"/>
    <w:rsid w:val="006D6836"/>
    <w:rsid w:val="006D6868"/>
    <w:rsid w:val="006D68A8"/>
    <w:rsid w:val="006D6BA9"/>
    <w:rsid w:val="006D6BAD"/>
    <w:rsid w:val="006D6BF0"/>
    <w:rsid w:val="006D6BFA"/>
    <w:rsid w:val="006D6D09"/>
    <w:rsid w:val="006D6D13"/>
    <w:rsid w:val="006D6E4D"/>
    <w:rsid w:val="006D6F31"/>
    <w:rsid w:val="006D6F58"/>
    <w:rsid w:val="006D7096"/>
    <w:rsid w:val="006D7160"/>
    <w:rsid w:val="006D71F2"/>
    <w:rsid w:val="006D731B"/>
    <w:rsid w:val="006D7363"/>
    <w:rsid w:val="006D7373"/>
    <w:rsid w:val="006D7550"/>
    <w:rsid w:val="006D758F"/>
    <w:rsid w:val="006D7682"/>
    <w:rsid w:val="006D769A"/>
    <w:rsid w:val="006D76E8"/>
    <w:rsid w:val="006D772E"/>
    <w:rsid w:val="006D7734"/>
    <w:rsid w:val="006D78FE"/>
    <w:rsid w:val="006D792D"/>
    <w:rsid w:val="006D795D"/>
    <w:rsid w:val="006D7B84"/>
    <w:rsid w:val="006D7C01"/>
    <w:rsid w:val="006D7C15"/>
    <w:rsid w:val="006D7D45"/>
    <w:rsid w:val="006D7D53"/>
    <w:rsid w:val="006D7DD4"/>
    <w:rsid w:val="006E0023"/>
    <w:rsid w:val="006E00A9"/>
    <w:rsid w:val="006E00DD"/>
    <w:rsid w:val="006E021F"/>
    <w:rsid w:val="006E03A0"/>
    <w:rsid w:val="006E0590"/>
    <w:rsid w:val="006E0843"/>
    <w:rsid w:val="006E085D"/>
    <w:rsid w:val="006E086D"/>
    <w:rsid w:val="006E0953"/>
    <w:rsid w:val="006E09DD"/>
    <w:rsid w:val="006E0A50"/>
    <w:rsid w:val="006E0ABA"/>
    <w:rsid w:val="006E0B5F"/>
    <w:rsid w:val="006E0BA5"/>
    <w:rsid w:val="006E0D81"/>
    <w:rsid w:val="006E0DA2"/>
    <w:rsid w:val="006E0DF8"/>
    <w:rsid w:val="006E0E99"/>
    <w:rsid w:val="006E0ECA"/>
    <w:rsid w:val="006E0ECF"/>
    <w:rsid w:val="006E0F9E"/>
    <w:rsid w:val="006E1035"/>
    <w:rsid w:val="006E119D"/>
    <w:rsid w:val="006E11AD"/>
    <w:rsid w:val="006E11DC"/>
    <w:rsid w:val="006E1296"/>
    <w:rsid w:val="006E12CB"/>
    <w:rsid w:val="006E1391"/>
    <w:rsid w:val="006E139D"/>
    <w:rsid w:val="006E13D8"/>
    <w:rsid w:val="006E13F6"/>
    <w:rsid w:val="006E1427"/>
    <w:rsid w:val="006E1430"/>
    <w:rsid w:val="006E1462"/>
    <w:rsid w:val="006E16E4"/>
    <w:rsid w:val="006E17B4"/>
    <w:rsid w:val="006E17E5"/>
    <w:rsid w:val="006E196D"/>
    <w:rsid w:val="006E19C2"/>
    <w:rsid w:val="006E1AF3"/>
    <w:rsid w:val="006E1B01"/>
    <w:rsid w:val="006E1C32"/>
    <w:rsid w:val="006E1C64"/>
    <w:rsid w:val="006E1DC1"/>
    <w:rsid w:val="006E1DF7"/>
    <w:rsid w:val="006E1DFA"/>
    <w:rsid w:val="006E1EC4"/>
    <w:rsid w:val="006E1FE8"/>
    <w:rsid w:val="006E2151"/>
    <w:rsid w:val="006E216C"/>
    <w:rsid w:val="006E21EB"/>
    <w:rsid w:val="006E2209"/>
    <w:rsid w:val="006E2223"/>
    <w:rsid w:val="006E2389"/>
    <w:rsid w:val="006E241D"/>
    <w:rsid w:val="006E244D"/>
    <w:rsid w:val="006E249D"/>
    <w:rsid w:val="006E24F5"/>
    <w:rsid w:val="006E251B"/>
    <w:rsid w:val="006E2866"/>
    <w:rsid w:val="006E29CA"/>
    <w:rsid w:val="006E2B20"/>
    <w:rsid w:val="006E2B8D"/>
    <w:rsid w:val="006E2DA7"/>
    <w:rsid w:val="006E2F84"/>
    <w:rsid w:val="006E2F8C"/>
    <w:rsid w:val="006E2FF5"/>
    <w:rsid w:val="006E2FFB"/>
    <w:rsid w:val="006E3031"/>
    <w:rsid w:val="006E31CE"/>
    <w:rsid w:val="006E3288"/>
    <w:rsid w:val="006E3289"/>
    <w:rsid w:val="006E32D4"/>
    <w:rsid w:val="006E3405"/>
    <w:rsid w:val="006E3636"/>
    <w:rsid w:val="006E38CE"/>
    <w:rsid w:val="006E3942"/>
    <w:rsid w:val="006E3951"/>
    <w:rsid w:val="006E398E"/>
    <w:rsid w:val="006E39D2"/>
    <w:rsid w:val="006E39EC"/>
    <w:rsid w:val="006E3AB7"/>
    <w:rsid w:val="006E3B02"/>
    <w:rsid w:val="006E3B7F"/>
    <w:rsid w:val="006E3BEF"/>
    <w:rsid w:val="006E3CBB"/>
    <w:rsid w:val="006E3E5B"/>
    <w:rsid w:val="006E3F9B"/>
    <w:rsid w:val="006E40AB"/>
    <w:rsid w:val="006E40CE"/>
    <w:rsid w:val="006E40EF"/>
    <w:rsid w:val="006E41A3"/>
    <w:rsid w:val="006E41F1"/>
    <w:rsid w:val="006E43B5"/>
    <w:rsid w:val="006E4430"/>
    <w:rsid w:val="006E4455"/>
    <w:rsid w:val="006E4496"/>
    <w:rsid w:val="006E44B5"/>
    <w:rsid w:val="006E4526"/>
    <w:rsid w:val="006E4547"/>
    <w:rsid w:val="006E460C"/>
    <w:rsid w:val="006E46FC"/>
    <w:rsid w:val="006E47C7"/>
    <w:rsid w:val="006E49F0"/>
    <w:rsid w:val="006E4A5D"/>
    <w:rsid w:val="006E4CCB"/>
    <w:rsid w:val="006E4D12"/>
    <w:rsid w:val="006E4DE6"/>
    <w:rsid w:val="006E4E48"/>
    <w:rsid w:val="006E4EC5"/>
    <w:rsid w:val="006E4F86"/>
    <w:rsid w:val="006E5044"/>
    <w:rsid w:val="006E50B1"/>
    <w:rsid w:val="006E5402"/>
    <w:rsid w:val="006E5417"/>
    <w:rsid w:val="006E543E"/>
    <w:rsid w:val="006E5BA5"/>
    <w:rsid w:val="006E5CB7"/>
    <w:rsid w:val="006E5CF0"/>
    <w:rsid w:val="006E5D7C"/>
    <w:rsid w:val="006E5E17"/>
    <w:rsid w:val="006E5EEC"/>
    <w:rsid w:val="006E5F52"/>
    <w:rsid w:val="006E5F87"/>
    <w:rsid w:val="006E6015"/>
    <w:rsid w:val="006E6067"/>
    <w:rsid w:val="006E617E"/>
    <w:rsid w:val="006E6223"/>
    <w:rsid w:val="006E6330"/>
    <w:rsid w:val="006E638C"/>
    <w:rsid w:val="006E63B6"/>
    <w:rsid w:val="006E6441"/>
    <w:rsid w:val="006E650D"/>
    <w:rsid w:val="006E653D"/>
    <w:rsid w:val="006E65A3"/>
    <w:rsid w:val="006E678E"/>
    <w:rsid w:val="006E67BE"/>
    <w:rsid w:val="006E682F"/>
    <w:rsid w:val="006E68C8"/>
    <w:rsid w:val="006E6941"/>
    <w:rsid w:val="006E6AD8"/>
    <w:rsid w:val="006E6AFF"/>
    <w:rsid w:val="006E6BD5"/>
    <w:rsid w:val="006E6CF9"/>
    <w:rsid w:val="006E6D82"/>
    <w:rsid w:val="006E6E51"/>
    <w:rsid w:val="006E6FF3"/>
    <w:rsid w:val="006E700E"/>
    <w:rsid w:val="006E7128"/>
    <w:rsid w:val="006E712F"/>
    <w:rsid w:val="006E71BB"/>
    <w:rsid w:val="006E7337"/>
    <w:rsid w:val="006E7340"/>
    <w:rsid w:val="006E74A9"/>
    <w:rsid w:val="006E75AF"/>
    <w:rsid w:val="006E75D8"/>
    <w:rsid w:val="006E7676"/>
    <w:rsid w:val="006E7742"/>
    <w:rsid w:val="006E7780"/>
    <w:rsid w:val="006E79C6"/>
    <w:rsid w:val="006E7A18"/>
    <w:rsid w:val="006E7A1F"/>
    <w:rsid w:val="006E7A85"/>
    <w:rsid w:val="006E7AC7"/>
    <w:rsid w:val="006E7B08"/>
    <w:rsid w:val="006E7BD2"/>
    <w:rsid w:val="006E7C47"/>
    <w:rsid w:val="006E7C6C"/>
    <w:rsid w:val="006E7C98"/>
    <w:rsid w:val="006E7CC0"/>
    <w:rsid w:val="006E7D57"/>
    <w:rsid w:val="006E7F3D"/>
    <w:rsid w:val="006E7FD6"/>
    <w:rsid w:val="006F0173"/>
    <w:rsid w:val="006F017B"/>
    <w:rsid w:val="006F01BE"/>
    <w:rsid w:val="006F025C"/>
    <w:rsid w:val="006F02EA"/>
    <w:rsid w:val="006F04CE"/>
    <w:rsid w:val="006F06A0"/>
    <w:rsid w:val="006F0719"/>
    <w:rsid w:val="006F07E1"/>
    <w:rsid w:val="006F0A9B"/>
    <w:rsid w:val="006F0B96"/>
    <w:rsid w:val="006F0C05"/>
    <w:rsid w:val="006F0C0B"/>
    <w:rsid w:val="006F0E4F"/>
    <w:rsid w:val="006F0EBD"/>
    <w:rsid w:val="006F0F5F"/>
    <w:rsid w:val="006F0F97"/>
    <w:rsid w:val="006F0FB8"/>
    <w:rsid w:val="006F0FF5"/>
    <w:rsid w:val="006F1118"/>
    <w:rsid w:val="006F115A"/>
    <w:rsid w:val="006F1201"/>
    <w:rsid w:val="006F1459"/>
    <w:rsid w:val="006F1574"/>
    <w:rsid w:val="006F1611"/>
    <w:rsid w:val="006F1698"/>
    <w:rsid w:val="006F1712"/>
    <w:rsid w:val="006F1767"/>
    <w:rsid w:val="006F1769"/>
    <w:rsid w:val="006F17AF"/>
    <w:rsid w:val="006F18BE"/>
    <w:rsid w:val="006F19AA"/>
    <w:rsid w:val="006F19BD"/>
    <w:rsid w:val="006F19E0"/>
    <w:rsid w:val="006F1B2E"/>
    <w:rsid w:val="006F1CE8"/>
    <w:rsid w:val="006F1D0E"/>
    <w:rsid w:val="006F1F30"/>
    <w:rsid w:val="006F1FA6"/>
    <w:rsid w:val="006F1FD6"/>
    <w:rsid w:val="006F2017"/>
    <w:rsid w:val="006F217B"/>
    <w:rsid w:val="006F221E"/>
    <w:rsid w:val="006F2435"/>
    <w:rsid w:val="006F248B"/>
    <w:rsid w:val="006F25B4"/>
    <w:rsid w:val="006F2610"/>
    <w:rsid w:val="006F2620"/>
    <w:rsid w:val="006F27FA"/>
    <w:rsid w:val="006F2B60"/>
    <w:rsid w:val="006F2BFD"/>
    <w:rsid w:val="006F2C3E"/>
    <w:rsid w:val="006F2D33"/>
    <w:rsid w:val="006F2DB6"/>
    <w:rsid w:val="006F317D"/>
    <w:rsid w:val="006F33E3"/>
    <w:rsid w:val="006F3502"/>
    <w:rsid w:val="006F36B6"/>
    <w:rsid w:val="006F36D8"/>
    <w:rsid w:val="006F36EF"/>
    <w:rsid w:val="006F37FB"/>
    <w:rsid w:val="006F389E"/>
    <w:rsid w:val="006F38CD"/>
    <w:rsid w:val="006F39F9"/>
    <w:rsid w:val="006F3A88"/>
    <w:rsid w:val="006F3C5A"/>
    <w:rsid w:val="006F3D1E"/>
    <w:rsid w:val="006F3E15"/>
    <w:rsid w:val="006F3EC3"/>
    <w:rsid w:val="006F3F3D"/>
    <w:rsid w:val="006F407C"/>
    <w:rsid w:val="006F409A"/>
    <w:rsid w:val="006F4174"/>
    <w:rsid w:val="006F41B1"/>
    <w:rsid w:val="006F44EE"/>
    <w:rsid w:val="006F45A0"/>
    <w:rsid w:val="006F45A4"/>
    <w:rsid w:val="006F462B"/>
    <w:rsid w:val="006F464C"/>
    <w:rsid w:val="006F4657"/>
    <w:rsid w:val="006F4664"/>
    <w:rsid w:val="006F46E3"/>
    <w:rsid w:val="006F4774"/>
    <w:rsid w:val="006F47AB"/>
    <w:rsid w:val="006F4936"/>
    <w:rsid w:val="006F49BB"/>
    <w:rsid w:val="006F4A2B"/>
    <w:rsid w:val="006F4B74"/>
    <w:rsid w:val="006F4D91"/>
    <w:rsid w:val="006F4EBA"/>
    <w:rsid w:val="006F4F01"/>
    <w:rsid w:val="006F4F4A"/>
    <w:rsid w:val="006F4F8C"/>
    <w:rsid w:val="006F4FCD"/>
    <w:rsid w:val="006F50A4"/>
    <w:rsid w:val="006F50D7"/>
    <w:rsid w:val="006F50E7"/>
    <w:rsid w:val="006F50FB"/>
    <w:rsid w:val="006F5167"/>
    <w:rsid w:val="006F52A1"/>
    <w:rsid w:val="006F52BD"/>
    <w:rsid w:val="006F5406"/>
    <w:rsid w:val="006F5493"/>
    <w:rsid w:val="006F5517"/>
    <w:rsid w:val="006F55E8"/>
    <w:rsid w:val="006F5612"/>
    <w:rsid w:val="006F5814"/>
    <w:rsid w:val="006F58EE"/>
    <w:rsid w:val="006F595C"/>
    <w:rsid w:val="006F5A2F"/>
    <w:rsid w:val="006F5AC6"/>
    <w:rsid w:val="006F5D38"/>
    <w:rsid w:val="006F5DED"/>
    <w:rsid w:val="006F5EDA"/>
    <w:rsid w:val="006F5FB9"/>
    <w:rsid w:val="006F605B"/>
    <w:rsid w:val="006F6171"/>
    <w:rsid w:val="006F6211"/>
    <w:rsid w:val="006F6279"/>
    <w:rsid w:val="006F6349"/>
    <w:rsid w:val="006F646C"/>
    <w:rsid w:val="006F64FE"/>
    <w:rsid w:val="006F6596"/>
    <w:rsid w:val="006F65A3"/>
    <w:rsid w:val="006F65BE"/>
    <w:rsid w:val="006F65F2"/>
    <w:rsid w:val="006F6659"/>
    <w:rsid w:val="006F6681"/>
    <w:rsid w:val="006F6732"/>
    <w:rsid w:val="006F6852"/>
    <w:rsid w:val="006F68B3"/>
    <w:rsid w:val="006F6A27"/>
    <w:rsid w:val="006F6B08"/>
    <w:rsid w:val="006F6B1D"/>
    <w:rsid w:val="006F6B73"/>
    <w:rsid w:val="006F6C40"/>
    <w:rsid w:val="006F6CF4"/>
    <w:rsid w:val="006F6D7D"/>
    <w:rsid w:val="006F6E47"/>
    <w:rsid w:val="006F6E50"/>
    <w:rsid w:val="006F6E9A"/>
    <w:rsid w:val="006F6EAF"/>
    <w:rsid w:val="006F6ECD"/>
    <w:rsid w:val="006F6F44"/>
    <w:rsid w:val="006F706D"/>
    <w:rsid w:val="006F70DF"/>
    <w:rsid w:val="006F7100"/>
    <w:rsid w:val="006F715A"/>
    <w:rsid w:val="006F71D7"/>
    <w:rsid w:val="006F7206"/>
    <w:rsid w:val="006F722E"/>
    <w:rsid w:val="006F73E6"/>
    <w:rsid w:val="006F741B"/>
    <w:rsid w:val="006F7545"/>
    <w:rsid w:val="006F75B0"/>
    <w:rsid w:val="006F7601"/>
    <w:rsid w:val="006F7654"/>
    <w:rsid w:val="006F7721"/>
    <w:rsid w:val="006F775C"/>
    <w:rsid w:val="006F78EE"/>
    <w:rsid w:val="006F7916"/>
    <w:rsid w:val="006F7924"/>
    <w:rsid w:val="006F7994"/>
    <w:rsid w:val="006F7A12"/>
    <w:rsid w:val="006F7ACD"/>
    <w:rsid w:val="006F7AD4"/>
    <w:rsid w:val="006F7B12"/>
    <w:rsid w:val="006F7B90"/>
    <w:rsid w:val="006F7B99"/>
    <w:rsid w:val="006F7BEA"/>
    <w:rsid w:val="006F7C4D"/>
    <w:rsid w:val="006F7CCC"/>
    <w:rsid w:val="006F7CEB"/>
    <w:rsid w:val="006F7D4A"/>
    <w:rsid w:val="006F7DD8"/>
    <w:rsid w:val="006F7E1C"/>
    <w:rsid w:val="006F7E29"/>
    <w:rsid w:val="007001CF"/>
    <w:rsid w:val="00700246"/>
    <w:rsid w:val="007002FC"/>
    <w:rsid w:val="007003C6"/>
    <w:rsid w:val="007003E0"/>
    <w:rsid w:val="00700403"/>
    <w:rsid w:val="007005DC"/>
    <w:rsid w:val="007007CC"/>
    <w:rsid w:val="007009BD"/>
    <w:rsid w:val="00700A69"/>
    <w:rsid w:val="00700BF9"/>
    <w:rsid w:val="00700E74"/>
    <w:rsid w:val="00700F9F"/>
    <w:rsid w:val="00701074"/>
    <w:rsid w:val="007010A7"/>
    <w:rsid w:val="007010B8"/>
    <w:rsid w:val="007010CB"/>
    <w:rsid w:val="007011A9"/>
    <w:rsid w:val="007011D2"/>
    <w:rsid w:val="0070132C"/>
    <w:rsid w:val="00701430"/>
    <w:rsid w:val="00701434"/>
    <w:rsid w:val="0070154B"/>
    <w:rsid w:val="0070182D"/>
    <w:rsid w:val="0070199F"/>
    <w:rsid w:val="00701A29"/>
    <w:rsid w:val="00701AC1"/>
    <w:rsid w:val="00701B29"/>
    <w:rsid w:val="00701BFA"/>
    <w:rsid w:val="00701DFE"/>
    <w:rsid w:val="00701E23"/>
    <w:rsid w:val="00701EDD"/>
    <w:rsid w:val="00701F56"/>
    <w:rsid w:val="00701F8E"/>
    <w:rsid w:val="00701FF9"/>
    <w:rsid w:val="007022A3"/>
    <w:rsid w:val="007022BA"/>
    <w:rsid w:val="007022C8"/>
    <w:rsid w:val="007023C0"/>
    <w:rsid w:val="0070245A"/>
    <w:rsid w:val="007024F4"/>
    <w:rsid w:val="0070258D"/>
    <w:rsid w:val="0070272E"/>
    <w:rsid w:val="007028D5"/>
    <w:rsid w:val="00702932"/>
    <w:rsid w:val="0070299E"/>
    <w:rsid w:val="00702AA1"/>
    <w:rsid w:val="00702AF3"/>
    <w:rsid w:val="00702C14"/>
    <w:rsid w:val="00702C28"/>
    <w:rsid w:val="00702C56"/>
    <w:rsid w:val="00702C9F"/>
    <w:rsid w:val="00702D3F"/>
    <w:rsid w:val="00702DE8"/>
    <w:rsid w:val="00702F17"/>
    <w:rsid w:val="00703063"/>
    <w:rsid w:val="00703117"/>
    <w:rsid w:val="00703268"/>
    <w:rsid w:val="00703274"/>
    <w:rsid w:val="00703399"/>
    <w:rsid w:val="0070347A"/>
    <w:rsid w:val="0070348E"/>
    <w:rsid w:val="00703496"/>
    <w:rsid w:val="007034C2"/>
    <w:rsid w:val="007034DB"/>
    <w:rsid w:val="00703740"/>
    <w:rsid w:val="0070388B"/>
    <w:rsid w:val="00703936"/>
    <w:rsid w:val="0070399F"/>
    <w:rsid w:val="00703A5B"/>
    <w:rsid w:val="00703A9C"/>
    <w:rsid w:val="00703B8D"/>
    <w:rsid w:val="00703BA9"/>
    <w:rsid w:val="00703CA6"/>
    <w:rsid w:val="00703E25"/>
    <w:rsid w:val="00703EC1"/>
    <w:rsid w:val="00703EF1"/>
    <w:rsid w:val="00703EF6"/>
    <w:rsid w:val="00703F44"/>
    <w:rsid w:val="0070408E"/>
    <w:rsid w:val="007040B1"/>
    <w:rsid w:val="007040F8"/>
    <w:rsid w:val="0070434E"/>
    <w:rsid w:val="007043AD"/>
    <w:rsid w:val="00704429"/>
    <w:rsid w:val="00704458"/>
    <w:rsid w:val="0070445F"/>
    <w:rsid w:val="007044BC"/>
    <w:rsid w:val="007046C2"/>
    <w:rsid w:val="00704736"/>
    <w:rsid w:val="00704826"/>
    <w:rsid w:val="00704867"/>
    <w:rsid w:val="007048BF"/>
    <w:rsid w:val="00704C52"/>
    <w:rsid w:val="00704CE4"/>
    <w:rsid w:val="00704E1A"/>
    <w:rsid w:val="00704F40"/>
    <w:rsid w:val="00704F57"/>
    <w:rsid w:val="00704FA2"/>
    <w:rsid w:val="00704FC3"/>
    <w:rsid w:val="007050F4"/>
    <w:rsid w:val="007052CE"/>
    <w:rsid w:val="00705677"/>
    <w:rsid w:val="007057D4"/>
    <w:rsid w:val="007057E2"/>
    <w:rsid w:val="00705904"/>
    <w:rsid w:val="007059DC"/>
    <w:rsid w:val="00705B2F"/>
    <w:rsid w:val="00705BCA"/>
    <w:rsid w:val="00705BEF"/>
    <w:rsid w:val="00705D88"/>
    <w:rsid w:val="00705E28"/>
    <w:rsid w:val="00705EE8"/>
    <w:rsid w:val="00705EF6"/>
    <w:rsid w:val="007061C8"/>
    <w:rsid w:val="00706298"/>
    <w:rsid w:val="00706329"/>
    <w:rsid w:val="00706472"/>
    <w:rsid w:val="00706523"/>
    <w:rsid w:val="00706562"/>
    <w:rsid w:val="00706692"/>
    <w:rsid w:val="00706755"/>
    <w:rsid w:val="00706756"/>
    <w:rsid w:val="007067DC"/>
    <w:rsid w:val="007067EB"/>
    <w:rsid w:val="007069C9"/>
    <w:rsid w:val="00706A0F"/>
    <w:rsid w:val="00706B47"/>
    <w:rsid w:val="00706CA4"/>
    <w:rsid w:val="00706D78"/>
    <w:rsid w:val="00706E06"/>
    <w:rsid w:val="00706EC6"/>
    <w:rsid w:val="00706EDC"/>
    <w:rsid w:val="00706EFB"/>
    <w:rsid w:val="0070701E"/>
    <w:rsid w:val="00707079"/>
    <w:rsid w:val="0070709D"/>
    <w:rsid w:val="00707177"/>
    <w:rsid w:val="007073E5"/>
    <w:rsid w:val="007073F9"/>
    <w:rsid w:val="00707443"/>
    <w:rsid w:val="0070744E"/>
    <w:rsid w:val="00707470"/>
    <w:rsid w:val="007074D4"/>
    <w:rsid w:val="00707622"/>
    <w:rsid w:val="00707657"/>
    <w:rsid w:val="00707705"/>
    <w:rsid w:val="007078C1"/>
    <w:rsid w:val="00707977"/>
    <w:rsid w:val="007079FC"/>
    <w:rsid w:val="00707B37"/>
    <w:rsid w:val="00707BF8"/>
    <w:rsid w:val="00707C7B"/>
    <w:rsid w:val="00707C9A"/>
    <w:rsid w:val="00707D90"/>
    <w:rsid w:val="00710040"/>
    <w:rsid w:val="0071012E"/>
    <w:rsid w:val="00710183"/>
    <w:rsid w:val="0071024C"/>
    <w:rsid w:val="007102CB"/>
    <w:rsid w:val="00710367"/>
    <w:rsid w:val="00710444"/>
    <w:rsid w:val="00710671"/>
    <w:rsid w:val="0071070F"/>
    <w:rsid w:val="007107AE"/>
    <w:rsid w:val="007107CB"/>
    <w:rsid w:val="0071080F"/>
    <w:rsid w:val="0071087B"/>
    <w:rsid w:val="00710A9F"/>
    <w:rsid w:val="00710AB3"/>
    <w:rsid w:val="00710AD4"/>
    <w:rsid w:val="00710D3E"/>
    <w:rsid w:val="00710F10"/>
    <w:rsid w:val="00710F85"/>
    <w:rsid w:val="0071100F"/>
    <w:rsid w:val="00711053"/>
    <w:rsid w:val="0071106D"/>
    <w:rsid w:val="00711099"/>
    <w:rsid w:val="007110C9"/>
    <w:rsid w:val="00711116"/>
    <w:rsid w:val="0071126C"/>
    <w:rsid w:val="007112DF"/>
    <w:rsid w:val="00711422"/>
    <w:rsid w:val="007114C2"/>
    <w:rsid w:val="0071155B"/>
    <w:rsid w:val="007116B1"/>
    <w:rsid w:val="00711777"/>
    <w:rsid w:val="00711912"/>
    <w:rsid w:val="00711956"/>
    <w:rsid w:val="007119FC"/>
    <w:rsid w:val="00711AE3"/>
    <w:rsid w:val="00711B31"/>
    <w:rsid w:val="00711B4E"/>
    <w:rsid w:val="00711B5C"/>
    <w:rsid w:val="00711B67"/>
    <w:rsid w:val="00711BB5"/>
    <w:rsid w:val="00711BEF"/>
    <w:rsid w:val="00711CEA"/>
    <w:rsid w:val="00711D5D"/>
    <w:rsid w:val="00711E40"/>
    <w:rsid w:val="00711E7D"/>
    <w:rsid w:val="00711F8A"/>
    <w:rsid w:val="00712085"/>
    <w:rsid w:val="0071214F"/>
    <w:rsid w:val="00712173"/>
    <w:rsid w:val="00712297"/>
    <w:rsid w:val="0071249E"/>
    <w:rsid w:val="00712505"/>
    <w:rsid w:val="0071253D"/>
    <w:rsid w:val="0071254D"/>
    <w:rsid w:val="0071261A"/>
    <w:rsid w:val="007126C1"/>
    <w:rsid w:val="007126DF"/>
    <w:rsid w:val="00712700"/>
    <w:rsid w:val="007127EE"/>
    <w:rsid w:val="007128C9"/>
    <w:rsid w:val="00712974"/>
    <w:rsid w:val="007129B4"/>
    <w:rsid w:val="007129C3"/>
    <w:rsid w:val="007129FD"/>
    <w:rsid w:val="00712A5C"/>
    <w:rsid w:val="00712B8A"/>
    <w:rsid w:val="00712C78"/>
    <w:rsid w:val="00712EF9"/>
    <w:rsid w:val="007130E3"/>
    <w:rsid w:val="007131D4"/>
    <w:rsid w:val="00713239"/>
    <w:rsid w:val="00713613"/>
    <w:rsid w:val="0071381D"/>
    <w:rsid w:val="0071390E"/>
    <w:rsid w:val="00713A1A"/>
    <w:rsid w:val="00713AE5"/>
    <w:rsid w:val="00713B88"/>
    <w:rsid w:val="00713CBA"/>
    <w:rsid w:val="00713CE1"/>
    <w:rsid w:val="00713D4A"/>
    <w:rsid w:val="00713F46"/>
    <w:rsid w:val="0071408D"/>
    <w:rsid w:val="007140D5"/>
    <w:rsid w:val="007141D0"/>
    <w:rsid w:val="0071436F"/>
    <w:rsid w:val="0071447B"/>
    <w:rsid w:val="00714489"/>
    <w:rsid w:val="00714494"/>
    <w:rsid w:val="0071453E"/>
    <w:rsid w:val="00714731"/>
    <w:rsid w:val="0071479F"/>
    <w:rsid w:val="00714834"/>
    <w:rsid w:val="00714858"/>
    <w:rsid w:val="007149A7"/>
    <w:rsid w:val="00714A34"/>
    <w:rsid w:val="00714AD9"/>
    <w:rsid w:val="00714B60"/>
    <w:rsid w:val="00714BC9"/>
    <w:rsid w:val="00714BEF"/>
    <w:rsid w:val="00714C09"/>
    <w:rsid w:val="00714C39"/>
    <w:rsid w:val="00714C7F"/>
    <w:rsid w:val="00714E97"/>
    <w:rsid w:val="00714F95"/>
    <w:rsid w:val="007153D0"/>
    <w:rsid w:val="007155AB"/>
    <w:rsid w:val="00715694"/>
    <w:rsid w:val="007157F9"/>
    <w:rsid w:val="00715834"/>
    <w:rsid w:val="0071587C"/>
    <w:rsid w:val="00715C7C"/>
    <w:rsid w:val="00715CA8"/>
    <w:rsid w:val="00715D6D"/>
    <w:rsid w:val="00715E33"/>
    <w:rsid w:val="00716005"/>
    <w:rsid w:val="00716176"/>
    <w:rsid w:val="00716346"/>
    <w:rsid w:val="0071634B"/>
    <w:rsid w:val="00716374"/>
    <w:rsid w:val="00716408"/>
    <w:rsid w:val="00716418"/>
    <w:rsid w:val="00716478"/>
    <w:rsid w:val="007164C9"/>
    <w:rsid w:val="007165D5"/>
    <w:rsid w:val="0071665D"/>
    <w:rsid w:val="00716696"/>
    <w:rsid w:val="00716762"/>
    <w:rsid w:val="00716835"/>
    <w:rsid w:val="0071688A"/>
    <w:rsid w:val="007169F6"/>
    <w:rsid w:val="00716A71"/>
    <w:rsid w:val="00716A8D"/>
    <w:rsid w:val="00716C3B"/>
    <w:rsid w:val="00716CD9"/>
    <w:rsid w:val="00716D48"/>
    <w:rsid w:val="00716D66"/>
    <w:rsid w:val="00716E19"/>
    <w:rsid w:val="00716E6B"/>
    <w:rsid w:val="00716F61"/>
    <w:rsid w:val="0071705A"/>
    <w:rsid w:val="007170B2"/>
    <w:rsid w:val="0071711A"/>
    <w:rsid w:val="0071720D"/>
    <w:rsid w:val="00717216"/>
    <w:rsid w:val="0071725E"/>
    <w:rsid w:val="00717272"/>
    <w:rsid w:val="00717333"/>
    <w:rsid w:val="007173C0"/>
    <w:rsid w:val="00717469"/>
    <w:rsid w:val="007174EF"/>
    <w:rsid w:val="007175D7"/>
    <w:rsid w:val="00717602"/>
    <w:rsid w:val="0071772A"/>
    <w:rsid w:val="007177D1"/>
    <w:rsid w:val="00717824"/>
    <w:rsid w:val="00717859"/>
    <w:rsid w:val="007178DE"/>
    <w:rsid w:val="00717A06"/>
    <w:rsid w:val="00717AA6"/>
    <w:rsid w:val="00717C5D"/>
    <w:rsid w:val="00717D0E"/>
    <w:rsid w:val="00717D35"/>
    <w:rsid w:val="00717DCE"/>
    <w:rsid w:val="00717E39"/>
    <w:rsid w:val="00717F00"/>
    <w:rsid w:val="00717FB0"/>
    <w:rsid w:val="0072008E"/>
    <w:rsid w:val="00720335"/>
    <w:rsid w:val="007203DE"/>
    <w:rsid w:val="007203EE"/>
    <w:rsid w:val="00720435"/>
    <w:rsid w:val="007204B8"/>
    <w:rsid w:val="00720609"/>
    <w:rsid w:val="00720683"/>
    <w:rsid w:val="0072077C"/>
    <w:rsid w:val="007207B4"/>
    <w:rsid w:val="007207DD"/>
    <w:rsid w:val="0072082E"/>
    <w:rsid w:val="00720855"/>
    <w:rsid w:val="00720931"/>
    <w:rsid w:val="00720AAF"/>
    <w:rsid w:val="00720E48"/>
    <w:rsid w:val="00720F46"/>
    <w:rsid w:val="00720FBD"/>
    <w:rsid w:val="00721008"/>
    <w:rsid w:val="00721026"/>
    <w:rsid w:val="007210BD"/>
    <w:rsid w:val="00721128"/>
    <w:rsid w:val="00721278"/>
    <w:rsid w:val="00721315"/>
    <w:rsid w:val="00721496"/>
    <w:rsid w:val="0072152C"/>
    <w:rsid w:val="007215E2"/>
    <w:rsid w:val="007216AF"/>
    <w:rsid w:val="007216D5"/>
    <w:rsid w:val="00721707"/>
    <w:rsid w:val="00721735"/>
    <w:rsid w:val="0072195E"/>
    <w:rsid w:val="00721B2D"/>
    <w:rsid w:val="00721B34"/>
    <w:rsid w:val="00721D7F"/>
    <w:rsid w:val="00721F1C"/>
    <w:rsid w:val="00721F74"/>
    <w:rsid w:val="00721FAF"/>
    <w:rsid w:val="00721FCE"/>
    <w:rsid w:val="00721FDC"/>
    <w:rsid w:val="007220FF"/>
    <w:rsid w:val="007222FD"/>
    <w:rsid w:val="0072231A"/>
    <w:rsid w:val="007224E4"/>
    <w:rsid w:val="0072254A"/>
    <w:rsid w:val="007225C1"/>
    <w:rsid w:val="0072266B"/>
    <w:rsid w:val="007226C6"/>
    <w:rsid w:val="00722755"/>
    <w:rsid w:val="00722796"/>
    <w:rsid w:val="00722841"/>
    <w:rsid w:val="0072287A"/>
    <w:rsid w:val="00722918"/>
    <w:rsid w:val="0072299D"/>
    <w:rsid w:val="007229E2"/>
    <w:rsid w:val="00722A45"/>
    <w:rsid w:val="00722A67"/>
    <w:rsid w:val="00722AC7"/>
    <w:rsid w:val="00722C2C"/>
    <w:rsid w:val="00722CA0"/>
    <w:rsid w:val="00722DDD"/>
    <w:rsid w:val="00722DF3"/>
    <w:rsid w:val="00722E80"/>
    <w:rsid w:val="00722EA7"/>
    <w:rsid w:val="00722F1B"/>
    <w:rsid w:val="00722F46"/>
    <w:rsid w:val="0072302B"/>
    <w:rsid w:val="0072303F"/>
    <w:rsid w:val="00723077"/>
    <w:rsid w:val="00723132"/>
    <w:rsid w:val="00723189"/>
    <w:rsid w:val="007231CF"/>
    <w:rsid w:val="0072326A"/>
    <w:rsid w:val="00723412"/>
    <w:rsid w:val="007234C7"/>
    <w:rsid w:val="00723550"/>
    <w:rsid w:val="007235D9"/>
    <w:rsid w:val="0072360B"/>
    <w:rsid w:val="00723663"/>
    <w:rsid w:val="007236A1"/>
    <w:rsid w:val="007236A9"/>
    <w:rsid w:val="00723700"/>
    <w:rsid w:val="0072379C"/>
    <w:rsid w:val="007237D5"/>
    <w:rsid w:val="0072380C"/>
    <w:rsid w:val="00723836"/>
    <w:rsid w:val="0072383E"/>
    <w:rsid w:val="00723885"/>
    <w:rsid w:val="0072388D"/>
    <w:rsid w:val="00723A49"/>
    <w:rsid w:val="00723A69"/>
    <w:rsid w:val="00723BE1"/>
    <w:rsid w:val="00723C55"/>
    <w:rsid w:val="00723C96"/>
    <w:rsid w:val="00723C9A"/>
    <w:rsid w:val="00723D0E"/>
    <w:rsid w:val="00723DF0"/>
    <w:rsid w:val="00723E60"/>
    <w:rsid w:val="00723EEB"/>
    <w:rsid w:val="00723F43"/>
    <w:rsid w:val="00723F97"/>
    <w:rsid w:val="00724091"/>
    <w:rsid w:val="007241D3"/>
    <w:rsid w:val="0072428D"/>
    <w:rsid w:val="00724572"/>
    <w:rsid w:val="007245E9"/>
    <w:rsid w:val="00724716"/>
    <w:rsid w:val="0072477A"/>
    <w:rsid w:val="0072490A"/>
    <w:rsid w:val="007249C6"/>
    <w:rsid w:val="00724AB4"/>
    <w:rsid w:val="00724B67"/>
    <w:rsid w:val="00724BFB"/>
    <w:rsid w:val="00724C31"/>
    <w:rsid w:val="00724C6E"/>
    <w:rsid w:val="00724CE5"/>
    <w:rsid w:val="00724D3F"/>
    <w:rsid w:val="00724E23"/>
    <w:rsid w:val="00724E2F"/>
    <w:rsid w:val="00724EBC"/>
    <w:rsid w:val="00724FAD"/>
    <w:rsid w:val="007250B5"/>
    <w:rsid w:val="00725151"/>
    <w:rsid w:val="00725206"/>
    <w:rsid w:val="007252AA"/>
    <w:rsid w:val="00725383"/>
    <w:rsid w:val="00725423"/>
    <w:rsid w:val="0072546E"/>
    <w:rsid w:val="00725487"/>
    <w:rsid w:val="00725554"/>
    <w:rsid w:val="0072565C"/>
    <w:rsid w:val="007257D9"/>
    <w:rsid w:val="0072582A"/>
    <w:rsid w:val="0072597E"/>
    <w:rsid w:val="00725ACB"/>
    <w:rsid w:val="00725ACD"/>
    <w:rsid w:val="00725D5A"/>
    <w:rsid w:val="00725E21"/>
    <w:rsid w:val="00725F73"/>
    <w:rsid w:val="007261E3"/>
    <w:rsid w:val="007262D2"/>
    <w:rsid w:val="00726382"/>
    <w:rsid w:val="00726444"/>
    <w:rsid w:val="00726471"/>
    <w:rsid w:val="00726513"/>
    <w:rsid w:val="0072652C"/>
    <w:rsid w:val="00726603"/>
    <w:rsid w:val="00726860"/>
    <w:rsid w:val="00726BD3"/>
    <w:rsid w:val="00726BF4"/>
    <w:rsid w:val="00726CF0"/>
    <w:rsid w:val="00726FB1"/>
    <w:rsid w:val="007273EB"/>
    <w:rsid w:val="007273F5"/>
    <w:rsid w:val="0072750A"/>
    <w:rsid w:val="00727543"/>
    <w:rsid w:val="007275DD"/>
    <w:rsid w:val="007277C8"/>
    <w:rsid w:val="007277F2"/>
    <w:rsid w:val="007278CD"/>
    <w:rsid w:val="007278E9"/>
    <w:rsid w:val="007279B5"/>
    <w:rsid w:val="00727A12"/>
    <w:rsid w:val="00727AF5"/>
    <w:rsid w:val="00727B49"/>
    <w:rsid w:val="00727B4B"/>
    <w:rsid w:val="00727C44"/>
    <w:rsid w:val="00727C5B"/>
    <w:rsid w:val="00727CDA"/>
    <w:rsid w:val="00727D59"/>
    <w:rsid w:val="00727E22"/>
    <w:rsid w:val="00727E53"/>
    <w:rsid w:val="00727E6D"/>
    <w:rsid w:val="00727E7E"/>
    <w:rsid w:val="00727F85"/>
    <w:rsid w:val="00730057"/>
    <w:rsid w:val="007303D8"/>
    <w:rsid w:val="0073042C"/>
    <w:rsid w:val="007304A8"/>
    <w:rsid w:val="007304DC"/>
    <w:rsid w:val="00730552"/>
    <w:rsid w:val="007307E6"/>
    <w:rsid w:val="0073091E"/>
    <w:rsid w:val="007309AC"/>
    <w:rsid w:val="00730C58"/>
    <w:rsid w:val="00730F2A"/>
    <w:rsid w:val="00730F65"/>
    <w:rsid w:val="00730FB2"/>
    <w:rsid w:val="00730FD9"/>
    <w:rsid w:val="0073105E"/>
    <w:rsid w:val="007311F5"/>
    <w:rsid w:val="0073122F"/>
    <w:rsid w:val="007313A5"/>
    <w:rsid w:val="00731444"/>
    <w:rsid w:val="007314DC"/>
    <w:rsid w:val="00731604"/>
    <w:rsid w:val="00731612"/>
    <w:rsid w:val="00731679"/>
    <w:rsid w:val="007316B1"/>
    <w:rsid w:val="007316C6"/>
    <w:rsid w:val="00731706"/>
    <w:rsid w:val="0073174E"/>
    <w:rsid w:val="0073184F"/>
    <w:rsid w:val="007318BD"/>
    <w:rsid w:val="007318E8"/>
    <w:rsid w:val="00731B8E"/>
    <w:rsid w:val="00731EF6"/>
    <w:rsid w:val="00731F52"/>
    <w:rsid w:val="00731F8F"/>
    <w:rsid w:val="00731FBF"/>
    <w:rsid w:val="0073200D"/>
    <w:rsid w:val="007320E1"/>
    <w:rsid w:val="00732138"/>
    <w:rsid w:val="00732356"/>
    <w:rsid w:val="0073253F"/>
    <w:rsid w:val="007325B3"/>
    <w:rsid w:val="00732806"/>
    <w:rsid w:val="007328FE"/>
    <w:rsid w:val="00732A05"/>
    <w:rsid w:val="00732CDB"/>
    <w:rsid w:val="00732E0A"/>
    <w:rsid w:val="00732E60"/>
    <w:rsid w:val="00732EB3"/>
    <w:rsid w:val="00732EC5"/>
    <w:rsid w:val="00733002"/>
    <w:rsid w:val="00733060"/>
    <w:rsid w:val="00733134"/>
    <w:rsid w:val="007331DC"/>
    <w:rsid w:val="00733273"/>
    <w:rsid w:val="00733351"/>
    <w:rsid w:val="007333BA"/>
    <w:rsid w:val="007334CF"/>
    <w:rsid w:val="00733569"/>
    <w:rsid w:val="007335ED"/>
    <w:rsid w:val="0073360B"/>
    <w:rsid w:val="007336E9"/>
    <w:rsid w:val="00733795"/>
    <w:rsid w:val="00733813"/>
    <w:rsid w:val="007338A9"/>
    <w:rsid w:val="007338D8"/>
    <w:rsid w:val="00733930"/>
    <w:rsid w:val="00733AE1"/>
    <w:rsid w:val="00733C46"/>
    <w:rsid w:val="00733D4F"/>
    <w:rsid w:val="00733DA8"/>
    <w:rsid w:val="00733E14"/>
    <w:rsid w:val="00733E95"/>
    <w:rsid w:val="00733EA7"/>
    <w:rsid w:val="00733EE6"/>
    <w:rsid w:val="00733F64"/>
    <w:rsid w:val="007340FE"/>
    <w:rsid w:val="00734188"/>
    <w:rsid w:val="007341FF"/>
    <w:rsid w:val="00734313"/>
    <w:rsid w:val="00734317"/>
    <w:rsid w:val="00734349"/>
    <w:rsid w:val="00734354"/>
    <w:rsid w:val="0073446F"/>
    <w:rsid w:val="00734492"/>
    <w:rsid w:val="007344E1"/>
    <w:rsid w:val="00734560"/>
    <w:rsid w:val="0073456C"/>
    <w:rsid w:val="007345E0"/>
    <w:rsid w:val="00734666"/>
    <w:rsid w:val="00734731"/>
    <w:rsid w:val="0073474D"/>
    <w:rsid w:val="007347FA"/>
    <w:rsid w:val="00734869"/>
    <w:rsid w:val="007348B3"/>
    <w:rsid w:val="007348D7"/>
    <w:rsid w:val="007348ED"/>
    <w:rsid w:val="00734ACB"/>
    <w:rsid w:val="00734BA0"/>
    <w:rsid w:val="00734BF4"/>
    <w:rsid w:val="00734E19"/>
    <w:rsid w:val="00734E95"/>
    <w:rsid w:val="00734F24"/>
    <w:rsid w:val="00734FA1"/>
    <w:rsid w:val="0073501B"/>
    <w:rsid w:val="0073501E"/>
    <w:rsid w:val="00735170"/>
    <w:rsid w:val="007351C9"/>
    <w:rsid w:val="0073521C"/>
    <w:rsid w:val="00735236"/>
    <w:rsid w:val="007352A8"/>
    <w:rsid w:val="00735372"/>
    <w:rsid w:val="00735391"/>
    <w:rsid w:val="007353F2"/>
    <w:rsid w:val="007353FA"/>
    <w:rsid w:val="00735555"/>
    <w:rsid w:val="00735582"/>
    <w:rsid w:val="0073559B"/>
    <w:rsid w:val="00735627"/>
    <w:rsid w:val="00735827"/>
    <w:rsid w:val="007358FF"/>
    <w:rsid w:val="00735AE3"/>
    <w:rsid w:val="00735C50"/>
    <w:rsid w:val="00735CCF"/>
    <w:rsid w:val="00735D2C"/>
    <w:rsid w:val="00735E72"/>
    <w:rsid w:val="00735E87"/>
    <w:rsid w:val="00735FF4"/>
    <w:rsid w:val="007360A4"/>
    <w:rsid w:val="0073611F"/>
    <w:rsid w:val="00736307"/>
    <w:rsid w:val="0073642D"/>
    <w:rsid w:val="00736435"/>
    <w:rsid w:val="0073644E"/>
    <w:rsid w:val="00736520"/>
    <w:rsid w:val="00736585"/>
    <w:rsid w:val="007366B3"/>
    <w:rsid w:val="007367AF"/>
    <w:rsid w:val="007367FF"/>
    <w:rsid w:val="00736827"/>
    <w:rsid w:val="007368C3"/>
    <w:rsid w:val="007368CC"/>
    <w:rsid w:val="007368CE"/>
    <w:rsid w:val="00736930"/>
    <w:rsid w:val="00736980"/>
    <w:rsid w:val="00736BBB"/>
    <w:rsid w:val="00736C20"/>
    <w:rsid w:val="00736C75"/>
    <w:rsid w:val="00736DAA"/>
    <w:rsid w:val="00736E60"/>
    <w:rsid w:val="00736F13"/>
    <w:rsid w:val="00736F1D"/>
    <w:rsid w:val="00736F33"/>
    <w:rsid w:val="00736F8E"/>
    <w:rsid w:val="00736FD0"/>
    <w:rsid w:val="007371D1"/>
    <w:rsid w:val="007371F2"/>
    <w:rsid w:val="0073721D"/>
    <w:rsid w:val="00737344"/>
    <w:rsid w:val="007373C9"/>
    <w:rsid w:val="00737536"/>
    <w:rsid w:val="007376AE"/>
    <w:rsid w:val="007376BB"/>
    <w:rsid w:val="007376F0"/>
    <w:rsid w:val="00737708"/>
    <w:rsid w:val="0073779D"/>
    <w:rsid w:val="007378A0"/>
    <w:rsid w:val="00737973"/>
    <w:rsid w:val="007379DB"/>
    <w:rsid w:val="00737AF7"/>
    <w:rsid w:val="00737AFB"/>
    <w:rsid w:val="00737C47"/>
    <w:rsid w:val="00737C4D"/>
    <w:rsid w:val="00737C6C"/>
    <w:rsid w:val="00737C9C"/>
    <w:rsid w:val="00737CFC"/>
    <w:rsid w:val="00737E1F"/>
    <w:rsid w:val="00737E5D"/>
    <w:rsid w:val="00737F20"/>
    <w:rsid w:val="0073C930"/>
    <w:rsid w:val="0073E11A"/>
    <w:rsid w:val="00740024"/>
    <w:rsid w:val="00740193"/>
    <w:rsid w:val="007401F6"/>
    <w:rsid w:val="0074039F"/>
    <w:rsid w:val="007403AD"/>
    <w:rsid w:val="007404DF"/>
    <w:rsid w:val="00740516"/>
    <w:rsid w:val="0074057E"/>
    <w:rsid w:val="007405A4"/>
    <w:rsid w:val="0074066A"/>
    <w:rsid w:val="007406E0"/>
    <w:rsid w:val="007407E2"/>
    <w:rsid w:val="007408E6"/>
    <w:rsid w:val="00740915"/>
    <w:rsid w:val="00740B3F"/>
    <w:rsid w:val="00740B89"/>
    <w:rsid w:val="00740BD9"/>
    <w:rsid w:val="00740CD6"/>
    <w:rsid w:val="00740D02"/>
    <w:rsid w:val="00740D68"/>
    <w:rsid w:val="00740F05"/>
    <w:rsid w:val="00740F59"/>
    <w:rsid w:val="007410AB"/>
    <w:rsid w:val="007411DA"/>
    <w:rsid w:val="007412A8"/>
    <w:rsid w:val="007412B2"/>
    <w:rsid w:val="007412BB"/>
    <w:rsid w:val="007412ED"/>
    <w:rsid w:val="0074136B"/>
    <w:rsid w:val="007413DE"/>
    <w:rsid w:val="0074143E"/>
    <w:rsid w:val="007414C6"/>
    <w:rsid w:val="007414E9"/>
    <w:rsid w:val="007414F8"/>
    <w:rsid w:val="007415A5"/>
    <w:rsid w:val="00741735"/>
    <w:rsid w:val="00741747"/>
    <w:rsid w:val="00741843"/>
    <w:rsid w:val="00741860"/>
    <w:rsid w:val="00741893"/>
    <w:rsid w:val="007418DB"/>
    <w:rsid w:val="00741A17"/>
    <w:rsid w:val="00741A75"/>
    <w:rsid w:val="00741A89"/>
    <w:rsid w:val="00741AC7"/>
    <w:rsid w:val="00741C42"/>
    <w:rsid w:val="00741D24"/>
    <w:rsid w:val="00741D31"/>
    <w:rsid w:val="00741E53"/>
    <w:rsid w:val="00741EBE"/>
    <w:rsid w:val="00741F99"/>
    <w:rsid w:val="0074206D"/>
    <w:rsid w:val="00742107"/>
    <w:rsid w:val="00742400"/>
    <w:rsid w:val="00742468"/>
    <w:rsid w:val="00742499"/>
    <w:rsid w:val="007424BB"/>
    <w:rsid w:val="0074253C"/>
    <w:rsid w:val="00742558"/>
    <w:rsid w:val="0074255C"/>
    <w:rsid w:val="007425BB"/>
    <w:rsid w:val="00742758"/>
    <w:rsid w:val="007427E8"/>
    <w:rsid w:val="00742859"/>
    <w:rsid w:val="0074287C"/>
    <w:rsid w:val="007429EF"/>
    <w:rsid w:val="00742A93"/>
    <w:rsid w:val="00742AC4"/>
    <w:rsid w:val="00742B8C"/>
    <w:rsid w:val="00742BCD"/>
    <w:rsid w:val="00742BF4"/>
    <w:rsid w:val="00742C9A"/>
    <w:rsid w:val="00742D4D"/>
    <w:rsid w:val="00742D63"/>
    <w:rsid w:val="00742D85"/>
    <w:rsid w:val="00742DF5"/>
    <w:rsid w:val="00742E66"/>
    <w:rsid w:val="00742EDC"/>
    <w:rsid w:val="00743076"/>
    <w:rsid w:val="0074307F"/>
    <w:rsid w:val="0074328F"/>
    <w:rsid w:val="00743317"/>
    <w:rsid w:val="0074345D"/>
    <w:rsid w:val="007436F2"/>
    <w:rsid w:val="0074370B"/>
    <w:rsid w:val="0074378B"/>
    <w:rsid w:val="00743900"/>
    <w:rsid w:val="00743968"/>
    <w:rsid w:val="007439BC"/>
    <w:rsid w:val="00743A2F"/>
    <w:rsid w:val="00743AB1"/>
    <w:rsid w:val="00743AEE"/>
    <w:rsid w:val="00743B24"/>
    <w:rsid w:val="00743BB5"/>
    <w:rsid w:val="00743CA6"/>
    <w:rsid w:val="00743CD2"/>
    <w:rsid w:val="00743CE2"/>
    <w:rsid w:val="00743E16"/>
    <w:rsid w:val="00743EA2"/>
    <w:rsid w:val="00744091"/>
    <w:rsid w:val="007440BE"/>
    <w:rsid w:val="007440F6"/>
    <w:rsid w:val="0074417A"/>
    <w:rsid w:val="00744383"/>
    <w:rsid w:val="00744610"/>
    <w:rsid w:val="007446FC"/>
    <w:rsid w:val="00744892"/>
    <w:rsid w:val="007448FE"/>
    <w:rsid w:val="00744A38"/>
    <w:rsid w:val="00744C17"/>
    <w:rsid w:val="00744C2E"/>
    <w:rsid w:val="00744C50"/>
    <w:rsid w:val="00744DA0"/>
    <w:rsid w:val="00744DFA"/>
    <w:rsid w:val="00744E75"/>
    <w:rsid w:val="00744ED3"/>
    <w:rsid w:val="00744F55"/>
    <w:rsid w:val="00745175"/>
    <w:rsid w:val="0074518E"/>
    <w:rsid w:val="007451E5"/>
    <w:rsid w:val="00745383"/>
    <w:rsid w:val="0074547E"/>
    <w:rsid w:val="00745623"/>
    <w:rsid w:val="00745AD7"/>
    <w:rsid w:val="00745AE8"/>
    <w:rsid w:val="00745C49"/>
    <w:rsid w:val="00745CB5"/>
    <w:rsid w:val="00745D3C"/>
    <w:rsid w:val="00745D9F"/>
    <w:rsid w:val="00745DF2"/>
    <w:rsid w:val="00745E24"/>
    <w:rsid w:val="00746038"/>
    <w:rsid w:val="007460DE"/>
    <w:rsid w:val="0074611C"/>
    <w:rsid w:val="00746130"/>
    <w:rsid w:val="007461BC"/>
    <w:rsid w:val="007461DD"/>
    <w:rsid w:val="007462CB"/>
    <w:rsid w:val="007462E5"/>
    <w:rsid w:val="007463D9"/>
    <w:rsid w:val="007463F5"/>
    <w:rsid w:val="0074650A"/>
    <w:rsid w:val="0074653B"/>
    <w:rsid w:val="00746622"/>
    <w:rsid w:val="007466BB"/>
    <w:rsid w:val="0074686B"/>
    <w:rsid w:val="007468C7"/>
    <w:rsid w:val="00746931"/>
    <w:rsid w:val="00746959"/>
    <w:rsid w:val="00746ADC"/>
    <w:rsid w:val="00746BE9"/>
    <w:rsid w:val="00746C15"/>
    <w:rsid w:val="00746C6B"/>
    <w:rsid w:val="00746EA3"/>
    <w:rsid w:val="00746F3A"/>
    <w:rsid w:val="00746F41"/>
    <w:rsid w:val="00746FEE"/>
    <w:rsid w:val="00747086"/>
    <w:rsid w:val="00747136"/>
    <w:rsid w:val="00747261"/>
    <w:rsid w:val="00747295"/>
    <w:rsid w:val="007472D9"/>
    <w:rsid w:val="00747335"/>
    <w:rsid w:val="00747543"/>
    <w:rsid w:val="00747605"/>
    <w:rsid w:val="0074762D"/>
    <w:rsid w:val="00747775"/>
    <w:rsid w:val="007477C9"/>
    <w:rsid w:val="00747893"/>
    <w:rsid w:val="0074798A"/>
    <w:rsid w:val="007479A7"/>
    <w:rsid w:val="00747AD8"/>
    <w:rsid w:val="00747B4C"/>
    <w:rsid w:val="00747BB4"/>
    <w:rsid w:val="00747CAA"/>
    <w:rsid w:val="00747CEB"/>
    <w:rsid w:val="00747D0E"/>
    <w:rsid w:val="00747D2A"/>
    <w:rsid w:val="00747D45"/>
    <w:rsid w:val="00747DA8"/>
    <w:rsid w:val="00747E7A"/>
    <w:rsid w:val="00747F55"/>
    <w:rsid w:val="00750005"/>
    <w:rsid w:val="007500BD"/>
    <w:rsid w:val="007501A7"/>
    <w:rsid w:val="007501F6"/>
    <w:rsid w:val="007502E3"/>
    <w:rsid w:val="007503C8"/>
    <w:rsid w:val="0075050E"/>
    <w:rsid w:val="0075068A"/>
    <w:rsid w:val="00750692"/>
    <w:rsid w:val="007506CE"/>
    <w:rsid w:val="0075071E"/>
    <w:rsid w:val="007507F2"/>
    <w:rsid w:val="0075084C"/>
    <w:rsid w:val="0075092A"/>
    <w:rsid w:val="00750A12"/>
    <w:rsid w:val="00750A3E"/>
    <w:rsid w:val="00750ADA"/>
    <w:rsid w:val="00750B53"/>
    <w:rsid w:val="00750B72"/>
    <w:rsid w:val="00750CCD"/>
    <w:rsid w:val="00750CE6"/>
    <w:rsid w:val="00750E20"/>
    <w:rsid w:val="00750EBC"/>
    <w:rsid w:val="00751029"/>
    <w:rsid w:val="00751141"/>
    <w:rsid w:val="007511B6"/>
    <w:rsid w:val="0075149A"/>
    <w:rsid w:val="007514EA"/>
    <w:rsid w:val="00751525"/>
    <w:rsid w:val="0075158D"/>
    <w:rsid w:val="0075159F"/>
    <w:rsid w:val="007516B1"/>
    <w:rsid w:val="00751C28"/>
    <w:rsid w:val="00751C8B"/>
    <w:rsid w:val="00751E19"/>
    <w:rsid w:val="00751F6D"/>
    <w:rsid w:val="00751F9D"/>
    <w:rsid w:val="00751FC5"/>
    <w:rsid w:val="00752005"/>
    <w:rsid w:val="0075216C"/>
    <w:rsid w:val="007521A2"/>
    <w:rsid w:val="007521B3"/>
    <w:rsid w:val="0075221F"/>
    <w:rsid w:val="0075229E"/>
    <w:rsid w:val="0075231A"/>
    <w:rsid w:val="00752465"/>
    <w:rsid w:val="0075256C"/>
    <w:rsid w:val="00752635"/>
    <w:rsid w:val="007526E7"/>
    <w:rsid w:val="00752749"/>
    <w:rsid w:val="0075274D"/>
    <w:rsid w:val="00752978"/>
    <w:rsid w:val="00752980"/>
    <w:rsid w:val="007529A7"/>
    <w:rsid w:val="00752AE0"/>
    <w:rsid w:val="00752B05"/>
    <w:rsid w:val="00752B3E"/>
    <w:rsid w:val="00752C5D"/>
    <w:rsid w:val="00752C99"/>
    <w:rsid w:val="00752DA5"/>
    <w:rsid w:val="00752DC2"/>
    <w:rsid w:val="00752F9F"/>
    <w:rsid w:val="007530EE"/>
    <w:rsid w:val="007531BF"/>
    <w:rsid w:val="0075329E"/>
    <w:rsid w:val="00753459"/>
    <w:rsid w:val="0075348C"/>
    <w:rsid w:val="0075358B"/>
    <w:rsid w:val="00753647"/>
    <w:rsid w:val="007536CE"/>
    <w:rsid w:val="007536E2"/>
    <w:rsid w:val="00753757"/>
    <w:rsid w:val="00753808"/>
    <w:rsid w:val="00753868"/>
    <w:rsid w:val="00753978"/>
    <w:rsid w:val="007539C4"/>
    <w:rsid w:val="007539CB"/>
    <w:rsid w:val="00753C6A"/>
    <w:rsid w:val="00753D88"/>
    <w:rsid w:val="00753D8A"/>
    <w:rsid w:val="00753DBE"/>
    <w:rsid w:val="00753EBA"/>
    <w:rsid w:val="00753ECB"/>
    <w:rsid w:val="00754153"/>
    <w:rsid w:val="007544A7"/>
    <w:rsid w:val="00754638"/>
    <w:rsid w:val="00754662"/>
    <w:rsid w:val="007546FE"/>
    <w:rsid w:val="007547DD"/>
    <w:rsid w:val="00754982"/>
    <w:rsid w:val="007549E2"/>
    <w:rsid w:val="00754A50"/>
    <w:rsid w:val="00754A78"/>
    <w:rsid w:val="00754BDA"/>
    <w:rsid w:val="00754C72"/>
    <w:rsid w:val="00754C89"/>
    <w:rsid w:val="00754DA4"/>
    <w:rsid w:val="00754E36"/>
    <w:rsid w:val="00754E79"/>
    <w:rsid w:val="00755156"/>
    <w:rsid w:val="007551A8"/>
    <w:rsid w:val="007551AA"/>
    <w:rsid w:val="007551F4"/>
    <w:rsid w:val="007552C3"/>
    <w:rsid w:val="0075532E"/>
    <w:rsid w:val="00755467"/>
    <w:rsid w:val="00755478"/>
    <w:rsid w:val="0075551B"/>
    <w:rsid w:val="00755588"/>
    <w:rsid w:val="00755595"/>
    <w:rsid w:val="007556DD"/>
    <w:rsid w:val="007558C6"/>
    <w:rsid w:val="00755AEE"/>
    <w:rsid w:val="00755B9F"/>
    <w:rsid w:val="00755C69"/>
    <w:rsid w:val="00755CED"/>
    <w:rsid w:val="00755D27"/>
    <w:rsid w:val="00755DD9"/>
    <w:rsid w:val="00755E77"/>
    <w:rsid w:val="00756231"/>
    <w:rsid w:val="00756253"/>
    <w:rsid w:val="007562AD"/>
    <w:rsid w:val="007562BE"/>
    <w:rsid w:val="007563B4"/>
    <w:rsid w:val="0075641A"/>
    <w:rsid w:val="00756489"/>
    <w:rsid w:val="00756A17"/>
    <w:rsid w:val="00756BEB"/>
    <w:rsid w:val="00756C53"/>
    <w:rsid w:val="00756CB9"/>
    <w:rsid w:val="00756D71"/>
    <w:rsid w:val="00756E6E"/>
    <w:rsid w:val="00756EF7"/>
    <w:rsid w:val="00756F2C"/>
    <w:rsid w:val="00756FEA"/>
    <w:rsid w:val="00756FEB"/>
    <w:rsid w:val="0075702C"/>
    <w:rsid w:val="007570BE"/>
    <w:rsid w:val="007570E5"/>
    <w:rsid w:val="007571D7"/>
    <w:rsid w:val="0075732A"/>
    <w:rsid w:val="007573D8"/>
    <w:rsid w:val="007573EF"/>
    <w:rsid w:val="00757481"/>
    <w:rsid w:val="0075762F"/>
    <w:rsid w:val="007576EA"/>
    <w:rsid w:val="00757A09"/>
    <w:rsid w:val="00757D12"/>
    <w:rsid w:val="00757D3B"/>
    <w:rsid w:val="00757E62"/>
    <w:rsid w:val="00760010"/>
    <w:rsid w:val="0076016B"/>
    <w:rsid w:val="00760284"/>
    <w:rsid w:val="0076034C"/>
    <w:rsid w:val="00760373"/>
    <w:rsid w:val="00760427"/>
    <w:rsid w:val="007604AF"/>
    <w:rsid w:val="007604B6"/>
    <w:rsid w:val="00760551"/>
    <w:rsid w:val="00760607"/>
    <w:rsid w:val="00760790"/>
    <w:rsid w:val="007607DB"/>
    <w:rsid w:val="0076085E"/>
    <w:rsid w:val="00760868"/>
    <w:rsid w:val="007609C9"/>
    <w:rsid w:val="00760A65"/>
    <w:rsid w:val="00760B92"/>
    <w:rsid w:val="00760CF4"/>
    <w:rsid w:val="00760EBB"/>
    <w:rsid w:val="00761014"/>
    <w:rsid w:val="0076113E"/>
    <w:rsid w:val="007611E6"/>
    <w:rsid w:val="00761218"/>
    <w:rsid w:val="0076128C"/>
    <w:rsid w:val="007612AC"/>
    <w:rsid w:val="007613FC"/>
    <w:rsid w:val="00761471"/>
    <w:rsid w:val="007614F5"/>
    <w:rsid w:val="0076155E"/>
    <w:rsid w:val="007615B3"/>
    <w:rsid w:val="007615BE"/>
    <w:rsid w:val="007617AD"/>
    <w:rsid w:val="0076185D"/>
    <w:rsid w:val="00761866"/>
    <w:rsid w:val="00761916"/>
    <w:rsid w:val="00761BE0"/>
    <w:rsid w:val="00761C8F"/>
    <w:rsid w:val="00761D2B"/>
    <w:rsid w:val="00761EDC"/>
    <w:rsid w:val="00761F8F"/>
    <w:rsid w:val="00761F9D"/>
    <w:rsid w:val="00761FDE"/>
    <w:rsid w:val="00762050"/>
    <w:rsid w:val="0076209A"/>
    <w:rsid w:val="00762121"/>
    <w:rsid w:val="007621A3"/>
    <w:rsid w:val="007623B8"/>
    <w:rsid w:val="00762651"/>
    <w:rsid w:val="00762664"/>
    <w:rsid w:val="007626E7"/>
    <w:rsid w:val="00762852"/>
    <w:rsid w:val="00762859"/>
    <w:rsid w:val="007628A8"/>
    <w:rsid w:val="00762917"/>
    <w:rsid w:val="00762980"/>
    <w:rsid w:val="007629BC"/>
    <w:rsid w:val="00762A79"/>
    <w:rsid w:val="00762B0C"/>
    <w:rsid w:val="00762B48"/>
    <w:rsid w:val="00762C0F"/>
    <w:rsid w:val="00762D91"/>
    <w:rsid w:val="00762DA9"/>
    <w:rsid w:val="00762EA4"/>
    <w:rsid w:val="00762F07"/>
    <w:rsid w:val="00762FB4"/>
    <w:rsid w:val="00763032"/>
    <w:rsid w:val="007630B2"/>
    <w:rsid w:val="007632EB"/>
    <w:rsid w:val="00763394"/>
    <w:rsid w:val="00763431"/>
    <w:rsid w:val="00763474"/>
    <w:rsid w:val="00763477"/>
    <w:rsid w:val="007635CB"/>
    <w:rsid w:val="00763604"/>
    <w:rsid w:val="00763730"/>
    <w:rsid w:val="0076374C"/>
    <w:rsid w:val="007637D0"/>
    <w:rsid w:val="0076387F"/>
    <w:rsid w:val="007639B2"/>
    <w:rsid w:val="007639FB"/>
    <w:rsid w:val="00763A3D"/>
    <w:rsid w:val="00763B90"/>
    <w:rsid w:val="00763B96"/>
    <w:rsid w:val="00763CA1"/>
    <w:rsid w:val="00763E30"/>
    <w:rsid w:val="00763F11"/>
    <w:rsid w:val="00764024"/>
    <w:rsid w:val="007640AF"/>
    <w:rsid w:val="007641B2"/>
    <w:rsid w:val="007642EB"/>
    <w:rsid w:val="007643F5"/>
    <w:rsid w:val="00764453"/>
    <w:rsid w:val="00764553"/>
    <w:rsid w:val="007645CA"/>
    <w:rsid w:val="0076468C"/>
    <w:rsid w:val="007647E7"/>
    <w:rsid w:val="0076487F"/>
    <w:rsid w:val="00764981"/>
    <w:rsid w:val="00764B74"/>
    <w:rsid w:val="00764C74"/>
    <w:rsid w:val="00764CA1"/>
    <w:rsid w:val="00764D9B"/>
    <w:rsid w:val="00764DFD"/>
    <w:rsid w:val="00764E7A"/>
    <w:rsid w:val="00764F87"/>
    <w:rsid w:val="00764FB8"/>
    <w:rsid w:val="00765139"/>
    <w:rsid w:val="007651B8"/>
    <w:rsid w:val="007651DB"/>
    <w:rsid w:val="00765287"/>
    <w:rsid w:val="007653D5"/>
    <w:rsid w:val="00765487"/>
    <w:rsid w:val="007655B3"/>
    <w:rsid w:val="0076563F"/>
    <w:rsid w:val="0076566E"/>
    <w:rsid w:val="007656A3"/>
    <w:rsid w:val="00765721"/>
    <w:rsid w:val="007657D3"/>
    <w:rsid w:val="00765948"/>
    <w:rsid w:val="00765A71"/>
    <w:rsid w:val="00765A77"/>
    <w:rsid w:val="00765B12"/>
    <w:rsid w:val="00765C0F"/>
    <w:rsid w:val="00765C58"/>
    <w:rsid w:val="00765C6A"/>
    <w:rsid w:val="00765C78"/>
    <w:rsid w:val="00765CD6"/>
    <w:rsid w:val="00765CE4"/>
    <w:rsid w:val="00765DE8"/>
    <w:rsid w:val="00765E2C"/>
    <w:rsid w:val="00765FFB"/>
    <w:rsid w:val="007660FE"/>
    <w:rsid w:val="007662F8"/>
    <w:rsid w:val="00766301"/>
    <w:rsid w:val="0076638E"/>
    <w:rsid w:val="00766453"/>
    <w:rsid w:val="00766481"/>
    <w:rsid w:val="0076648E"/>
    <w:rsid w:val="0076659D"/>
    <w:rsid w:val="007665CD"/>
    <w:rsid w:val="00766660"/>
    <w:rsid w:val="00766696"/>
    <w:rsid w:val="007668F7"/>
    <w:rsid w:val="00766939"/>
    <w:rsid w:val="00766B58"/>
    <w:rsid w:val="00766C5F"/>
    <w:rsid w:val="00766C64"/>
    <w:rsid w:val="00766CF7"/>
    <w:rsid w:val="00766DAA"/>
    <w:rsid w:val="00766E7C"/>
    <w:rsid w:val="00766EA1"/>
    <w:rsid w:val="0076706B"/>
    <w:rsid w:val="0076707B"/>
    <w:rsid w:val="007670C6"/>
    <w:rsid w:val="00767202"/>
    <w:rsid w:val="007673A6"/>
    <w:rsid w:val="007673C9"/>
    <w:rsid w:val="007673ED"/>
    <w:rsid w:val="007674A2"/>
    <w:rsid w:val="007674FC"/>
    <w:rsid w:val="00767503"/>
    <w:rsid w:val="00767568"/>
    <w:rsid w:val="007678F2"/>
    <w:rsid w:val="0076796F"/>
    <w:rsid w:val="0076799D"/>
    <w:rsid w:val="007679F3"/>
    <w:rsid w:val="00767A6F"/>
    <w:rsid w:val="00767BD9"/>
    <w:rsid w:val="00767C42"/>
    <w:rsid w:val="00767D8C"/>
    <w:rsid w:val="00767EAD"/>
    <w:rsid w:val="0076CE76"/>
    <w:rsid w:val="0077002E"/>
    <w:rsid w:val="007701F8"/>
    <w:rsid w:val="007702FE"/>
    <w:rsid w:val="00770337"/>
    <w:rsid w:val="007703CE"/>
    <w:rsid w:val="007703E8"/>
    <w:rsid w:val="0077051B"/>
    <w:rsid w:val="00770547"/>
    <w:rsid w:val="00770628"/>
    <w:rsid w:val="0077065F"/>
    <w:rsid w:val="007706C9"/>
    <w:rsid w:val="007706FB"/>
    <w:rsid w:val="007707CC"/>
    <w:rsid w:val="00770908"/>
    <w:rsid w:val="0077095F"/>
    <w:rsid w:val="00770A08"/>
    <w:rsid w:val="00770CEC"/>
    <w:rsid w:val="00770E0A"/>
    <w:rsid w:val="00770F63"/>
    <w:rsid w:val="00771126"/>
    <w:rsid w:val="0077119B"/>
    <w:rsid w:val="007712E5"/>
    <w:rsid w:val="00771474"/>
    <w:rsid w:val="0077148D"/>
    <w:rsid w:val="007715B7"/>
    <w:rsid w:val="00771644"/>
    <w:rsid w:val="007716C3"/>
    <w:rsid w:val="00771749"/>
    <w:rsid w:val="00771815"/>
    <w:rsid w:val="00771972"/>
    <w:rsid w:val="00771AFE"/>
    <w:rsid w:val="00771BE6"/>
    <w:rsid w:val="00771C21"/>
    <w:rsid w:val="00771CFD"/>
    <w:rsid w:val="00771D2E"/>
    <w:rsid w:val="00771DAC"/>
    <w:rsid w:val="00771E0F"/>
    <w:rsid w:val="00771E14"/>
    <w:rsid w:val="00771E1E"/>
    <w:rsid w:val="00771E72"/>
    <w:rsid w:val="00771F42"/>
    <w:rsid w:val="00771FAC"/>
    <w:rsid w:val="00771FE5"/>
    <w:rsid w:val="007720A2"/>
    <w:rsid w:val="007720EA"/>
    <w:rsid w:val="00772131"/>
    <w:rsid w:val="00772143"/>
    <w:rsid w:val="007721F5"/>
    <w:rsid w:val="00772204"/>
    <w:rsid w:val="00772269"/>
    <w:rsid w:val="00772287"/>
    <w:rsid w:val="007722D5"/>
    <w:rsid w:val="00772376"/>
    <w:rsid w:val="0077238F"/>
    <w:rsid w:val="007725C8"/>
    <w:rsid w:val="007726A5"/>
    <w:rsid w:val="007726F3"/>
    <w:rsid w:val="007729D7"/>
    <w:rsid w:val="00772A1A"/>
    <w:rsid w:val="00772A93"/>
    <w:rsid w:val="00772AFE"/>
    <w:rsid w:val="00772BA8"/>
    <w:rsid w:val="00772C95"/>
    <w:rsid w:val="00772DC6"/>
    <w:rsid w:val="00772DC9"/>
    <w:rsid w:val="00772DF2"/>
    <w:rsid w:val="00772E8E"/>
    <w:rsid w:val="00772FD6"/>
    <w:rsid w:val="00773023"/>
    <w:rsid w:val="0077306A"/>
    <w:rsid w:val="00773098"/>
    <w:rsid w:val="0077318E"/>
    <w:rsid w:val="007731CB"/>
    <w:rsid w:val="00773374"/>
    <w:rsid w:val="007733C4"/>
    <w:rsid w:val="007733D2"/>
    <w:rsid w:val="007734F4"/>
    <w:rsid w:val="0077352E"/>
    <w:rsid w:val="00773535"/>
    <w:rsid w:val="00773537"/>
    <w:rsid w:val="00773548"/>
    <w:rsid w:val="007735C8"/>
    <w:rsid w:val="00773714"/>
    <w:rsid w:val="007737E7"/>
    <w:rsid w:val="007737F0"/>
    <w:rsid w:val="00773894"/>
    <w:rsid w:val="007738D3"/>
    <w:rsid w:val="00773903"/>
    <w:rsid w:val="00773956"/>
    <w:rsid w:val="007739A7"/>
    <w:rsid w:val="007739EA"/>
    <w:rsid w:val="00773A9D"/>
    <w:rsid w:val="00773C7E"/>
    <w:rsid w:val="00773CC0"/>
    <w:rsid w:val="007740DE"/>
    <w:rsid w:val="0077418B"/>
    <w:rsid w:val="00774342"/>
    <w:rsid w:val="00774361"/>
    <w:rsid w:val="00774428"/>
    <w:rsid w:val="00774498"/>
    <w:rsid w:val="007744B6"/>
    <w:rsid w:val="007744D2"/>
    <w:rsid w:val="00774543"/>
    <w:rsid w:val="007745ED"/>
    <w:rsid w:val="007746D8"/>
    <w:rsid w:val="00774819"/>
    <w:rsid w:val="00774893"/>
    <w:rsid w:val="00774B18"/>
    <w:rsid w:val="00774B66"/>
    <w:rsid w:val="00774C51"/>
    <w:rsid w:val="00774C84"/>
    <w:rsid w:val="00774CE1"/>
    <w:rsid w:val="00774E05"/>
    <w:rsid w:val="00774E69"/>
    <w:rsid w:val="00774E8E"/>
    <w:rsid w:val="00775187"/>
    <w:rsid w:val="007751A9"/>
    <w:rsid w:val="007751ED"/>
    <w:rsid w:val="0077523F"/>
    <w:rsid w:val="00775251"/>
    <w:rsid w:val="00775349"/>
    <w:rsid w:val="00775436"/>
    <w:rsid w:val="007754B9"/>
    <w:rsid w:val="007755B0"/>
    <w:rsid w:val="0077566F"/>
    <w:rsid w:val="00775670"/>
    <w:rsid w:val="007756AF"/>
    <w:rsid w:val="007756F0"/>
    <w:rsid w:val="00775777"/>
    <w:rsid w:val="007757D9"/>
    <w:rsid w:val="00775AC2"/>
    <w:rsid w:val="00775B0F"/>
    <w:rsid w:val="00775CB7"/>
    <w:rsid w:val="00775CE6"/>
    <w:rsid w:val="00775E16"/>
    <w:rsid w:val="00775F3A"/>
    <w:rsid w:val="00775F46"/>
    <w:rsid w:val="00776204"/>
    <w:rsid w:val="0077629D"/>
    <w:rsid w:val="007762C1"/>
    <w:rsid w:val="007762CC"/>
    <w:rsid w:val="0077634C"/>
    <w:rsid w:val="0077635E"/>
    <w:rsid w:val="00776449"/>
    <w:rsid w:val="0077646C"/>
    <w:rsid w:val="007766CC"/>
    <w:rsid w:val="007766EF"/>
    <w:rsid w:val="00776839"/>
    <w:rsid w:val="007768AA"/>
    <w:rsid w:val="007768B8"/>
    <w:rsid w:val="00776916"/>
    <w:rsid w:val="00776A28"/>
    <w:rsid w:val="00776B30"/>
    <w:rsid w:val="00776B94"/>
    <w:rsid w:val="00776C01"/>
    <w:rsid w:val="00776C1B"/>
    <w:rsid w:val="00776CF2"/>
    <w:rsid w:val="00776D41"/>
    <w:rsid w:val="00776DCD"/>
    <w:rsid w:val="00776E01"/>
    <w:rsid w:val="00776E08"/>
    <w:rsid w:val="00776EEA"/>
    <w:rsid w:val="007771BC"/>
    <w:rsid w:val="0077724A"/>
    <w:rsid w:val="007773D6"/>
    <w:rsid w:val="00777405"/>
    <w:rsid w:val="00777433"/>
    <w:rsid w:val="007774FE"/>
    <w:rsid w:val="0077760D"/>
    <w:rsid w:val="007777B6"/>
    <w:rsid w:val="00777831"/>
    <w:rsid w:val="00777913"/>
    <w:rsid w:val="00777A3C"/>
    <w:rsid w:val="00777A85"/>
    <w:rsid w:val="00777BF4"/>
    <w:rsid w:val="00777C0C"/>
    <w:rsid w:val="00777CCC"/>
    <w:rsid w:val="00777D3C"/>
    <w:rsid w:val="00777D66"/>
    <w:rsid w:val="00777EEB"/>
    <w:rsid w:val="00777F47"/>
    <w:rsid w:val="0077DEC5"/>
    <w:rsid w:val="00780143"/>
    <w:rsid w:val="00780251"/>
    <w:rsid w:val="007802A1"/>
    <w:rsid w:val="0078039E"/>
    <w:rsid w:val="00780411"/>
    <w:rsid w:val="007804C7"/>
    <w:rsid w:val="00780508"/>
    <w:rsid w:val="00780575"/>
    <w:rsid w:val="00780587"/>
    <w:rsid w:val="0078063E"/>
    <w:rsid w:val="007806E3"/>
    <w:rsid w:val="00780706"/>
    <w:rsid w:val="007808AF"/>
    <w:rsid w:val="007808E3"/>
    <w:rsid w:val="0078095D"/>
    <w:rsid w:val="007809EC"/>
    <w:rsid w:val="00780A82"/>
    <w:rsid w:val="00780B2F"/>
    <w:rsid w:val="00780D74"/>
    <w:rsid w:val="00780ED2"/>
    <w:rsid w:val="00781009"/>
    <w:rsid w:val="007810CA"/>
    <w:rsid w:val="007811B3"/>
    <w:rsid w:val="007812AC"/>
    <w:rsid w:val="007813C4"/>
    <w:rsid w:val="007814D1"/>
    <w:rsid w:val="007814E4"/>
    <w:rsid w:val="00781625"/>
    <w:rsid w:val="007816F5"/>
    <w:rsid w:val="00781706"/>
    <w:rsid w:val="00781895"/>
    <w:rsid w:val="00781AEE"/>
    <w:rsid w:val="00781B74"/>
    <w:rsid w:val="00781C13"/>
    <w:rsid w:val="00781D30"/>
    <w:rsid w:val="00781DFC"/>
    <w:rsid w:val="00781E68"/>
    <w:rsid w:val="00781EBE"/>
    <w:rsid w:val="00781F8C"/>
    <w:rsid w:val="0078205C"/>
    <w:rsid w:val="00782442"/>
    <w:rsid w:val="00782486"/>
    <w:rsid w:val="007825DE"/>
    <w:rsid w:val="00782703"/>
    <w:rsid w:val="0078293A"/>
    <w:rsid w:val="00782A4F"/>
    <w:rsid w:val="00782AC2"/>
    <w:rsid w:val="00782AD8"/>
    <w:rsid w:val="00782ADA"/>
    <w:rsid w:val="00782D6F"/>
    <w:rsid w:val="00782E78"/>
    <w:rsid w:val="00782F0D"/>
    <w:rsid w:val="00782F30"/>
    <w:rsid w:val="00782F34"/>
    <w:rsid w:val="00782F51"/>
    <w:rsid w:val="00783027"/>
    <w:rsid w:val="00783089"/>
    <w:rsid w:val="007833BE"/>
    <w:rsid w:val="00783455"/>
    <w:rsid w:val="0078347E"/>
    <w:rsid w:val="007835A2"/>
    <w:rsid w:val="007835F5"/>
    <w:rsid w:val="00783655"/>
    <w:rsid w:val="00783697"/>
    <w:rsid w:val="00783744"/>
    <w:rsid w:val="007837B4"/>
    <w:rsid w:val="0078398B"/>
    <w:rsid w:val="007839C1"/>
    <w:rsid w:val="00783A15"/>
    <w:rsid w:val="00783A9F"/>
    <w:rsid w:val="00783B22"/>
    <w:rsid w:val="00783C32"/>
    <w:rsid w:val="00783C96"/>
    <w:rsid w:val="00783CD0"/>
    <w:rsid w:val="00783DB3"/>
    <w:rsid w:val="00783DD0"/>
    <w:rsid w:val="00783EB5"/>
    <w:rsid w:val="00783EDB"/>
    <w:rsid w:val="00783EDD"/>
    <w:rsid w:val="00783FA8"/>
    <w:rsid w:val="0078400A"/>
    <w:rsid w:val="0078408A"/>
    <w:rsid w:val="007841DC"/>
    <w:rsid w:val="00784254"/>
    <w:rsid w:val="007843BD"/>
    <w:rsid w:val="00784461"/>
    <w:rsid w:val="00784489"/>
    <w:rsid w:val="007844DC"/>
    <w:rsid w:val="0078477B"/>
    <w:rsid w:val="007847CE"/>
    <w:rsid w:val="00784823"/>
    <w:rsid w:val="007849A7"/>
    <w:rsid w:val="00784C43"/>
    <w:rsid w:val="00784C50"/>
    <w:rsid w:val="00784D84"/>
    <w:rsid w:val="00785308"/>
    <w:rsid w:val="0078530C"/>
    <w:rsid w:val="00785385"/>
    <w:rsid w:val="0078538E"/>
    <w:rsid w:val="00785408"/>
    <w:rsid w:val="00785456"/>
    <w:rsid w:val="00785479"/>
    <w:rsid w:val="0078554B"/>
    <w:rsid w:val="0078563F"/>
    <w:rsid w:val="007857FB"/>
    <w:rsid w:val="00785959"/>
    <w:rsid w:val="00785ACC"/>
    <w:rsid w:val="00785DFD"/>
    <w:rsid w:val="0078605A"/>
    <w:rsid w:val="007860D6"/>
    <w:rsid w:val="00786168"/>
    <w:rsid w:val="00786247"/>
    <w:rsid w:val="00786347"/>
    <w:rsid w:val="00786453"/>
    <w:rsid w:val="00786456"/>
    <w:rsid w:val="00786586"/>
    <w:rsid w:val="00786613"/>
    <w:rsid w:val="00786620"/>
    <w:rsid w:val="007866F3"/>
    <w:rsid w:val="00786717"/>
    <w:rsid w:val="00786A18"/>
    <w:rsid w:val="00786A30"/>
    <w:rsid w:val="00786AE6"/>
    <w:rsid w:val="00786BD0"/>
    <w:rsid w:val="00786C66"/>
    <w:rsid w:val="00786CC6"/>
    <w:rsid w:val="00786CDD"/>
    <w:rsid w:val="00786F16"/>
    <w:rsid w:val="00786F89"/>
    <w:rsid w:val="00787128"/>
    <w:rsid w:val="007871AA"/>
    <w:rsid w:val="007872B9"/>
    <w:rsid w:val="007872BD"/>
    <w:rsid w:val="007872C5"/>
    <w:rsid w:val="00787301"/>
    <w:rsid w:val="007873E7"/>
    <w:rsid w:val="00787409"/>
    <w:rsid w:val="00787438"/>
    <w:rsid w:val="007874BB"/>
    <w:rsid w:val="0078758C"/>
    <w:rsid w:val="0078760B"/>
    <w:rsid w:val="0078761A"/>
    <w:rsid w:val="0078761E"/>
    <w:rsid w:val="00787647"/>
    <w:rsid w:val="00787749"/>
    <w:rsid w:val="00787886"/>
    <w:rsid w:val="00787C22"/>
    <w:rsid w:val="00787DA4"/>
    <w:rsid w:val="00790199"/>
    <w:rsid w:val="00790241"/>
    <w:rsid w:val="007902EF"/>
    <w:rsid w:val="0079033D"/>
    <w:rsid w:val="007903FC"/>
    <w:rsid w:val="0079045F"/>
    <w:rsid w:val="0079053C"/>
    <w:rsid w:val="007905D0"/>
    <w:rsid w:val="00790628"/>
    <w:rsid w:val="00790696"/>
    <w:rsid w:val="00790702"/>
    <w:rsid w:val="0079077D"/>
    <w:rsid w:val="007907EC"/>
    <w:rsid w:val="00790837"/>
    <w:rsid w:val="0079085E"/>
    <w:rsid w:val="0079088B"/>
    <w:rsid w:val="00790921"/>
    <w:rsid w:val="007909BC"/>
    <w:rsid w:val="00790A83"/>
    <w:rsid w:val="00790B61"/>
    <w:rsid w:val="00790BFD"/>
    <w:rsid w:val="00790C53"/>
    <w:rsid w:val="00790C5E"/>
    <w:rsid w:val="00790CA4"/>
    <w:rsid w:val="00790D53"/>
    <w:rsid w:val="00790D84"/>
    <w:rsid w:val="00790DEE"/>
    <w:rsid w:val="007910E8"/>
    <w:rsid w:val="007911F3"/>
    <w:rsid w:val="007912C1"/>
    <w:rsid w:val="00791340"/>
    <w:rsid w:val="0079140F"/>
    <w:rsid w:val="0079149B"/>
    <w:rsid w:val="00791581"/>
    <w:rsid w:val="00791592"/>
    <w:rsid w:val="0079163F"/>
    <w:rsid w:val="00791692"/>
    <w:rsid w:val="00791713"/>
    <w:rsid w:val="007917AD"/>
    <w:rsid w:val="00791849"/>
    <w:rsid w:val="0079184E"/>
    <w:rsid w:val="00791ABE"/>
    <w:rsid w:val="00791B1C"/>
    <w:rsid w:val="00791C20"/>
    <w:rsid w:val="00791CA0"/>
    <w:rsid w:val="00791CF7"/>
    <w:rsid w:val="00791D3A"/>
    <w:rsid w:val="00791D9A"/>
    <w:rsid w:val="00791DD3"/>
    <w:rsid w:val="0079200D"/>
    <w:rsid w:val="0079203D"/>
    <w:rsid w:val="00792060"/>
    <w:rsid w:val="0079212F"/>
    <w:rsid w:val="007921B8"/>
    <w:rsid w:val="007921D2"/>
    <w:rsid w:val="0079221D"/>
    <w:rsid w:val="007924AD"/>
    <w:rsid w:val="00792553"/>
    <w:rsid w:val="00792770"/>
    <w:rsid w:val="007927E3"/>
    <w:rsid w:val="0079280D"/>
    <w:rsid w:val="007928BB"/>
    <w:rsid w:val="007928F5"/>
    <w:rsid w:val="007928FD"/>
    <w:rsid w:val="00792AD2"/>
    <w:rsid w:val="00792AD3"/>
    <w:rsid w:val="00792C05"/>
    <w:rsid w:val="00792D79"/>
    <w:rsid w:val="00792DEC"/>
    <w:rsid w:val="00792F1D"/>
    <w:rsid w:val="00792F5D"/>
    <w:rsid w:val="00792F7E"/>
    <w:rsid w:val="00792F93"/>
    <w:rsid w:val="00792FF9"/>
    <w:rsid w:val="0079313F"/>
    <w:rsid w:val="00793205"/>
    <w:rsid w:val="00793289"/>
    <w:rsid w:val="007932A4"/>
    <w:rsid w:val="007932B8"/>
    <w:rsid w:val="007933C7"/>
    <w:rsid w:val="007933CC"/>
    <w:rsid w:val="0079344F"/>
    <w:rsid w:val="007934E0"/>
    <w:rsid w:val="0079357F"/>
    <w:rsid w:val="007936F1"/>
    <w:rsid w:val="00793767"/>
    <w:rsid w:val="007937B7"/>
    <w:rsid w:val="007938B6"/>
    <w:rsid w:val="00793C71"/>
    <w:rsid w:val="00793E0B"/>
    <w:rsid w:val="00793E53"/>
    <w:rsid w:val="00793E71"/>
    <w:rsid w:val="00793F03"/>
    <w:rsid w:val="00793F65"/>
    <w:rsid w:val="00793FA1"/>
    <w:rsid w:val="00793FB6"/>
    <w:rsid w:val="007940FE"/>
    <w:rsid w:val="0079410F"/>
    <w:rsid w:val="00794152"/>
    <w:rsid w:val="00794159"/>
    <w:rsid w:val="007941F0"/>
    <w:rsid w:val="007941FC"/>
    <w:rsid w:val="00794207"/>
    <w:rsid w:val="00794314"/>
    <w:rsid w:val="00794564"/>
    <w:rsid w:val="007945F4"/>
    <w:rsid w:val="00794717"/>
    <w:rsid w:val="00794B85"/>
    <w:rsid w:val="00794B95"/>
    <w:rsid w:val="00794D1D"/>
    <w:rsid w:val="00794DBA"/>
    <w:rsid w:val="00794E7F"/>
    <w:rsid w:val="00794E9D"/>
    <w:rsid w:val="00794F43"/>
    <w:rsid w:val="00794F69"/>
    <w:rsid w:val="00794FB1"/>
    <w:rsid w:val="007950FC"/>
    <w:rsid w:val="00795164"/>
    <w:rsid w:val="00795245"/>
    <w:rsid w:val="0079547C"/>
    <w:rsid w:val="007954EF"/>
    <w:rsid w:val="0079553C"/>
    <w:rsid w:val="007955C9"/>
    <w:rsid w:val="007955D7"/>
    <w:rsid w:val="007956AB"/>
    <w:rsid w:val="007956D8"/>
    <w:rsid w:val="007956E3"/>
    <w:rsid w:val="00795777"/>
    <w:rsid w:val="0079577E"/>
    <w:rsid w:val="007957E2"/>
    <w:rsid w:val="00795843"/>
    <w:rsid w:val="00795873"/>
    <w:rsid w:val="0079588E"/>
    <w:rsid w:val="00795897"/>
    <w:rsid w:val="00795DD1"/>
    <w:rsid w:val="0079606F"/>
    <w:rsid w:val="00796122"/>
    <w:rsid w:val="00796195"/>
    <w:rsid w:val="007962E8"/>
    <w:rsid w:val="007962F3"/>
    <w:rsid w:val="0079637E"/>
    <w:rsid w:val="007963B4"/>
    <w:rsid w:val="00796500"/>
    <w:rsid w:val="007966B1"/>
    <w:rsid w:val="0079682D"/>
    <w:rsid w:val="00796966"/>
    <w:rsid w:val="00796B83"/>
    <w:rsid w:val="00796BC8"/>
    <w:rsid w:val="00796D1F"/>
    <w:rsid w:val="00796D46"/>
    <w:rsid w:val="00796ED5"/>
    <w:rsid w:val="00796EF9"/>
    <w:rsid w:val="00797013"/>
    <w:rsid w:val="00797041"/>
    <w:rsid w:val="00797261"/>
    <w:rsid w:val="007972B0"/>
    <w:rsid w:val="007972F5"/>
    <w:rsid w:val="007974F1"/>
    <w:rsid w:val="00797612"/>
    <w:rsid w:val="0079768D"/>
    <w:rsid w:val="007977D0"/>
    <w:rsid w:val="0079788C"/>
    <w:rsid w:val="007978C8"/>
    <w:rsid w:val="00797966"/>
    <w:rsid w:val="00797A35"/>
    <w:rsid w:val="00797A53"/>
    <w:rsid w:val="00797AB0"/>
    <w:rsid w:val="00797C71"/>
    <w:rsid w:val="00797C7E"/>
    <w:rsid w:val="00797CCF"/>
    <w:rsid w:val="00797CF1"/>
    <w:rsid w:val="00797D89"/>
    <w:rsid w:val="00797DD8"/>
    <w:rsid w:val="00797E31"/>
    <w:rsid w:val="00797E46"/>
    <w:rsid w:val="00797E49"/>
    <w:rsid w:val="00797F23"/>
    <w:rsid w:val="00797FE6"/>
    <w:rsid w:val="00797FEB"/>
    <w:rsid w:val="0079F2AE"/>
    <w:rsid w:val="007A0137"/>
    <w:rsid w:val="007A0151"/>
    <w:rsid w:val="007A0155"/>
    <w:rsid w:val="007A018C"/>
    <w:rsid w:val="007A01C2"/>
    <w:rsid w:val="007A01E2"/>
    <w:rsid w:val="007A026E"/>
    <w:rsid w:val="007A0282"/>
    <w:rsid w:val="007A0352"/>
    <w:rsid w:val="007A035F"/>
    <w:rsid w:val="007A0392"/>
    <w:rsid w:val="007A03E2"/>
    <w:rsid w:val="007A04F1"/>
    <w:rsid w:val="007A054A"/>
    <w:rsid w:val="007A056B"/>
    <w:rsid w:val="007A065F"/>
    <w:rsid w:val="007A08DE"/>
    <w:rsid w:val="007A0CCB"/>
    <w:rsid w:val="007A0CED"/>
    <w:rsid w:val="007A0E47"/>
    <w:rsid w:val="007A0FDB"/>
    <w:rsid w:val="007A1156"/>
    <w:rsid w:val="007A1161"/>
    <w:rsid w:val="007A1181"/>
    <w:rsid w:val="007A15B3"/>
    <w:rsid w:val="007A1688"/>
    <w:rsid w:val="007A17A7"/>
    <w:rsid w:val="007A192D"/>
    <w:rsid w:val="007A19A4"/>
    <w:rsid w:val="007A19E8"/>
    <w:rsid w:val="007A1A24"/>
    <w:rsid w:val="007A1CAA"/>
    <w:rsid w:val="007A1CC9"/>
    <w:rsid w:val="007A1D16"/>
    <w:rsid w:val="007A1DEC"/>
    <w:rsid w:val="007A2046"/>
    <w:rsid w:val="007A2079"/>
    <w:rsid w:val="007A2224"/>
    <w:rsid w:val="007A2287"/>
    <w:rsid w:val="007A22EE"/>
    <w:rsid w:val="007A2504"/>
    <w:rsid w:val="007A254D"/>
    <w:rsid w:val="007A2619"/>
    <w:rsid w:val="007A27BB"/>
    <w:rsid w:val="007A27C7"/>
    <w:rsid w:val="007A29D1"/>
    <w:rsid w:val="007A2B4B"/>
    <w:rsid w:val="007A2B80"/>
    <w:rsid w:val="007A2C73"/>
    <w:rsid w:val="007A2E3C"/>
    <w:rsid w:val="007A2E7A"/>
    <w:rsid w:val="007A2EA5"/>
    <w:rsid w:val="007A2EB1"/>
    <w:rsid w:val="007A2FD4"/>
    <w:rsid w:val="007A3005"/>
    <w:rsid w:val="007A305F"/>
    <w:rsid w:val="007A30A6"/>
    <w:rsid w:val="007A30AC"/>
    <w:rsid w:val="007A3293"/>
    <w:rsid w:val="007A3315"/>
    <w:rsid w:val="007A345E"/>
    <w:rsid w:val="007A34F3"/>
    <w:rsid w:val="007A3578"/>
    <w:rsid w:val="007A360E"/>
    <w:rsid w:val="007A3622"/>
    <w:rsid w:val="007A36EC"/>
    <w:rsid w:val="007A383E"/>
    <w:rsid w:val="007A396E"/>
    <w:rsid w:val="007A3A40"/>
    <w:rsid w:val="007A3B64"/>
    <w:rsid w:val="007A3D23"/>
    <w:rsid w:val="007A3D95"/>
    <w:rsid w:val="007A3DC6"/>
    <w:rsid w:val="007A3DEC"/>
    <w:rsid w:val="007A3F23"/>
    <w:rsid w:val="007A3F3E"/>
    <w:rsid w:val="007A3F50"/>
    <w:rsid w:val="007A3F60"/>
    <w:rsid w:val="007A4291"/>
    <w:rsid w:val="007A42CA"/>
    <w:rsid w:val="007A4397"/>
    <w:rsid w:val="007A4408"/>
    <w:rsid w:val="007A449D"/>
    <w:rsid w:val="007A44BA"/>
    <w:rsid w:val="007A461F"/>
    <w:rsid w:val="007A464F"/>
    <w:rsid w:val="007A465E"/>
    <w:rsid w:val="007A472A"/>
    <w:rsid w:val="007A47CE"/>
    <w:rsid w:val="007A4BBD"/>
    <w:rsid w:val="007A4D69"/>
    <w:rsid w:val="007A4D92"/>
    <w:rsid w:val="007A4DE5"/>
    <w:rsid w:val="007A4E42"/>
    <w:rsid w:val="007A4E47"/>
    <w:rsid w:val="007A4E4E"/>
    <w:rsid w:val="007A4E66"/>
    <w:rsid w:val="007A4FA5"/>
    <w:rsid w:val="007A4FDE"/>
    <w:rsid w:val="007A503F"/>
    <w:rsid w:val="007A51E3"/>
    <w:rsid w:val="007A52B9"/>
    <w:rsid w:val="007A5332"/>
    <w:rsid w:val="007A536D"/>
    <w:rsid w:val="007A53E0"/>
    <w:rsid w:val="007A5493"/>
    <w:rsid w:val="007A5568"/>
    <w:rsid w:val="007A5663"/>
    <w:rsid w:val="007A57D6"/>
    <w:rsid w:val="007A588C"/>
    <w:rsid w:val="007A58CC"/>
    <w:rsid w:val="007A59EF"/>
    <w:rsid w:val="007A5AF6"/>
    <w:rsid w:val="007A5B4E"/>
    <w:rsid w:val="007A5B70"/>
    <w:rsid w:val="007A5CCB"/>
    <w:rsid w:val="007A5E07"/>
    <w:rsid w:val="007A608F"/>
    <w:rsid w:val="007A61AD"/>
    <w:rsid w:val="007A6350"/>
    <w:rsid w:val="007A6384"/>
    <w:rsid w:val="007A63D6"/>
    <w:rsid w:val="007A64E6"/>
    <w:rsid w:val="007A654D"/>
    <w:rsid w:val="007A65DF"/>
    <w:rsid w:val="007A6838"/>
    <w:rsid w:val="007A6906"/>
    <w:rsid w:val="007A69CF"/>
    <w:rsid w:val="007A6AB9"/>
    <w:rsid w:val="007A6C3B"/>
    <w:rsid w:val="007A6D22"/>
    <w:rsid w:val="007A6F96"/>
    <w:rsid w:val="007A7235"/>
    <w:rsid w:val="007A7320"/>
    <w:rsid w:val="007A745E"/>
    <w:rsid w:val="007A7481"/>
    <w:rsid w:val="007A74F5"/>
    <w:rsid w:val="007A75F4"/>
    <w:rsid w:val="007A76BC"/>
    <w:rsid w:val="007A77A4"/>
    <w:rsid w:val="007A785E"/>
    <w:rsid w:val="007A796B"/>
    <w:rsid w:val="007A79A6"/>
    <w:rsid w:val="007A7B3B"/>
    <w:rsid w:val="007A7B3C"/>
    <w:rsid w:val="007A7BB5"/>
    <w:rsid w:val="007A7C43"/>
    <w:rsid w:val="007A7CF6"/>
    <w:rsid w:val="007A7DAD"/>
    <w:rsid w:val="007A7DE5"/>
    <w:rsid w:val="007A7E73"/>
    <w:rsid w:val="007A7E95"/>
    <w:rsid w:val="007B000F"/>
    <w:rsid w:val="007B00AF"/>
    <w:rsid w:val="007B01B4"/>
    <w:rsid w:val="007B0262"/>
    <w:rsid w:val="007B0274"/>
    <w:rsid w:val="007B034A"/>
    <w:rsid w:val="007B03AB"/>
    <w:rsid w:val="007B04D9"/>
    <w:rsid w:val="007B050C"/>
    <w:rsid w:val="007B0561"/>
    <w:rsid w:val="007B060C"/>
    <w:rsid w:val="007B06F3"/>
    <w:rsid w:val="007B0707"/>
    <w:rsid w:val="007B08D1"/>
    <w:rsid w:val="007B09AC"/>
    <w:rsid w:val="007B0AB3"/>
    <w:rsid w:val="007B0B72"/>
    <w:rsid w:val="007B0BC2"/>
    <w:rsid w:val="007B0C05"/>
    <w:rsid w:val="007B0CAA"/>
    <w:rsid w:val="007B0CFC"/>
    <w:rsid w:val="007B0D25"/>
    <w:rsid w:val="007B0E1F"/>
    <w:rsid w:val="007B0EC7"/>
    <w:rsid w:val="007B0F06"/>
    <w:rsid w:val="007B10AC"/>
    <w:rsid w:val="007B12C6"/>
    <w:rsid w:val="007B14C8"/>
    <w:rsid w:val="007B1682"/>
    <w:rsid w:val="007B1786"/>
    <w:rsid w:val="007B17E7"/>
    <w:rsid w:val="007B18CB"/>
    <w:rsid w:val="007B18D9"/>
    <w:rsid w:val="007B1B6D"/>
    <w:rsid w:val="007B1BCE"/>
    <w:rsid w:val="007B1BE4"/>
    <w:rsid w:val="007B1CEC"/>
    <w:rsid w:val="007B1D91"/>
    <w:rsid w:val="007B1DDE"/>
    <w:rsid w:val="007B1E3A"/>
    <w:rsid w:val="007B211B"/>
    <w:rsid w:val="007B21B6"/>
    <w:rsid w:val="007B2201"/>
    <w:rsid w:val="007B22D9"/>
    <w:rsid w:val="007B22E8"/>
    <w:rsid w:val="007B2380"/>
    <w:rsid w:val="007B23D9"/>
    <w:rsid w:val="007B243A"/>
    <w:rsid w:val="007B24AC"/>
    <w:rsid w:val="007B24E6"/>
    <w:rsid w:val="007B2550"/>
    <w:rsid w:val="007B25FB"/>
    <w:rsid w:val="007B2699"/>
    <w:rsid w:val="007B27C0"/>
    <w:rsid w:val="007B2987"/>
    <w:rsid w:val="007B2C39"/>
    <w:rsid w:val="007B2C5E"/>
    <w:rsid w:val="007B2CF0"/>
    <w:rsid w:val="007B2D4B"/>
    <w:rsid w:val="007B2EF9"/>
    <w:rsid w:val="007B2F42"/>
    <w:rsid w:val="007B303C"/>
    <w:rsid w:val="007B305E"/>
    <w:rsid w:val="007B30A9"/>
    <w:rsid w:val="007B312A"/>
    <w:rsid w:val="007B32DC"/>
    <w:rsid w:val="007B348D"/>
    <w:rsid w:val="007B3547"/>
    <w:rsid w:val="007B3552"/>
    <w:rsid w:val="007B35C2"/>
    <w:rsid w:val="007B3612"/>
    <w:rsid w:val="007B368D"/>
    <w:rsid w:val="007B3714"/>
    <w:rsid w:val="007B3799"/>
    <w:rsid w:val="007B37AA"/>
    <w:rsid w:val="007B38AD"/>
    <w:rsid w:val="007B394B"/>
    <w:rsid w:val="007B3B02"/>
    <w:rsid w:val="007B3B11"/>
    <w:rsid w:val="007B3BBA"/>
    <w:rsid w:val="007B3DDE"/>
    <w:rsid w:val="007B3F67"/>
    <w:rsid w:val="007B3FBF"/>
    <w:rsid w:val="007B4024"/>
    <w:rsid w:val="007B4092"/>
    <w:rsid w:val="007B4095"/>
    <w:rsid w:val="007B4189"/>
    <w:rsid w:val="007B41AF"/>
    <w:rsid w:val="007B41DF"/>
    <w:rsid w:val="007B4357"/>
    <w:rsid w:val="007B4579"/>
    <w:rsid w:val="007B45E9"/>
    <w:rsid w:val="007B4637"/>
    <w:rsid w:val="007B46B7"/>
    <w:rsid w:val="007B4714"/>
    <w:rsid w:val="007B47E0"/>
    <w:rsid w:val="007B48DF"/>
    <w:rsid w:val="007B49FA"/>
    <w:rsid w:val="007B4B7A"/>
    <w:rsid w:val="007B4C16"/>
    <w:rsid w:val="007B4D23"/>
    <w:rsid w:val="007B4D6C"/>
    <w:rsid w:val="007B4E16"/>
    <w:rsid w:val="007B4E6B"/>
    <w:rsid w:val="007B4E8E"/>
    <w:rsid w:val="007B4FEE"/>
    <w:rsid w:val="007B5005"/>
    <w:rsid w:val="007B527E"/>
    <w:rsid w:val="007B53BA"/>
    <w:rsid w:val="007B53C7"/>
    <w:rsid w:val="007B540C"/>
    <w:rsid w:val="007B5429"/>
    <w:rsid w:val="007B5514"/>
    <w:rsid w:val="007B56E2"/>
    <w:rsid w:val="007B56F5"/>
    <w:rsid w:val="007B5C14"/>
    <w:rsid w:val="007B5C23"/>
    <w:rsid w:val="007B5D46"/>
    <w:rsid w:val="007B5D73"/>
    <w:rsid w:val="007B5E5B"/>
    <w:rsid w:val="007B5E6F"/>
    <w:rsid w:val="007B5E78"/>
    <w:rsid w:val="007B5F64"/>
    <w:rsid w:val="007B6056"/>
    <w:rsid w:val="007B60D8"/>
    <w:rsid w:val="007B6200"/>
    <w:rsid w:val="007B62F7"/>
    <w:rsid w:val="007B62F9"/>
    <w:rsid w:val="007B63CE"/>
    <w:rsid w:val="007B647E"/>
    <w:rsid w:val="007B65A2"/>
    <w:rsid w:val="007B662A"/>
    <w:rsid w:val="007B6691"/>
    <w:rsid w:val="007B6750"/>
    <w:rsid w:val="007B67BC"/>
    <w:rsid w:val="007B68B9"/>
    <w:rsid w:val="007B68FA"/>
    <w:rsid w:val="007B6954"/>
    <w:rsid w:val="007B69BE"/>
    <w:rsid w:val="007B69D1"/>
    <w:rsid w:val="007B69D6"/>
    <w:rsid w:val="007B69F4"/>
    <w:rsid w:val="007B6C29"/>
    <w:rsid w:val="007B6C40"/>
    <w:rsid w:val="007B6EA6"/>
    <w:rsid w:val="007B7021"/>
    <w:rsid w:val="007B7154"/>
    <w:rsid w:val="007B720D"/>
    <w:rsid w:val="007B732D"/>
    <w:rsid w:val="007B7336"/>
    <w:rsid w:val="007B739D"/>
    <w:rsid w:val="007B75B3"/>
    <w:rsid w:val="007B763B"/>
    <w:rsid w:val="007B76F9"/>
    <w:rsid w:val="007B7821"/>
    <w:rsid w:val="007B78B8"/>
    <w:rsid w:val="007B7927"/>
    <w:rsid w:val="007B792C"/>
    <w:rsid w:val="007B795B"/>
    <w:rsid w:val="007B7971"/>
    <w:rsid w:val="007B79C4"/>
    <w:rsid w:val="007B7A8D"/>
    <w:rsid w:val="007B7A9A"/>
    <w:rsid w:val="007B7B77"/>
    <w:rsid w:val="007B7C09"/>
    <w:rsid w:val="007B7C89"/>
    <w:rsid w:val="007B7CB8"/>
    <w:rsid w:val="007B7D45"/>
    <w:rsid w:val="007B7E48"/>
    <w:rsid w:val="007B7EB4"/>
    <w:rsid w:val="007B7FC1"/>
    <w:rsid w:val="007C0028"/>
    <w:rsid w:val="007C0045"/>
    <w:rsid w:val="007C005E"/>
    <w:rsid w:val="007C0115"/>
    <w:rsid w:val="007C026D"/>
    <w:rsid w:val="007C027C"/>
    <w:rsid w:val="007C0295"/>
    <w:rsid w:val="007C0416"/>
    <w:rsid w:val="007C0438"/>
    <w:rsid w:val="007C04D4"/>
    <w:rsid w:val="007C06CA"/>
    <w:rsid w:val="007C08AF"/>
    <w:rsid w:val="007C095A"/>
    <w:rsid w:val="007C09B0"/>
    <w:rsid w:val="007C0A69"/>
    <w:rsid w:val="007C0AB2"/>
    <w:rsid w:val="007C0B43"/>
    <w:rsid w:val="007C0B4F"/>
    <w:rsid w:val="007C0B83"/>
    <w:rsid w:val="007C0BC2"/>
    <w:rsid w:val="007C0D68"/>
    <w:rsid w:val="007C0ED2"/>
    <w:rsid w:val="007C0F38"/>
    <w:rsid w:val="007C0F8D"/>
    <w:rsid w:val="007C111A"/>
    <w:rsid w:val="007C1183"/>
    <w:rsid w:val="007C1279"/>
    <w:rsid w:val="007C137F"/>
    <w:rsid w:val="007C149A"/>
    <w:rsid w:val="007C163F"/>
    <w:rsid w:val="007C1810"/>
    <w:rsid w:val="007C1829"/>
    <w:rsid w:val="007C184D"/>
    <w:rsid w:val="007C1883"/>
    <w:rsid w:val="007C1890"/>
    <w:rsid w:val="007C1951"/>
    <w:rsid w:val="007C1962"/>
    <w:rsid w:val="007C1974"/>
    <w:rsid w:val="007C197A"/>
    <w:rsid w:val="007C19D5"/>
    <w:rsid w:val="007C1A09"/>
    <w:rsid w:val="007C1A4A"/>
    <w:rsid w:val="007C1A6A"/>
    <w:rsid w:val="007C1A71"/>
    <w:rsid w:val="007C1C80"/>
    <w:rsid w:val="007C1CBE"/>
    <w:rsid w:val="007C1D6D"/>
    <w:rsid w:val="007C1E44"/>
    <w:rsid w:val="007C1E76"/>
    <w:rsid w:val="007C1EAA"/>
    <w:rsid w:val="007C1F87"/>
    <w:rsid w:val="007C2205"/>
    <w:rsid w:val="007C247C"/>
    <w:rsid w:val="007C2617"/>
    <w:rsid w:val="007C2668"/>
    <w:rsid w:val="007C2764"/>
    <w:rsid w:val="007C2772"/>
    <w:rsid w:val="007C2832"/>
    <w:rsid w:val="007C2893"/>
    <w:rsid w:val="007C290B"/>
    <w:rsid w:val="007C293A"/>
    <w:rsid w:val="007C2949"/>
    <w:rsid w:val="007C29B8"/>
    <w:rsid w:val="007C2ABB"/>
    <w:rsid w:val="007C2AC0"/>
    <w:rsid w:val="007C2B07"/>
    <w:rsid w:val="007C2CAE"/>
    <w:rsid w:val="007C2D14"/>
    <w:rsid w:val="007C2D48"/>
    <w:rsid w:val="007C2D68"/>
    <w:rsid w:val="007C2E06"/>
    <w:rsid w:val="007C2E9C"/>
    <w:rsid w:val="007C2ECE"/>
    <w:rsid w:val="007C3114"/>
    <w:rsid w:val="007C31B4"/>
    <w:rsid w:val="007C31EA"/>
    <w:rsid w:val="007C3279"/>
    <w:rsid w:val="007C3328"/>
    <w:rsid w:val="007C33B3"/>
    <w:rsid w:val="007C33F4"/>
    <w:rsid w:val="007C3433"/>
    <w:rsid w:val="007C34E1"/>
    <w:rsid w:val="007C367A"/>
    <w:rsid w:val="007C367D"/>
    <w:rsid w:val="007C3729"/>
    <w:rsid w:val="007C39E0"/>
    <w:rsid w:val="007C3D0F"/>
    <w:rsid w:val="007C3D43"/>
    <w:rsid w:val="007C3D76"/>
    <w:rsid w:val="007C401A"/>
    <w:rsid w:val="007C4068"/>
    <w:rsid w:val="007C4170"/>
    <w:rsid w:val="007C41E7"/>
    <w:rsid w:val="007C4220"/>
    <w:rsid w:val="007C426B"/>
    <w:rsid w:val="007C4298"/>
    <w:rsid w:val="007C44C9"/>
    <w:rsid w:val="007C44DD"/>
    <w:rsid w:val="007C466F"/>
    <w:rsid w:val="007C46DD"/>
    <w:rsid w:val="007C47F6"/>
    <w:rsid w:val="007C4815"/>
    <w:rsid w:val="007C49ED"/>
    <w:rsid w:val="007C4A0E"/>
    <w:rsid w:val="007C4AAD"/>
    <w:rsid w:val="007C4ABF"/>
    <w:rsid w:val="007C4B29"/>
    <w:rsid w:val="007C4B94"/>
    <w:rsid w:val="007C4B96"/>
    <w:rsid w:val="007C4D9C"/>
    <w:rsid w:val="007C4F2D"/>
    <w:rsid w:val="007C4FA2"/>
    <w:rsid w:val="007C4FF5"/>
    <w:rsid w:val="007C5116"/>
    <w:rsid w:val="007C518C"/>
    <w:rsid w:val="007C51DF"/>
    <w:rsid w:val="007C51E0"/>
    <w:rsid w:val="007C5386"/>
    <w:rsid w:val="007C54BB"/>
    <w:rsid w:val="007C55C6"/>
    <w:rsid w:val="007C562A"/>
    <w:rsid w:val="007C5697"/>
    <w:rsid w:val="007C57A2"/>
    <w:rsid w:val="007C58B9"/>
    <w:rsid w:val="007C5A7A"/>
    <w:rsid w:val="007C5ACA"/>
    <w:rsid w:val="007C5B1D"/>
    <w:rsid w:val="007C5BCC"/>
    <w:rsid w:val="007C5D27"/>
    <w:rsid w:val="007C6118"/>
    <w:rsid w:val="007C6121"/>
    <w:rsid w:val="007C6132"/>
    <w:rsid w:val="007C6246"/>
    <w:rsid w:val="007C624A"/>
    <w:rsid w:val="007C6316"/>
    <w:rsid w:val="007C6358"/>
    <w:rsid w:val="007C63D4"/>
    <w:rsid w:val="007C64FA"/>
    <w:rsid w:val="007C6586"/>
    <w:rsid w:val="007C65E1"/>
    <w:rsid w:val="007C6620"/>
    <w:rsid w:val="007C67C5"/>
    <w:rsid w:val="007C69DD"/>
    <w:rsid w:val="007C6A21"/>
    <w:rsid w:val="007C6AC4"/>
    <w:rsid w:val="007C6B77"/>
    <w:rsid w:val="007C6BA4"/>
    <w:rsid w:val="007C6CDB"/>
    <w:rsid w:val="007C6D03"/>
    <w:rsid w:val="007C6D35"/>
    <w:rsid w:val="007C6DF1"/>
    <w:rsid w:val="007C6EF7"/>
    <w:rsid w:val="007C7085"/>
    <w:rsid w:val="007C7111"/>
    <w:rsid w:val="007C71F5"/>
    <w:rsid w:val="007C7314"/>
    <w:rsid w:val="007C7348"/>
    <w:rsid w:val="007C73D9"/>
    <w:rsid w:val="007C73F5"/>
    <w:rsid w:val="007C74CE"/>
    <w:rsid w:val="007C7838"/>
    <w:rsid w:val="007C7AB4"/>
    <w:rsid w:val="007C7BD6"/>
    <w:rsid w:val="007C7CD5"/>
    <w:rsid w:val="007D005A"/>
    <w:rsid w:val="007D00D0"/>
    <w:rsid w:val="007D01A9"/>
    <w:rsid w:val="007D01CA"/>
    <w:rsid w:val="007D0273"/>
    <w:rsid w:val="007D0279"/>
    <w:rsid w:val="007D02EF"/>
    <w:rsid w:val="007D0399"/>
    <w:rsid w:val="007D03B2"/>
    <w:rsid w:val="007D04B7"/>
    <w:rsid w:val="007D04C6"/>
    <w:rsid w:val="007D0615"/>
    <w:rsid w:val="007D065F"/>
    <w:rsid w:val="007D0799"/>
    <w:rsid w:val="007D083C"/>
    <w:rsid w:val="007D0846"/>
    <w:rsid w:val="007D0885"/>
    <w:rsid w:val="007D08A7"/>
    <w:rsid w:val="007D08E8"/>
    <w:rsid w:val="007D091E"/>
    <w:rsid w:val="007D092B"/>
    <w:rsid w:val="007D095A"/>
    <w:rsid w:val="007D09D2"/>
    <w:rsid w:val="007D0BDB"/>
    <w:rsid w:val="007D0C36"/>
    <w:rsid w:val="007D0C55"/>
    <w:rsid w:val="007D0D04"/>
    <w:rsid w:val="007D0D3F"/>
    <w:rsid w:val="007D0DEC"/>
    <w:rsid w:val="007D0E44"/>
    <w:rsid w:val="007D0E7D"/>
    <w:rsid w:val="007D0E95"/>
    <w:rsid w:val="007D0F5C"/>
    <w:rsid w:val="007D0FCA"/>
    <w:rsid w:val="007D1016"/>
    <w:rsid w:val="007D119C"/>
    <w:rsid w:val="007D123E"/>
    <w:rsid w:val="007D1309"/>
    <w:rsid w:val="007D1345"/>
    <w:rsid w:val="007D177C"/>
    <w:rsid w:val="007D1816"/>
    <w:rsid w:val="007D1859"/>
    <w:rsid w:val="007D18BC"/>
    <w:rsid w:val="007D191F"/>
    <w:rsid w:val="007D1941"/>
    <w:rsid w:val="007D1B01"/>
    <w:rsid w:val="007D1BC1"/>
    <w:rsid w:val="007D1BE9"/>
    <w:rsid w:val="007D1D72"/>
    <w:rsid w:val="007D1DA0"/>
    <w:rsid w:val="007D1E71"/>
    <w:rsid w:val="007D1EA1"/>
    <w:rsid w:val="007D1F69"/>
    <w:rsid w:val="007D1FD0"/>
    <w:rsid w:val="007D1FEA"/>
    <w:rsid w:val="007D2057"/>
    <w:rsid w:val="007D20B2"/>
    <w:rsid w:val="007D20B6"/>
    <w:rsid w:val="007D21B6"/>
    <w:rsid w:val="007D21C9"/>
    <w:rsid w:val="007D2222"/>
    <w:rsid w:val="007D2238"/>
    <w:rsid w:val="007D237C"/>
    <w:rsid w:val="007D2430"/>
    <w:rsid w:val="007D247D"/>
    <w:rsid w:val="007D250C"/>
    <w:rsid w:val="007D2538"/>
    <w:rsid w:val="007D26CE"/>
    <w:rsid w:val="007D26FE"/>
    <w:rsid w:val="007D27E0"/>
    <w:rsid w:val="007D2847"/>
    <w:rsid w:val="007D2931"/>
    <w:rsid w:val="007D2A20"/>
    <w:rsid w:val="007D2C10"/>
    <w:rsid w:val="007D2C84"/>
    <w:rsid w:val="007D2D70"/>
    <w:rsid w:val="007D2E56"/>
    <w:rsid w:val="007D2E9C"/>
    <w:rsid w:val="007D2F82"/>
    <w:rsid w:val="007D2F96"/>
    <w:rsid w:val="007D30B3"/>
    <w:rsid w:val="007D3112"/>
    <w:rsid w:val="007D325F"/>
    <w:rsid w:val="007D326E"/>
    <w:rsid w:val="007D32B5"/>
    <w:rsid w:val="007D32BD"/>
    <w:rsid w:val="007D3358"/>
    <w:rsid w:val="007D33CD"/>
    <w:rsid w:val="007D3433"/>
    <w:rsid w:val="007D3461"/>
    <w:rsid w:val="007D34F0"/>
    <w:rsid w:val="007D35C5"/>
    <w:rsid w:val="007D37BA"/>
    <w:rsid w:val="007D3824"/>
    <w:rsid w:val="007D387A"/>
    <w:rsid w:val="007D38D6"/>
    <w:rsid w:val="007D39E4"/>
    <w:rsid w:val="007D3ABD"/>
    <w:rsid w:val="007D3C93"/>
    <w:rsid w:val="007D3D5E"/>
    <w:rsid w:val="007D3E3F"/>
    <w:rsid w:val="007D3FC9"/>
    <w:rsid w:val="007D40D1"/>
    <w:rsid w:val="007D4183"/>
    <w:rsid w:val="007D4255"/>
    <w:rsid w:val="007D437B"/>
    <w:rsid w:val="007D43CC"/>
    <w:rsid w:val="007D43DE"/>
    <w:rsid w:val="007D4402"/>
    <w:rsid w:val="007D4529"/>
    <w:rsid w:val="007D45FC"/>
    <w:rsid w:val="007D475F"/>
    <w:rsid w:val="007D476E"/>
    <w:rsid w:val="007D4784"/>
    <w:rsid w:val="007D4807"/>
    <w:rsid w:val="007D4818"/>
    <w:rsid w:val="007D481D"/>
    <w:rsid w:val="007D48AF"/>
    <w:rsid w:val="007D493E"/>
    <w:rsid w:val="007D4B15"/>
    <w:rsid w:val="007D4C72"/>
    <w:rsid w:val="007D4C79"/>
    <w:rsid w:val="007D4C85"/>
    <w:rsid w:val="007D4CB1"/>
    <w:rsid w:val="007D4D17"/>
    <w:rsid w:val="007D4D4B"/>
    <w:rsid w:val="007D4DE3"/>
    <w:rsid w:val="007D4FE2"/>
    <w:rsid w:val="007D4FE6"/>
    <w:rsid w:val="007D4FF9"/>
    <w:rsid w:val="007D5048"/>
    <w:rsid w:val="007D5062"/>
    <w:rsid w:val="007D50B5"/>
    <w:rsid w:val="007D50DF"/>
    <w:rsid w:val="007D517F"/>
    <w:rsid w:val="007D521F"/>
    <w:rsid w:val="007D5469"/>
    <w:rsid w:val="007D5645"/>
    <w:rsid w:val="007D56E9"/>
    <w:rsid w:val="007D56FC"/>
    <w:rsid w:val="007D570F"/>
    <w:rsid w:val="007D572B"/>
    <w:rsid w:val="007D57C8"/>
    <w:rsid w:val="007D5A3C"/>
    <w:rsid w:val="007D5C53"/>
    <w:rsid w:val="007D5C80"/>
    <w:rsid w:val="007D5C87"/>
    <w:rsid w:val="007D5CF2"/>
    <w:rsid w:val="007D5D5B"/>
    <w:rsid w:val="007D5DE2"/>
    <w:rsid w:val="007D5E42"/>
    <w:rsid w:val="007D5F71"/>
    <w:rsid w:val="007D5F87"/>
    <w:rsid w:val="007D6143"/>
    <w:rsid w:val="007D61EB"/>
    <w:rsid w:val="007D622D"/>
    <w:rsid w:val="007D626E"/>
    <w:rsid w:val="007D62D6"/>
    <w:rsid w:val="007D63EA"/>
    <w:rsid w:val="007D6529"/>
    <w:rsid w:val="007D65B4"/>
    <w:rsid w:val="007D65F1"/>
    <w:rsid w:val="007D661F"/>
    <w:rsid w:val="007D6627"/>
    <w:rsid w:val="007D67D3"/>
    <w:rsid w:val="007D6927"/>
    <w:rsid w:val="007D6942"/>
    <w:rsid w:val="007D6983"/>
    <w:rsid w:val="007D6A15"/>
    <w:rsid w:val="007D6C41"/>
    <w:rsid w:val="007D6CBE"/>
    <w:rsid w:val="007D6CEF"/>
    <w:rsid w:val="007D6D99"/>
    <w:rsid w:val="007D6EE8"/>
    <w:rsid w:val="007D6FC8"/>
    <w:rsid w:val="007D71CB"/>
    <w:rsid w:val="007D71EB"/>
    <w:rsid w:val="007D730C"/>
    <w:rsid w:val="007D7420"/>
    <w:rsid w:val="007D7438"/>
    <w:rsid w:val="007D7455"/>
    <w:rsid w:val="007D7806"/>
    <w:rsid w:val="007D7879"/>
    <w:rsid w:val="007D7A51"/>
    <w:rsid w:val="007D7B48"/>
    <w:rsid w:val="007D7B49"/>
    <w:rsid w:val="007D7CE7"/>
    <w:rsid w:val="007D7D2B"/>
    <w:rsid w:val="007D7D5C"/>
    <w:rsid w:val="007D7DE1"/>
    <w:rsid w:val="007D7E03"/>
    <w:rsid w:val="007D7E06"/>
    <w:rsid w:val="007D7E14"/>
    <w:rsid w:val="007D7F0F"/>
    <w:rsid w:val="007D7FE1"/>
    <w:rsid w:val="007E0023"/>
    <w:rsid w:val="007E0096"/>
    <w:rsid w:val="007E00A9"/>
    <w:rsid w:val="007E0217"/>
    <w:rsid w:val="007E0244"/>
    <w:rsid w:val="007E0260"/>
    <w:rsid w:val="007E03D5"/>
    <w:rsid w:val="007E0408"/>
    <w:rsid w:val="007E04A2"/>
    <w:rsid w:val="007E0547"/>
    <w:rsid w:val="007E07D1"/>
    <w:rsid w:val="007E08A5"/>
    <w:rsid w:val="007E08F5"/>
    <w:rsid w:val="007E0A07"/>
    <w:rsid w:val="007E0B47"/>
    <w:rsid w:val="007E0C0B"/>
    <w:rsid w:val="007E0D2A"/>
    <w:rsid w:val="007E0D43"/>
    <w:rsid w:val="007E0D82"/>
    <w:rsid w:val="007E0DC0"/>
    <w:rsid w:val="007E0E11"/>
    <w:rsid w:val="007E0EC4"/>
    <w:rsid w:val="007E0ECE"/>
    <w:rsid w:val="007E0F4F"/>
    <w:rsid w:val="007E105C"/>
    <w:rsid w:val="007E1076"/>
    <w:rsid w:val="007E113A"/>
    <w:rsid w:val="007E11E1"/>
    <w:rsid w:val="007E137B"/>
    <w:rsid w:val="007E1393"/>
    <w:rsid w:val="007E1463"/>
    <w:rsid w:val="007E14B6"/>
    <w:rsid w:val="007E1697"/>
    <w:rsid w:val="007E173E"/>
    <w:rsid w:val="007E17BD"/>
    <w:rsid w:val="007E180D"/>
    <w:rsid w:val="007E18F4"/>
    <w:rsid w:val="007E19C5"/>
    <w:rsid w:val="007E19EA"/>
    <w:rsid w:val="007E19F1"/>
    <w:rsid w:val="007E1B5E"/>
    <w:rsid w:val="007E1BDD"/>
    <w:rsid w:val="007E1D73"/>
    <w:rsid w:val="007E1F7A"/>
    <w:rsid w:val="007E22BF"/>
    <w:rsid w:val="007E22FE"/>
    <w:rsid w:val="007E232A"/>
    <w:rsid w:val="007E23A5"/>
    <w:rsid w:val="007E24B8"/>
    <w:rsid w:val="007E2871"/>
    <w:rsid w:val="007E294A"/>
    <w:rsid w:val="007E29F7"/>
    <w:rsid w:val="007E2D33"/>
    <w:rsid w:val="007E2F47"/>
    <w:rsid w:val="007E3078"/>
    <w:rsid w:val="007E307D"/>
    <w:rsid w:val="007E309D"/>
    <w:rsid w:val="007E30B6"/>
    <w:rsid w:val="007E30C8"/>
    <w:rsid w:val="007E3126"/>
    <w:rsid w:val="007E3291"/>
    <w:rsid w:val="007E3380"/>
    <w:rsid w:val="007E33ED"/>
    <w:rsid w:val="007E34EB"/>
    <w:rsid w:val="007E35D8"/>
    <w:rsid w:val="007E36BF"/>
    <w:rsid w:val="007E387C"/>
    <w:rsid w:val="007E3B05"/>
    <w:rsid w:val="007E3B06"/>
    <w:rsid w:val="007E3BB7"/>
    <w:rsid w:val="007E3C46"/>
    <w:rsid w:val="007E3DE5"/>
    <w:rsid w:val="007E3FDA"/>
    <w:rsid w:val="007E4174"/>
    <w:rsid w:val="007E4294"/>
    <w:rsid w:val="007E42CA"/>
    <w:rsid w:val="007E42DF"/>
    <w:rsid w:val="007E432D"/>
    <w:rsid w:val="007E43A5"/>
    <w:rsid w:val="007E448A"/>
    <w:rsid w:val="007E448F"/>
    <w:rsid w:val="007E4755"/>
    <w:rsid w:val="007E4A0B"/>
    <w:rsid w:val="007E4A74"/>
    <w:rsid w:val="007E4C44"/>
    <w:rsid w:val="007E4D3F"/>
    <w:rsid w:val="007E4F96"/>
    <w:rsid w:val="007E4FC0"/>
    <w:rsid w:val="007E509A"/>
    <w:rsid w:val="007E5158"/>
    <w:rsid w:val="007E52AB"/>
    <w:rsid w:val="007E5384"/>
    <w:rsid w:val="007E53FC"/>
    <w:rsid w:val="007E546F"/>
    <w:rsid w:val="007E548D"/>
    <w:rsid w:val="007E5495"/>
    <w:rsid w:val="007E55FF"/>
    <w:rsid w:val="007E560E"/>
    <w:rsid w:val="007E573A"/>
    <w:rsid w:val="007E57F6"/>
    <w:rsid w:val="007E580D"/>
    <w:rsid w:val="007E5914"/>
    <w:rsid w:val="007E594B"/>
    <w:rsid w:val="007E5A24"/>
    <w:rsid w:val="007E5A9B"/>
    <w:rsid w:val="007E5CB7"/>
    <w:rsid w:val="007E5CD5"/>
    <w:rsid w:val="007E5D4C"/>
    <w:rsid w:val="007E5DA0"/>
    <w:rsid w:val="007E5DCB"/>
    <w:rsid w:val="007E5E56"/>
    <w:rsid w:val="007E5E7A"/>
    <w:rsid w:val="007E6035"/>
    <w:rsid w:val="007E61E8"/>
    <w:rsid w:val="007E62C1"/>
    <w:rsid w:val="007E630D"/>
    <w:rsid w:val="007E63C1"/>
    <w:rsid w:val="007E644B"/>
    <w:rsid w:val="007E64BD"/>
    <w:rsid w:val="007E6680"/>
    <w:rsid w:val="007E66A7"/>
    <w:rsid w:val="007E66FF"/>
    <w:rsid w:val="007E672A"/>
    <w:rsid w:val="007E672E"/>
    <w:rsid w:val="007E6748"/>
    <w:rsid w:val="007E6801"/>
    <w:rsid w:val="007E6929"/>
    <w:rsid w:val="007E6974"/>
    <w:rsid w:val="007E698B"/>
    <w:rsid w:val="007E6A45"/>
    <w:rsid w:val="007E6BD5"/>
    <w:rsid w:val="007E6BDA"/>
    <w:rsid w:val="007E6C44"/>
    <w:rsid w:val="007E6C8A"/>
    <w:rsid w:val="007E6D1A"/>
    <w:rsid w:val="007E6D47"/>
    <w:rsid w:val="007E6D99"/>
    <w:rsid w:val="007E6DC1"/>
    <w:rsid w:val="007E6DD6"/>
    <w:rsid w:val="007E6E3B"/>
    <w:rsid w:val="007E6EED"/>
    <w:rsid w:val="007E7029"/>
    <w:rsid w:val="007E7146"/>
    <w:rsid w:val="007E718A"/>
    <w:rsid w:val="007E71A8"/>
    <w:rsid w:val="007E7232"/>
    <w:rsid w:val="007E735A"/>
    <w:rsid w:val="007E7456"/>
    <w:rsid w:val="007E75BA"/>
    <w:rsid w:val="007E75BB"/>
    <w:rsid w:val="007E78AA"/>
    <w:rsid w:val="007E7912"/>
    <w:rsid w:val="007E798A"/>
    <w:rsid w:val="007E7ABA"/>
    <w:rsid w:val="007E7AE6"/>
    <w:rsid w:val="007E7BA8"/>
    <w:rsid w:val="007E7BE5"/>
    <w:rsid w:val="007E7D12"/>
    <w:rsid w:val="007E7D37"/>
    <w:rsid w:val="007E7D55"/>
    <w:rsid w:val="007E7FD7"/>
    <w:rsid w:val="007F0057"/>
    <w:rsid w:val="007F007E"/>
    <w:rsid w:val="007F00B5"/>
    <w:rsid w:val="007F00DD"/>
    <w:rsid w:val="007F0203"/>
    <w:rsid w:val="007F029F"/>
    <w:rsid w:val="007F02EA"/>
    <w:rsid w:val="007F03A2"/>
    <w:rsid w:val="007F0417"/>
    <w:rsid w:val="007F0551"/>
    <w:rsid w:val="007F0631"/>
    <w:rsid w:val="007F07CA"/>
    <w:rsid w:val="007F0818"/>
    <w:rsid w:val="007F08CD"/>
    <w:rsid w:val="007F0B17"/>
    <w:rsid w:val="007F0BD8"/>
    <w:rsid w:val="007F0CB0"/>
    <w:rsid w:val="007F0D70"/>
    <w:rsid w:val="007F0DB9"/>
    <w:rsid w:val="007F0E71"/>
    <w:rsid w:val="007F0FA9"/>
    <w:rsid w:val="007F0FDC"/>
    <w:rsid w:val="007F0FE7"/>
    <w:rsid w:val="007F1015"/>
    <w:rsid w:val="007F1062"/>
    <w:rsid w:val="007F106E"/>
    <w:rsid w:val="007F10C8"/>
    <w:rsid w:val="007F10FA"/>
    <w:rsid w:val="007F1130"/>
    <w:rsid w:val="007F117C"/>
    <w:rsid w:val="007F11D0"/>
    <w:rsid w:val="007F11E1"/>
    <w:rsid w:val="007F12A8"/>
    <w:rsid w:val="007F1435"/>
    <w:rsid w:val="007F1442"/>
    <w:rsid w:val="007F1473"/>
    <w:rsid w:val="007F14B3"/>
    <w:rsid w:val="007F15D8"/>
    <w:rsid w:val="007F1627"/>
    <w:rsid w:val="007F1831"/>
    <w:rsid w:val="007F18A4"/>
    <w:rsid w:val="007F193D"/>
    <w:rsid w:val="007F19D3"/>
    <w:rsid w:val="007F1AA4"/>
    <w:rsid w:val="007F1BD2"/>
    <w:rsid w:val="007F1D01"/>
    <w:rsid w:val="007F1DB7"/>
    <w:rsid w:val="007F1DDA"/>
    <w:rsid w:val="007F1F3E"/>
    <w:rsid w:val="007F2037"/>
    <w:rsid w:val="007F20D5"/>
    <w:rsid w:val="007F2257"/>
    <w:rsid w:val="007F227A"/>
    <w:rsid w:val="007F2447"/>
    <w:rsid w:val="007F269C"/>
    <w:rsid w:val="007F26BF"/>
    <w:rsid w:val="007F26EE"/>
    <w:rsid w:val="007F27A1"/>
    <w:rsid w:val="007F27B2"/>
    <w:rsid w:val="007F27F9"/>
    <w:rsid w:val="007F289A"/>
    <w:rsid w:val="007F2987"/>
    <w:rsid w:val="007F2C59"/>
    <w:rsid w:val="007F2D2A"/>
    <w:rsid w:val="007F2D66"/>
    <w:rsid w:val="007F2DBF"/>
    <w:rsid w:val="007F2F18"/>
    <w:rsid w:val="007F2F32"/>
    <w:rsid w:val="007F2FB2"/>
    <w:rsid w:val="007F2FDD"/>
    <w:rsid w:val="007F3004"/>
    <w:rsid w:val="007F302B"/>
    <w:rsid w:val="007F317D"/>
    <w:rsid w:val="007F31A4"/>
    <w:rsid w:val="007F3208"/>
    <w:rsid w:val="007F323C"/>
    <w:rsid w:val="007F32B4"/>
    <w:rsid w:val="007F348A"/>
    <w:rsid w:val="007F36E6"/>
    <w:rsid w:val="007F36F1"/>
    <w:rsid w:val="007F37DA"/>
    <w:rsid w:val="007F3930"/>
    <w:rsid w:val="007F3999"/>
    <w:rsid w:val="007F3A2C"/>
    <w:rsid w:val="007F3A31"/>
    <w:rsid w:val="007F3A61"/>
    <w:rsid w:val="007F3AD0"/>
    <w:rsid w:val="007F3B0C"/>
    <w:rsid w:val="007F3EFD"/>
    <w:rsid w:val="007F3FC0"/>
    <w:rsid w:val="007F400B"/>
    <w:rsid w:val="007F40FB"/>
    <w:rsid w:val="007F4147"/>
    <w:rsid w:val="007F421B"/>
    <w:rsid w:val="007F421D"/>
    <w:rsid w:val="007F425E"/>
    <w:rsid w:val="007F42F1"/>
    <w:rsid w:val="007F4350"/>
    <w:rsid w:val="007F43F1"/>
    <w:rsid w:val="007F4475"/>
    <w:rsid w:val="007F44B6"/>
    <w:rsid w:val="007F44BB"/>
    <w:rsid w:val="007F469D"/>
    <w:rsid w:val="007F47EC"/>
    <w:rsid w:val="007F4893"/>
    <w:rsid w:val="007F4971"/>
    <w:rsid w:val="007F4997"/>
    <w:rsid w:val="007F4A2F"/>
    <w:rsid w:val="007F4ABC"/>
    <w:rsid w:val="007F4BDA"/>
    <w:rsid w:val="007F4C8E"/>
    <w:rsid w:val="007F4D00"/>
    <w:rsid w:val="007F4D27"/>
    <w:rsid w:val="007F4D97"/>
    <w:rsid w:val="007F4DAB"/>
    <w:rsid w:val="007F4E0E"/>
    <w:rsid w:val="007F4EA1"/>
    <w:rsid w:val="007F5098"/>
    <w:rsid w:val="007F50DB"/>
    <w:rsid w:val="007F5126"/>
    <w:rsid w:val="007F5169"/>
    <w:rsid w:val="007F5247"/>
    <w:rsid w:val="007F5310"/>
    <w:rsid w:val="007F5596"/>
    <w:rsid w:val="007F5690"/>
    <w:rsid w:val="007F57DB"/>
    <w:rsid w:val="007F58CF"/>
    <w:rsid w:val="007F5902"/>
    <w:rsid w:val="007F59A5"/>
    <w:rsid w:val="007F59F8"/>
    <w:rsid w:val="007F5A81"/>
    <w:rsid w:val="007F5AE1"/>
    <w:rsid w:val="007F5D0A"/>
    <w:rsid w:val="007F5E33"/>
    <w:rsid w:val="007F5FAF"/>
    <w:rsid w:val="007F600E"/>
    <w:rsid w:val="007F60A4"/>
    <w:rsid w:val="007F60BA"/>
    <w:rsid w:val="007F63A2"/>
    <w:rsid w:val="007F653F"/>
    <w:rsid w:val="007F66A4"/>
    <w:rsid w:val="007F688F"/>
    <w:rsid w:val="007F69DD"/>
    <w:rsid w:val="007F6A19"/>
    <w:rsid w:val="007F6A3B"/>
    <w:rsid w:val="007F6A4D"/>
    <w:rsid w:val="007F6AD0"/>
    <w:rsid w:val="007F6B3A"/>
    <w:rsid w:val="007F6BA6"/>
    <w:rsid w:val="007F6CD2"/>
    <w:rsid w:val="007F6F4D"/>
    <w:rsid w:val="007F71B6"/>
    <w:rsid w:val="007F72FF"/>
    <w:rsid w:val="007F752D"/>
    <w:rsid w:val="007F75D7"/>
    <w:rsid w:val="007F76F2"/>
    <w:rsid w:val="007F78B0"/>
    <w:rsid w:val="007F7938"/>
    <w:rsid w:val="007F7AEB"/>
    <w:rsid w:val="007F7AF7"/>
    <w:rsid w:val="007F7B4B"/>
    <w:rsid w:val="007F7B8D"/>
    <w:rsid w:val="007F7BB1"/>
    <w:rsid w:val="007F7CD8"/>
    <w:rsid w:val="007F7D42"/>
    <w:rsid w:val="007F7DA2"/>
    <w:rsid w:val="007F7E31"/>
    <w:rsid w:val="007F7F33"/>
    <w:rsid w:val="007F7FD9"/>
    <w:rsid w:val="00800292"/>
    <w:rsid w:val="008002B6"/>
    <w:rsid w:val="00800340"/>
    <w:rsid w:val="00800444"/>
    <w:rsid w:val="0080046C"/>
    <w:rsid w:val="00800538"/>
    <w:rsid w:val="0080055D"/>
    <w:rsid w:val="00800731"/>
    <w:rsid w:val="00800780"/>
    <w:rsid w:val="00800799"/>
    <w:rsid w:val="0080084C"/>
    <w:rsid w:val="00800889"/>
    <w:rsid w:val="008008AB"/>
    <w:rsid w:val="00800931"/>
    <w:rsid w:val="00800971"/>
    <w:rsid w:val="00800B73"/>
    <w:rsid w:val="00800B8B"/>
    <w:rsid w:val="00800DD1"/>
    <w:rsid w:val="00800EE6"/>
    <w:rsid w:val="00801014"/>
    <w:rsid w:val="0080105D"/>
    <w:rsid w:val="00801070"/>
    <w:rsid w:val="00801337"/>
    <w:rsid w:val="008014EB"/>
    <w:rsid w:val="00801525"/>
    <w:rsid w:val="0080157D"/>
    <w:rsid w:val="008015D2"/>
    <w:rsid w:val="008016D3"/>
    <w:rsid w:val="0080173E"/>
    <w:rsid w:val="00801856"/>
    <w:rsid w:val="008018A3"/>
    <w:rsid w:val="008019DE"/>
    <w:rsid w:val="00801A70"/>
    <w:rsid w:val="00801BC1"/>
    <w:rsid w:val="00801BD9"/>
    <w:rsid w:val="00801C80"/>
    <w:rsid w:val="00801D27"/>
    <w:rsid w:val="00801D32"/>
    <w:rsid w:val="00801DD2"/>
    <w:rsid w:val="00801EEC"/>
    <w:rsid w:val="008020D6"/>
    <w:rsid w:val="008021AA"/>
    <w:rsid w:val="008021C0"/>
    <w:rsid w:val="0080230E"/>
    <w:rsid w:val="00802343"/>
    <w:rsid w:val="008024E5"/>
    <w:rsid w:val="008027A8"/>
    <w:rsid w:val="00802804"/>
    <w:rsid w:val="00802834"/>
    <w:rsid w:val="0080287A"/>
    <w:rsid w:val="00802893"/>
    <w:rsid w:val="00802A73"/>
    <w:rsid w:val="00802ACD"/>
    <w:rsid w:val="00802B38"/>
    <w:rsid w:val="00802B91"/>
    <w:rsid w:val="00802B98"/>
    <w:rsid w:val="00802C32"/>
    <w:rsid w:val="00802D73"/>
    <w:rsid w:val="00802DFC"/>
    <w:rsid w:val="00802DFE"/>
    <w:rsid w:val="00802E74"/>
    <w:rsid w:val="00802E90"/>
    <w:rsid w:val="00802EE1"/>
    <w:rsid w:val="00802F09"/>
    <w:rsid w:val="00802FF7"/>
    <w:rsid w:val="00803015"/>
    <w:rsid w:val="0080301C"/>
    <w:rsid w:val="00803094"/>
    <w:rsid w:val="008030DC"/>
    <w:rsid w:val="00803213"/>
    <w:rsid w:val="0080321F"/>
    <w:rsid w:val="008032EA"/>
    <w:rsid w:val="0080333A"/>
    <w:rsid w:val="008033C1"/>
    <w:rsid w:val="008033C2"/>
    <w:rsid w:val="008034A8"/>
    <w:rsid w:val="008034E4"/>
    <w:rsid w:val="0080350B"/>
    <w:rsid w:val="0080360A"/>
    <w:rsid w:val="0080362F"/>
    <w:rsid w:val="00803670"/>
    <w:rsid w:val="008036F4"/>
    <w:rsid w:val="008037B2"/>
    <w:rsid w:val="00803834"/>
    <w:rsid w:val="008039B4"/>
    <w:rsid w:val="00803A67"/>
    <w:rsid w:val="00803A6E"/>
    <w:rsid w:val="00803ABF"/>
    <w:rsid w:val="00803DC5"/>
    <w:rsid w:val="00803EAB"/>
    <w:rsid w:val="00803F93"/>
    <w:rsid w:val="0080401D"/>
    <w:rsid w:val="0080405F"/>
    <w:rsid w:val="00804067"/>
    <w:rsid w:val="00804192"/>
    <w:rsid w:val="008042A3"/>
    <w:rsid w:val="00804413"/>
    <w:rsid w:val="00804434"/>
    <w:rsid w:val="008044F3"/>
    <w:rsid w:val="0080450C"/>
    <w:rsid w:val="0080452B"/>
    <w:rsid w:val="00804540"/>
    <w:rsid w:val="00804641"/>
    <w:rsid w:val="00804725"/>
    <w:rsid w:val="008048B6"/>
    <w:rsid w:val="0080493C"/>
    <w:rsid w:val="00804BFC"/>
    <w:rsid w:val="00804C81"/>
    <w:rsid w:val="00804C82"/>
    <w:rsid w:val="00804D9C"/>
    <w:rsid w:val="00804DC2"/>
    <w:rsid w:val="00804E55"/>
    <w:rsid w:val="00804EF2"/>
    <w:rsid w:val="00804F67"/>
    <w:rsid w:val="00805117"/>
    <w:rsid w:val="00805209"/>
    <w:rsid w:val="008052AE"/>
    <w:rsid w:val="0080530B"/>
    <w:rsid w:val="008054D6"/>
    <w:rsid w:val="00805588"/>
    <w:rsid w:val="008055B1"/>
    <w:rsid w:val="0080562D"/>
    <w:rsid w:val="00805727"/>
    <w:rsid w:val="00805778"/>
    <w:rsid w:val="008057C8"/>
    <w:rsid w:val="00805825"/>
    <w:rsid w:val="008059B9"/>
    <w:rsid w:val="008059FC"/>
    <w:rsid w:val="00805A83"/>
    <w:rsid w:val="00805B38"/>
    <w:rsid w:val="00805CDE"/>
    <w:rsid w:val="00805FAE"/>
    <w:rsid w:val="00805FC2"/>
    <w:rsid w:val="00805FFD"/>
    <w:rsid w:val="008060BF"/>
    <w:rsid w:val="008061B0"/>
    <w:rsid w:val="008064D4"/>
    <w:rsid w:val="008065CD"/>
    <w:rsid w:val="008066A7"/>
    <w:rsid w:val="008066D9"/>
    <w:rsid w:val="00806887"/>
    <w:rsid w:val="0080688D"/>
    <w:rsid w:val="00806893"/>
    <w:rsid w:val="008068CC"/>
    <w:rsid w:val="008069DB"/>
    <w:rsid w:val="008069F6"/>
    <w:rsid w:val="008069FC"/>
    <w:rsid w:val="00806A3B"/>
    <w:rsid w:val="00806C2A"/>
    <w:rsid w:val="00806CCF"/>
    <w:rsid w:val="00806E1F"/>
    <w:rsid w:val="00806F20"/>
    <w:rsid w:val="008070E3"/>
    <w:rsid w:val="008070F0"/>
    <w:rsid w:val="0080717E"/>
    <w:rsid w:val="00807289"/>
    <w:rsid w:val="008075E4"/>
    <w:rsid w:val="008075E5"/>
    <w:rsid w:val="0080766E"/>
    <w:rsid w:val="00807812"/>
    <w:rsid w:val="0080782E"/>
    <w:rsid w:val="0080784B"/>
    <w:rsid w:val="008078A2"/>
    <w:rsid w:val="008079EA"/>
    <w:rsid w:val="00807A53"/>
    <w:rsid w:val="00807A5D"/>
    <w:rsid w:val="00807AA2"/>
    <w:rsid w:val="00807B01"/>
    <w:rsid w:val="00807B71"/>
    <w:rsid w:val="00807B77"/>
    <w:rsid w:val="00807BA3"/>
    <w:rsid w:val="00807BB7"/>
    <w:rsid w:val="00807BED"/>
    <w:rsid w:val="00807CE6"/>
    <w:rsid w:val="00807CF6"/>
    <w:rsid w:val="00807F0F"/>
    <w:rsid w:val="00807FBA"/>
    <w:rsid w:val="0081001D"/>
    <w:rsid w:val="008100A9"/>
    <w:rsid w:val="008100BA"/>
    <w:rsid w:val="0081044F"/>
    <w:rsid w:val="00810481"/>
    <w:rsid w:val="00810492"/>
    <w:rsid w:val="00810499"/>
    <w:rsid w:val="008107B0"/>
    <w:rsid w:val="008108C2"/>
    <w:rsid w:val="008109E2"/>
    <w:rsid w:val="00810ADF"/>
    <w:rsid w:val="00810C94"/>
    <w:rsid w:val="00810D25"/>
    <w:rsid w:val="00810D9A"/>
    <w:rsid w:val="00810DE3"/>
    <w:rsid w:val="00810F2E"/>
    <w:rsid w:val="00810F8E"/>
    <w:rsid w:val="00810FA0"/>
    <w:rsid w:val="00810FD8"/>
    <w:rsid w:val="0081105E"/>
    <w:rsid w:val="0081118E"/>
    <w:rsid w:val="008111F1"/>
    <w:rsid w:val="008112F5"/>
    <w:rsid w:val="0081149F"/>
    <w:rsid w:val="008114B2"/>
    <w:rsid w:val="0081150A"/>
    <w:rsid w:val="00811606"/>
    <w:rsid w:val="00811677"/>
    <w:rsid w:val="008118D1"/>
    <w:rsid w:val="008118DD"/>
    <w:rsid w:val="00811AB2"/>
    <w:rsid w:val="00811ACA"/>
    <w:rsid w:val="00811B80"/>
    <w:rsid w:val="00811C47"/>
    <w:rsid w:val="00811C8A"/>
    <w:rsid w:val="00811C92"/>
    <w:rsid w:val="00811DCB"/>
    <w:rsid w:val="00811E13"/>
    <w:rsid w:val="00811E1D"/>
    <w:rsid w:val="00811F67"/>
    <w:rsid w:val="00811F95"/>
    <w:rsid w:val="00812050"/>
    <w:rsid w:val="00812114"/>
    <w:rsid w:val="008121CF"/>
    <w:rsid w:val="008121D5"/>
    <w:rsid w:val="008122E7"/>
    <w:rsid w:val="0081236C"/>
    <w:rsid w:val="00812396"/>
    <w:rsid w:val="008124BC"/>
    <w:rsid w:val="00812501"/>
    <w:rsid w:val="00812506"/>
    <w:rsid w:val="0081250E"/>
    <w:rsid w:val="0081252D"/>
    <w:rsid w:val="00812593"/>
    <w:rsid w:val="008126A3"/>
    <w:rsid w:val="00812873"/>
    <w:rsid w:val="00812895"/>
    <w:rsid w:val="00812904"/>
    <w:rsid w:val="00812A4B"/>
    <w:rsid w:val="00812AB8"/>
    <w:rsid w:val="00812AFF"/>
    <w:rsid w:val="00812BF0"/>
    <w:rsid w:val="00812C15"/>
    <w:rsid w:val="00812C41"/>
    <w:rsid w:val="00812D40"/>
    <w:rsid w:val="00812E51"/>
    <w:rsid w:val="00812F98"/>
    <w:rsid w:val="00812FFA"/>
    <w:rsid w:val="00813158"/>
    <w:rsid w:val="0081320D"/>
    <w:rsid w:val="00813286"/>
    <w:rsid w:val="0081329F"/>
    <w:rsid w:val="008132D6"/>
    <w:rsid w:val="0081330C"/>
    <w:rsid w:val="008133A2"/>
    <w:rsid w:val="008133BB"/>
    <w:rsid w:val="008133F1"/>
    <w:rsid w:val="008135AE"/>
    <w:rsid w:val="008135B9"/>
    <w:rsid w:val="00813603"/>
    <w:rsid w:val="008136E8"/>
    <w:rsid w:val="0081370D"/>
    <w:rsid w:val="00813713"/>
    <w:rsid w:val="0081378D"/>
    <w:rsid w:val="00813790"/>
    <w:rsid w:val="008137C9"/>
    <w:rsid w:val="00813923"/>
    <w:rsid w:val="00813A15"/>
    <w:rsid w:val="00813A98"/>
    <w:rsid w:val="00813B1E"/>
    <w:rsid w:val="00813B5E"/>
    <w:rsid w:val="00813BBB"/>
    <w:rsid w:val="00813C04"/>
    <w:rsid w:val="00813C8E"/>
    <w:rsid w:val="00813CF8"/>
    <w:rsid w:val="00813DC2"/>
    <w:rsid w:val="00813EA4"/>
    <w:rsid w:val="00813EFC"/>
    <w:rsid w:val="00814011"/>
    <w:rsid w:val="00814074"/>
    <w:rsid w:val="008140F5"/>
    <w:rsid w:val="0081413A"/>
    <w:rsid w:val="008142EF"/>
    <w:rsid w:val="0081434C"/>
    <w:rsid w:val="0081438B"/>
    <w:rsid w:val="00814437"/>
    <w:rsid w:val="0081456D"/>
    <w:rsid w:val="00814626"/>
    <w:rsid w:val="008146AD"/>
    <w:rsid w:val="008146FB"/>
    <w:rsid w:val="0081474D"/>
    <w:rsid w:val="0081477B"/>
    <w:rsid w:val="008147E8"/>
    <w:rsid w:val="008148A9"/>
    <w:rsid w:val="008148ED"/>
    <w:rsid w:val="00814AE2"/>
    <w:rsid w:val="00814BCE"/>
    <w:rsid w:val="00814BF9"/>
    <w:rsid w:val="00814D1F"/>
    <w:rsid w:val="00815090"/>
    <w:rsid w:val="008150CE"/>
    <w:rsid w:val="008150FE"/>
    <w:rsid w:val="00815126"/>
    <w:rsid w:val="00815421"/>
    <w:rsid w:val="00815503"/>
    <w:rsid w:val="008155D4"/>
    <w:rsid w:val="00815756"/>
    <w:rsid w:val="008157B7"/>
    <w:rsid w:val="0081583E"/>
    <w:rsid w:val="00815886"/>
    <w:rsid w:val="008158B7"/>
    <w:rsid w:val="0081594A"/>
    <w:rsid w:val="008159BC"/>
    <w:rsid w:val="00815A1E"/>
    <w:rsid w:val="00815A6B"/>
    <w:rsid w:val="00815ADB"/>
    <w:rsid w:val="00815C39"/>
    <w:rsid w:val="00815C99"/>
    <w:rsid w:val="00815CB0"/>
    <w:rsid w:val="00815DC6"/>
    <w:rsid w:val="00815E64"/>
    <w:rsid w:val="00815F30"/>
    <w:rsid w:val="00816017"/>
    <w:rsid w:val="00816058"/>
    <w:rsid w:val="0081607E"/>
    <w:rsid w:val="0081608C"/>
    <w:rsid w:val="00816189"/>
    <w:rsid w:val="008161D3"/>
    <w:rsid w:val="00816327"/>
    <w:rsid w:val="00816406"/>
    <w:rsid w:val="00816438"/>
    <w:rsid w:val="0081646B"/>
    <w:rsid w:val="008164B4"/>
    <w:rsid w:val="008164E6"/>
    <w:rsid w:val="008165B0"/>
    <w:rsid w:val="008165F3"/>
    <w:rsid w:val="00816601"/>
    <w:rsid w:val="0081668C"/>
    <w:rsid w:val="0081669C"/>
    <w:rsid w:val="00816836"/>
    <w:rsid w:val="0081683E"/>
    <w:rsid w:val="00816923"/>
    <w:rsid w:val="008169CD"/>
    <w:rsid w:val="00816D81"/>
    <w:rsid w:val="00816E7D"/>
    <w:rsid w:val="00816FE5"/>
    <w:rsid w:val="00817011"/>
    <w:rsid w:val="00817049"/>
    <w:rsid w:val="00817375"/>
    <w:rsid w:val="008173B2"/>
    <w:rsid w:val="00817467"/>
    <w:rsid w:val="00817534"/>
    <w:rsid w:val="0081755B"/>
    <w:rsid w:val="00817584"/>
    <w:rsid w:val="00817625"/>
    <w:rsid w:val="00817692"/>
    <w:rsid w:val="008177CA"/>
    <w:rsid w:val="0081782A"/>
    <w:rsid w:val="00817843"/>
    <w:rsid w:val="00817858"/>
    <w:rsid w:val="008178B1"/>
    <w:rsid w:val="008178BF"/>
    <w:rsid w:val="0081797E"/>
    <w:rsid w:val="00817C1F"/>
    <w:rsid w:val="00817C58"/>
    <w:rsid w:val="00817CF8"/>
    <w:rsid w:val="00817D88"/>
    <w:rsid w:val="00817DD5"/>
    <w:rsid w:val="00817E46"/>
    <w:rsid w:val="00817E64"/>
    <w:rsid w:val="00817EB0"/>
    <w:rsid w:val="00817EEB"/>
    <w:rsid w:val="00817EF6"/>
    <w:rsid w:val="00820012"/>
    <w:rsid w:val="008200B4"/>
    <w:rsid w:val="0082027B"/>
    <w:rsid w:val="00820339"/>
    <w:rsid w:val="0082043F"/>
    <w:rsid w:val="008204B2"/>
    <w:rsid w:val="008204DF"/>
    <w:rsid w:val="0082050A"/>
    <w:rsid w:val="00820517"/>
    <w:rsid w:val="00820545"/>
    <w:rsid w:val="00820558"/>
    <w:rsid w:val="0082088E"/>
    <w:rsid w:val="008208C8"/>
    <w:rsid w:val="00820A6D"/>
    <w:rsid w:val="00820A9F"/>
    <w:rsid w:val="00820AB0"/>
    <w:rsid w:val="00820B4F"/>
    <w:rsid w:val="00820C46"/>
    <w:rsid w:val="00820C6C"/>
    <w:rsid w:val="00820CBD"/>
    <w:rsid w:val="00820E05"/>
    <w:rsid w:val="00820E3B"/>
    <w:rsid w:val="00820E47"/>
    <w:rsid w:val="00820F43"/>
    <w:rsid w:val="00820F49"/>
    <w:rsid w:val="0082101F"/>
    <w:rsid w:val="0082102D"/>
    <w:rsid w:val="008212AF"/>
    <w:rsid w:val="00821427"/>
    <w:rsid w:val="00821474"/>
    <w:rsid w:val="0082158D"/>
    <w:rsid w:val="00821597"/>
    <w:rsid w:val="008215CA"/>
    <w:rsid w:val="008217C9"/>
    <w:rsid w:val="008217D0"/>
    <w:rsid w:val="00821894"/>
    <w:rsid w:val="00821917"/>
    <w:rsid w:val="00821933"/>
    <w:rsid w:val="00821963"/>
    <w:rsid w:val="008219AE"/>
    <w:rsid w:val="008219DA"/>
    <w:rsid w:val="00821C11"/>
    <w:rsid w:val="00821CDF"/>
    <w:rsid w:val="00821DBA"/>
    <w:rsid w:val="00821DE1"/>
    <w:rsid w:val="00821E0E"/>
    <w:rsid w:val="00821E44"/>
    <w:rsid w:val="00821E4E"/>
    <w:rsid w:val="00821FAF"/>
    <w:rsid w:val="00821FE1"/>
    <w:rsid w:val="0082203B"/>
    <w:rsid w:val="00822081"/>
    <w:rsid w:val="00822172"/>
    <w:rsid w:val="008221E5"/>
    <w:rsid w:val="0082222C"/>
    <w:rsid w:val="008223E9"/>
    <w:rsid w:val="00822513"/>
    <w:rsid w:val="00822591"/>
    <w:rsid w:val="00822894"/>
    <w:rsid w:val="008229B2"/>
    <w:rsid w:val="008229B9"/>
    <w:rsid w:val="00822A45"/>
    <w:rsid w:val="00822A51"/>
    <w:rsid w:val="00822B49"/>
    <w:rsid w:val="00822BA5"/>
    <w:rsid w:val="00822C7B"/>
    <w:rsid w:val="00822CA2"/>
    <w:rsid w:val="00822E74"/>
    <w:rsid w:val="0082305D"/>
    <w:rsid w:val="00823077"/>
    <w:rsid w:val="008231F6"/>
    <w:rsid w:val="0082321A"/>
    <w:rsid w:val="00823326"/>
    <w:rsid w:val="00823455"/>
    <w:rsid w:val="008234F5"/>
    <w:rsid w:val="008239A9"/>
    <w:rsid w:val="00823B57"/>
    <w:rsid w:val="00823B6C"/>
    <w:rsid w:val="00823E9D"/>
    <w:rsid w:val="00824034"/>
    <w:rsid w:val="008241D8"/>
    <w:rsid w:val="008241DB"/>
    <w:rsid w:val="00824294"/>
    <w:rsid w:val="00824321"/>
    <w:rsid w:val="0082442B"/>
    <w:rsid w:val="0082469E"/>
    <w:rsid w:val="008246C6"/>
    <w:rsid w:val="008246F4"/>
    <w:rsid w:val="00824757"/>
    <w:rsid w:val="00824767"/>
    <w:rsid w:val="008247DA"/>
    <w:rsid w:val="00824841"/>
    <w:rsid w:val="00824863"/>
    <w:rsid w:val="008248D8"/>
    <w:rsid w:val="008249CF"/>
    <w:rsid w:val="00824AF2"/>
    <w:rsid w:val="00824B70"/>
    <w:rsid w:val="00824BCD"/>
    <w:rsid w:val="00824D2F"/>
    <w:rsid w:val="00824DC5"/>
    <w:rsid w:val="00824E90"/>
    <w:rsid w:val="00824F77"/>
    <w:rsid w:val="0082500A"/>
    <w:rsid w:val="00825065"/>
    <w:rsid w:val="008250DE"/>
    <w:rsid w:val="0082522E"/>
    <w:rsid w:val="00825309"/>
    <w:rsid w:val="00825358"/>
    <w:rsid w:val="00825388"/>
    <w:rsid w:val="008253AC"/>
    <w:rsid w:val="00825456"/>
    <w:rsid w:val="00825635"/>
    <w:rsid w:val="00825792"/>
    <w:rsid w:val="008257A4"/>
    <w:rsid w:val="008257BD"/>
    <w:rsid w:val="00825858"/>
    <w:rsid w:val="008258E4"/>
    <w:rsid w:val="008259A9"/>
    <w:rsid w:val="00825A04"/>
    <w:rsid w:val="00825AF3"/>
    <w:rsid w:val="00825B47"/>
    <w:rsid w:val="00825B5A"/>
    <w:rsid w:val="00825B6C"/>
    <w:rsid w:val="00825C5A"/>
    <w:rsid w:val="00825D55"/>
    <w:rsid w:val="00825E42"/>
    <w:rsid w:val="00825F79"/>
    <w:rsid w:val="00826055"/>
    <w:rsid w:val="008263BA"/>
    <w:rsid w:val="008265A3"/>
    <w:rsid w:val="008265F1"/>
    <w:rsid w:val="00826658"/>
    <w:rsid w:val="00826757"/>
    <w:rsid w:val="0082676F"/>
    <w:rsid w:val="00826777"/>
    <w:rsid w:val="0082679E"/>
    <w:rsid w:val="008267D0"/>
    <w:rsid w:val="008267E7"/>
    <w:rsid w:val="0082685F"/>
    <w:rsid w:val="008269D9"/>
    <w:rsid w:val="00826B32"/>
    <w:rsid w:val="00826C80"/>
    <w:rsid w:val="00826CB2"/>
    <w:rsid w:val="00826CD4"/>
    <w:rsid w:val="00826CFD"/>
    <w:rsid w:val="00826DFB"/>
    <w:rsid w:val="00826EA6"/>
    <w:rsid w:val="00826EFB"/>
    <w:rsid w:val="00826FE0"/>
    <w:rsid w:val="00827038"/>
    <w:rsid w:val="00827083"/>
    <w:rsid w:val="00827141"/>
    <w:rsid w:val="0082722D"/>
    <w:rsid w:val="0082741C"/>
    <w:rsid w:val="0082743A"/>
    <w:rsid w:val="0082754B"/>
    <w:rsid w:val="0082759E"/>
    <w:rsid w:val="00827655"/>
    <w:rsid w:val="00827744"/>
    <w:rsid w:val="0082785D"/>
    <w:rsid w:val="00827895"/>
    <w:rsid w:val="0082789D"/>
    <w:rsid w:val="008279B0"/>
    <w:rsid w:val="008279F8"/>
    <w:rsid w:val="00827A09"/>
    <w:rsid w:val="00827C17"/>
    <w:rsid w:val="00827C22"/>
    <w:rsid w:val="00827F15"/>
    <w:rsid w:val="00827FD1"/>
    <w:rsid w:val="008300DD"/>
    <w:rsid w:val="0083028D"/>
    <w:rsid w:val="0083029E"/>
    <w:rsid w:val="0083040D"/>
    <w:rsid w:val="0083064B"/>
    <w:rsid w:val="00830707"/>
    <w:rsid w:val="0083070C"/>
    <w:rsid w:val="00830828"/>
    <w:rsid w:val="0083084B"/>
    <w:rsid w:val="008308C1"/>
    <w:rsid w:val="0083095F"/>
    <w:rsid w:val="00830A55"/>
    <w:rsid w:val="00830C6F"/>
    <w:rsid w:val="00830D06"/>
    <w:rsid w:val="00830E44"/>
    <w:rsid w:val="00830EC7"/>
    <w:rsid w:val="00830F24"/>
    <w:rsid w:val="0083116D"/>
    <w:rsid w:val="00831289"/>
    <w:rsid w:val="008312AE"/>
    <w:rsid w:val="008312C0"/>
    <w:rsid w:val="00831358"/>
    <w:rsid w:val="00831440"/>
    <w:rsid w:val="00831537"/>
    <w:rsid w:val="0083162C"/>
    <w:rsid w:val="00831757"/>
    <w:rsid w:val="00831822"/>
    <w:rsid w:val="00831831"/>
    <w:rsid w:val="008318DE"/>
    <w:rsid w:val="008318E0"/>
    <w:rsid w:val="00831C5D"/>
    <w:rsid w:val="00831D3E"/>
    <w:rsid w:val="00831DC4"/>
    <w:rsid w:val="00831DDC"/>
    <w:rsid w:val="00831E4C"/>
    <w:rsid w:val="00831EC3"/>
    <w:rsid w:val="00831ED6"/>
    <w:rsid w:val="00831ED8"/>
    <w:rsid w:val="00831F2D"/>
    <w:rsid w:val="00831F3E"/>
    <w:rsid w:val="008320CE"/>
    <w:rsid w:val="00832595"/>
    <w:rsid w:val="00832679"/>
    <w:rsid w:val="00832852"/>
    <w:rsid w:val="008328D1"/>
    <w:rsid w:val="008328D6"/>
    <w:rsid w:val="00832954"/>
    <w:rsid w:val="00832AA2"/>
    <w:rsid w:val="00832B16"/>
    <w:rsid w:val="00832B83"/>
    <w:rsid w:val="00832BBF"/>
    <w:rsid w:val="00832BD7"/>
    <w:rsid w:val="00832DB9"/>
    <w:rsid w:val="00832E2C"/>
    <w:rsid w:val="00832E59"/>
    <w:rsid w:val="00832EB3"/>
    <w:rsid w:val="00832EE2"/>
    <w:rsid w:val="00833016"/>
    <w:rsid w:val="008331FD"/>
    <w:rsid w:val="008333CB"/>
    <w:rsid w:val="008333F3"/>
    <w:rsid w:val="0083341E"/>
    <w:rsid w:val="008334CD"/>
    <w:rsid w:val="00833529"/>
    <w:rsid w:val="00833596"/>
    <w:rsid w:val="0083360A"/>
    <w:rsid w:val="00833714"/>
    <w:rsid w:val="008337BE"/>
    <w:rsid w:val="008338CC"/>
    <w:rsid w:val="008339CC"/>
    <w:rsid w:val="00833C84"/>
    <w:rsid w:val="00833D67"/>
    <w:rsid w:val="00833E02"/>
    <w:rsid w:val="00833E05"/>
    <w:rsid w:val="00833E20"/>
    <w:rsid w:val="00833F7B"/>
    <w:rsid w:val="0083415A"/>
    <w:rsid w:val="0083428E"/>
    <w:rsid w:val="008342BB"/>
    <w:rsid w:val="00834305"/>
    <w:rsid w:val="00834327"/>
    <w:rsid w:val="00834411"/>
    <w:rsid w:val="008344BA"/>
    <w:rsid w:val="00834550"/>
    <w:rsid w:val="008345F1"/>
    <w:rsid w:val="008346BE"/>
    <w:rsid w:val="00834833"/>
    <w:rsid w:val="008348D9"/>
    <w:rsid w:val="0083491A"/>
    <w:rsid w:val="008349BA"/>
    <w:rsid w:val="00834AAD"/>
    <w:rsid w:val="00834AED"/>
    <w:rsid w:val="00834B7A"/>
    <w:rsid w:val="00834B9D"/>
    <w:rsid w:val="00834BC7"/>
    <w:rsid w:val="00834BE1"/>
    <w:rsid w:val="00834C55"/>
    <w:rsid w:val="00834C64"/>
    <w:rsid w:val="00834CD1"/>
    <w:rsid w:val="00834FC7"/>
    <w:rsid w:val="00834FF8"/>
    <w:rsid w:val="00835126"/>
    <w:rsid w:val="00835143"/>
    <w:rsid w:val="00835193"/>
    <w:rsid w:val="008351A5"/>
    <w:rsid w:val="00835315"/>
    <w:rsid w:val="008353B9"/>
    <w:rsid w:val="008353DB"/>
    <w:rsid w:val="00835435"/>
    <w:rsid w:val="00835533"/>
    <w:rsid w:val="00835605"/>
    <w:rsid w:val="008356F3"/>
    <w:rsid w:val="00835796"/>
    <w:rsid w:val="008357C0"/>
    <w:rsid w:val="008357C2"/>
    <w:rsid w:val="008357C6"/>
    <w:rsid w:val="00835886"/>
    <w:rsid w:val="008358D6"/>
    <w:rsid w:val="0083590D"/>
    <w:rsid w:val="008359AD"/>
    <w:rsid w:val="00835A40"/>
    <w:rsid w:val="00835AD5"/>
    <w:rsid w:val="00835B2D"/>
    <w:rsid w:val="00835C0B"/>
    <w:rsid w:val="00835C11"/>
    <w:rsid w:val="00835DA3"/>
    <w:rsid w:val="00835EFD"/>
    <w:rsid w:val="00835FDE"/>
    <w:rsid w:val="00836003"/>
    <w:rsid w:val="008361D0"/>
    <w:rsid w:val="0083641C"/>
    <w:rsid w:val="00836713"/>
    <w:rsid w:val="008367CE"/>
    <w:rsid w:val="00836807"/>
    <w:rsid w:val="008368B7"/>
    <w:rsid w:val="008368E1"/>
    <w:rsid w:val="00836A90"/>
    <w:rsid w:val="00836AB3"/>
    <w:rsid w:val="00836ACF"/>
    <w:rsid w:val="00836E34"/>
    <w:rsid w:val="00836EE1"/>
    <w:rsid w:val="00836FA9"/>
    <w:rsid w:val="0083712A"/>
    <w:rsid w:val="008371FA"/>
    <w:rsid w:val="00837204"/>
    <w:rsid w:val="008373AA"/>
    <w:rsid w:val="008373EB"/>
    <w:rsid w:val="0083744A"/>
    <w:rsid w:val="00837595"/>
    <w:rsid w:val="0083775C"/>
    <w:rsid w:val="0083786F"/>
    <w:rsid w:val="00837922"/>
    <w:rsid w:val="00837A7C"/>
    <w:rsid w:val="00837A8E"/>
    <w:rsid w:val="00837BAF"/>
    <w:rsid w:val="00837BBF"/>
    <w:rsid w:val="00837C3B"/>
    <w:rsid w:val="00837C87"/>
    <w:rsid w:val="00837DAE"/>
    <w:rsid w:val="00837DFB"/>
    <w:rsid w:val="00837E12"/>
    <w:rsid w:val="00837E41"/>
    <w:rsid w:val="00837F04"/>
    <w:rsid w:val="00837F8D"/>
    <w:rsid w:val="00838B7A"/>
    <w:rsid w:val="0084014D"/>
    <w:rsid w:val="008401EB"/>
    <w:rsid w:val="008401EE"/>
    <w:rsid w:val="00840284"/>
    <w:rsid w:val="0084033A"/>
    <w:rsid w:val="008403BD"/>
    <w:rsid w:val="00840409"/>
    <w:rsid w:val="00840486"/>
    <w:rsid w:val="008405C8"/>
    <w:rsid w:val="00840644"/>
    <w:rsid w:val="0084067C"/>
    <w:rsid w:val="00840699"/>
    <w:rsid w:val="0084071B"/>
    <w:rsid w:val="008407EA"/>
    <w:rsid w:val="00840853"/>
    <w:rsid w:val="008408B2"/>
    <w:rsid w:val="008408E1"/>
    <w:rsid w:val="0084093D"/>
    <w:rsid w:val="00840ADB"/>
    <w:rsid w:val="00840DE5"/>
    <w:rsid w:val="00840E39"/>
    <w:rsid w:val="00840EAB"/>
    <w:rsid w:val="00840F10"/>
    <w:rsid w:val="00841004"/>
    <w:rsid w:val="00841229"/>
    <w:rsid w:val="00841251"/>
    <w:rsid w:val="0084134D"/>
    <w:rsid w:val="00841406"/>
    <w:rsid w:val="00841485"/>
    <w:rsid w:val="00841487"/>
    <w:rsid w:val="00841531"/>
    <w:rsid w:val="00841546"/>
    <w:rsid w:val="008415F4"/>
    <w:rsid w:val="0084171A"/>
    <w:rsid w:val="00841751"/>
    <w:rsid w:val="00841802"/>
    <w:rsid w:val="00841963"/>
    <w:rsid w:val="008419EA"/>
    <w:rsid w:val="00841A5F"/>
    <w:rsid w:val="00841B50"/>
    <w:rsid w:val="00841B8C"/>
    <w:rsid w:val="00841BC3"/>
    <w:rsid w:val="00841C00"/>
    <w:rsid w:val="00841C63"/>
    <w:rsid w:val="00841C9A"/>
    <w:rsid w:val="00841CB2"/>
    <w:rsid w:val="00841DE8"/>
    <w:rsid w:val="00841FF5"/>
    <w:rsid w:val="0084204B"/>
    <w:rsid w:val="00842218"/>
    <w:rsid w:val="00842232"/>
    <w:rsid w:val="0084233A"/>
    <w:rsid w:val="00842389"/>
    <w:rsid w:val="0084243F"/>
    <w:rsid w:val="0084250B"/>
    <w:rsid w:val="00842548"/>
    <w:rsid w:val="0084256E"/>
    <w:rsid w:val="0084257E"/>
    <w:rsid w:val="0084280B"/>
    <w:rsid w:val="00842932"/>
    <w:rsid w:val="008429B6"/>
    <w:rsid w:val="00842BEE"/>
    <w:rsid w:val="00842C1A"/>
    <w:rsid w:val="00842D87"/>
    <w:rsid w:val="00842DB9"/>
    <w:rsid w:val="00842DFB"/>
    <w:rsid w:val="00842E6F"/>
    <w:rsid w:val="00842F18"/>
    <w:rsid w:val="00842F6D"/>
    <w:rsid w:val="00843167"/>
    <w:rsid w:val="00843361"/>
    <w:rsid w:val="00843379"/>
    <w:rsid w:val="00843388"/>
    <w:rsid w:val="00843455"/>
    <w:rsid w:val="00843457"/>
    <w:rsid w:val="008434D3"/>
    <w:rsid w:val="00843543"/>
    <w:rsid w:val="0084355F"/>
    <w:rsid w:val="0084359C"/>
    <w:rsid w:val="008435F7"/>
    <w:rsid w:val="008435FA"/>
    <w:rsid w:val="008436FD"/>
    <w:rsid w:val="00843766"/>
    <w:rsid w:val="00843768"/>
    <w:rsid w:val="008437C1"/>
    <w:rsid w:val="008437C7"/>
    <w:rsid w:val="0084383E"/>
    <w:rsid w:val="00843847"/>
    <w:rsid w:val="00843A1A"/>
    <w:rsid w:val="00843ABA"/>
    <w:rsid w:val="00843BBE"/>
    <w:rsid w:val="00843C45"/>
    <w:rsid w:val="00843CF0"/>
    <w:rsid w:val="00843D14"/>
    <w:rsid w:val="00843D9E"/>
    <w:rsid w:val="00843EFA"/>
    <w:rsid w:val="00844015"/>
    <w:rsid w:val="008440E0"/>
    <w:rsid w:val="0084412A"/>
    <w:rsid w:val="0084416D"/>
    <w:rsid w:val="008441D7"/>
    <w:rsid w:val="0084420C"/>
    <w:rsid w:val="0084430E"/>
    <w:rsid w:val="00844331"/>
    <w:rsid w:val="008443B3"/>
    <w:rsid w:val="00844432"/>
    <w:rsid w:val="0084455E"/>
    <w:rsid w:val="00844566"/>
    <w:rsid w:val="0084465B"/>
    <w:rsid w:val="00844676"/>
    <w:rsid w:val="008446AD"/>
    <w:rsid w:val="008449F9"/>
    <w:rsid w:val="00844A7B"/>
    <w:rsid w:val="00844AE3"/>
    <w:rsid w:val="00844B37"/>
    <w:rsid w:val="00844CB6"/>
    <w:rsid w:val="00844EBB"/>
    <w:rsid w:val="00844F07"/>
    <w:rsid w:val="00844F35"/>
    <w:rsid w:val="00844F4D"/>
    <w:rsid w:val="00844FC4"/>
    <w:rsid w:val="00844FCF"/>
    <w:rsid w:val="0084500E"/>
    <w:rsid w:val="00845118"/>
    <w:rsid w:val="00845119"/>
    <w:rsid w:val="00845127"/>
    <w:rsid w:val="00845272"/>
    <w:rsid w:val="008453D6"/>
    <w:rsid w:val="008454FC"/>
    <w:rsid w:val="00845541"/>
    <w:rsid w:val="0084559E"/>
    <w:rsid w:val="008456D7"/>
    <w:rsid w:val="00845757"/>
    <w:rsid w:val="00845A46"/>
    <w:rsid w:val="00845A81"/>
    <w:rsid w:val="00845B30"/>
    <w:rsid w:val="00845B38"/>
    <w:rsid w:val="00845BEA"/>
    <w:rsid w:val="00845BFB"/>
    <w:rsid w:val="00845C05"/>
    <w:rsid w:val="00845F53"/>
    <w:rsid w:val="008461E4"/>
    <w:rsid w:val="00846431"/>
    <w:rsid w:val="008464DF"/>
    <w:rsid w:val="00846551"/>
    <w:rsid w:val="008465E7"/>
    <w:rsid w:val="00846605"/>
    <w:rsid w:val="0084692D"/>
    <w:rsid w:val="00846BD6"/>
    <w:rsid w:val="00846E01"/>
    <w:rsid w:val="00846E73"/>
    <w:rsid w:val="00846F8C"/>
    <w:rsid w:val="008470BD"/>
    <w:rsid w:val="008470FF"/>
    <w:rsid w:val="0084717C"/>
    <w:rsid w:val="00847325"/>
    <w:rsid w:val="008473EF"/>
    <w:rsid w:val="008474A4"/>
    <w:rsid w:val="00847579"/>
    <w:rsid w:val="00847595"/>
    <w:rsid w:val="00847685"/>
    <w:rsid w:val="00847691"/>
    <w:rsid w:val="0084782B"/>
    <w:rsid w:val="00847964"/>
    <w:rsid w:val="0084799F"/>
    <w:rsid w:val="00847A76"/>
    <w:rsid w:val="00847B48"/>
    <w:rsid w:val="00847B4A"/>
    <w:rsid w:val="00847C24"/>
    <w:rsid w:val="00847CBE"/>
    <w:rsid w:val="00847D2C"/>
    <w:rsid w:val="00847FF9"/>
    <w:rsid w:val="0085003D"/>
    <w:rsid w:val="00850111"/>
    <w:rsid w:val="008501B4"/>
    <w:rsid w:val="008501DC"/>
    <w:rsid w:val="00850207"/>
    <w:rsid w:val="00850459"/>
    <w:rsid w:val="008504F7"/>
    <w:rsid w:val="00850551"/>
    <w:rsid w:val="00850625"/>
    <w:rsid w:val="008506BE"/>
    <w:rsid w:val="00850775"/>
    <w:rsid w:val="0085083B"/>
    <w:rsid w:val="008508FE"/>
    <w:rsid w:val="00850C2D"/>
    <w:rsid w:val="00850C65"/>
    <w:rsid w:val="00850D24"/>
    <w:rsid w:val="00850DC6"/>
    <w:rsid w:val="00850E3D"/>
    <w:rsid w:val="00850E53"/>
    <w:rsid w:val="00850EB3"/>
    <w:rsid w:val="00850FC4"/>
    <w:rsid w:val="008510AA"/>
    <w:rsid w:val="00851305"/>
    <w:rsid w:val="00851375"/>
    <w:rsid w:val="008513C8"/>
    <w:rsid w:val="008514DF"/>
    <w:rsid w:val="00851569"/>
    <w:rsid w:val="008515CF"/>
    <w:rsid w:val="008515E4"/>
    <w:rsid w:val="008515F1"/>
    <w:rsid w:val="00851672"/>
    <w:rsid w:val="00851693"/>
    <w:rsid w:val="0085173D"/>
    <w:rsid w:val="008518CF"/>
    <w:rsid w:val="00851A26"/>
    <w:rsid w:val="00851B6D"/>
    <w:rsid w:val="00851CB1"/>
    <w:rsid w:val="00851DB5"/>
    <w:rsid w:val="00851DD0"/>
    <w:rsid w:val="00851DE0"/>
    <w:rsid w:val="00851EAB"/>
    <w:rsid w:val="00851F5D"/>
    <w:rsid w:val="00851FDD"/>
    <w:rsid w:val="0085201B"/>
    <w:rsid w:val="00852027"/>
    <w:rsid w:val="0085207D"/>
    <w:rsid w:val="008520F4"/>
    <w:rsid w:val="00852175"/>
    <w:rsid w:val="008522DE"/>
    <w:rsid w:val="00852339"/>
    <w:rsid w:val="00852395"/>
    <w:rsid w:val="00852476"/>
    <w:rsid w:val="008524FC"/>
    <w:rsid w:val="00852526"/>
    <w:rsid w:val="00852545"/>
    <w:rsid w:val="00852643"/>
    <w:rsid w:val="008526E9"/>
    <w:rsid w:val="0085280D"/>
    <w:rsid w:val="00852ADF"/>
    <w:rsid w:val="00852AE8"/>
    <w:rsid w:val="00852B03"/>
    <w:rsid w:val="00852B52"/>
    <w:rsid w:val="00852BD7"/>
    <w:rsid w:val="00853046"/>
    <w:rsid w:val="00853206"/>
    <w:rsid w:val="00853249"/>
    <w:rsid w:val="008532A4"/>
    <w:rsid w:val="00853307"/>
    <w:rsid w:val="00853561"/>
    <w:rsid w:val="008536F4"/>
    <w:rsid w:val="00853723"/>
    <w:rsid w:val="008537A5"/>
    <w:rsid w:val="008537EA"/>
    <w:rsid w:val="008538BC"/>
    <w:rsid w:val="008538C2"/>
    <w:rsid w:val="00853957"/>
    <w:rsid w:val="00853B1B"/>
    <w:rsid w:val="00853B53"/>
    <w:rsid w:val="00853BC1"/>
    <w:rsid w:val="00853BDB"/>
    <w:rsid w:val="00853DD1"/>
    <w:rsid w:val="00853EAB"/>
    <w:rsid w:val="00853EEC"/>
    <w:rsid w:val="00853FC4"/>
    <w:rsid w:val="008540A2"/>
    <w:rsid w:val="008541CD"/>
    <w:rsid w:val="008541F7"/>
    <w:rsid w:val="00854255"/>
    <w:rsid w:val="00854277"/>
    <w:rsid w:val="00854292"/>
    <w:rsid w:val="008542A1"/>
    <w:rsid w:val="00854390"/>
    <w:rsid w:val="008543B3"/>
    <w:rsid w:val="008543F4"/>
    <w:rsid w:val="0085459A"/>
    <w:rsid w:val="008545EB"/>
    <w:rsid w:val="00854700"/>
    <w:rsid w:val="00854728"/>
    <w:rsid w:val="008547CB"/>
    <w:rsid w:val="008548A5"/>
    <w:rsid w:val="00854A80"/>
    <w:rsid w:val="00854B35"/>
    <w:rsid w:val="00854BD3"/>
    <w:rsid w:val="00854D4E"/>
    <w:rsid w:val="00854DB8"/>
    <w:rsid w:val="00854DD8"/>
    <w:rsid w:val="00854E86"/>
    <w:rsid w:val="00854EAA"/>
    <w:rsid w:val="00854F99"/>
    <w:rsid w:val="008550DA"/>
    <w:rsid w:val="00855117"/>
    <w:rsid w:val="00855125"/>
    <w:rsid w:val="0085512B"/>
    <w:rsid w:val="0085515A"/>
    <w:rsid w:val="008551E6"/>
    <w:rsid w:val="0085524A"/>
    <w:rsid w:val="0085541E"/>
    <w:rsid w:val="0085542A"/>
    <w:rsid w:val="00855580"/>
    <w:rsid w:val="008555D4"/>
    <w:rsid w:val="00855664"/>
    <w:rsid w:val="008556D0"/>
    <w:rsid w:val="008557F9"/>
    <w:rsid w:val="00855815"/>
    <w:rsid w:val="00855916"/>
    <w:rsid w:val="008559CB"/>
    <w:rsid w:val="00855A48"/>
    <w:rsid w:val="00855AB2"/>
    <w:rsid w:val="00855AFC"/>
    <w:rsid w:val="00855C51"/>
    <w:rsid w:val="00855CBB"/>
    <w:rsid w:val="00855D62"/>
    <w:rsid w:val="00855D97"/>
    <w:rsid w:val="00855F3E"/>
    <w:rsid w:val="00855F58"/>
    <w:rsid w:val="00855FE8"/>
    <w:rsid w:val="00856047"/>
    <w:rsid w:val="00856075"/>
    <w:rsid w:val="0085608E"/>
    <w:rsid w:val="00856189"/>
    <w:rsid w:val="008561B9"/>
    <w:rsid w:val="008562A9"/>
    <w:rsid w:val="008562AD"/>
    <w:rsid w:val="008562D0"/>
    <w:rsid w:val="008563BF"/>
    <w:rsid w:val="00856426"/>
    <w:rsid w:val="008565A1"/>
    <w:rsid w:val="00856614"/>
    <w:rsid w:val="00856874"/>
    <w:rsid w:val="00856879"/>
    <w:rsid w:val="008568F6"/>
    <w:rsid w:val="00856A74"/>
    <w:rsid w:val="00856CE6"/>
    <w:rsid w:val="00856DD8"/>
    <w:rsid w:val="00856DEF"/>
    <w:rsid w:val="00856F07"/>
    <w:rsid w:val="00856FDB"/>
    <w:rsid w:val="00857018"/>
    <w:rsid w:val="00857043"/>
    <w:rsid w:val="00857047"/>
    <w:rsid w:val="00857078"/>
    <w:rsid w:val="008570D6"/>
    <w:rsid w:val="0085710C"/>
    <w:rsid w:val="00857136"/>
    <w:rsid w:val="008573C3"/>
    <w:rsid w:val="00857441"/>
    <w:rsid w:val="00857582"/>
    <w:rsid w:val="0085758A"/>
    <w:rsid w:val="0085759D"/>
    <w:rsid w:val="008576D8"/>
    <w:rsid w:val="00857788"/>
    <w:rsid w:val="008577BD"/>
    <w:rsid w:val="008577F5"/>
    <w:rsid w:val="00857812"/>
    <w:rsid w:val="0085784F"/>
    <w:rsid w:val="00857A30"/>
    <w:rsid w:val="00857A42"/>
    <w:rsid w:val="00857A4A"/>
    <w:rsid w:val="00857B85"/>
    <w:rsid w:val="00857C00"/>
    <w:rsid w:val="00857C8D"/>
    <w:rsid w:val="00857DBD"/>
    <w:rsid w:val="00857DC7"/>
    <w:rsid w:val="00857DD6"/>
    <w:rsid w:val="00857DDB"/>
    <w:rsid w:val="00857DFD"/>
    <w:rsid w:val="008600D0"/>
    <w:rsid w:val="008601E9"/>
    <w:rsid w:val="00860354"/>
    <w:rsid w:val="0086041B"/>
    <w:rsid w:val="00860457"/>
    <w:rsid w:val="00860634"/>
    <w:rsid w:val="008606EC"/>
    <w:rsid w:val="00860756"/>
    <w:rsid w:val="00860898"/>
    <w:rsid w:val="00860A1E"/>
    <w:rsid w:val="00860AE0"/>
    <w:rsid w:val="00860B28"/>
    <w:rsid w:val="00860B87"/>
    <w:rsid w:val="00860BE1"/>
    <w:rsid w:val="00860C89"/>
    <w:rsid w:val="00860D6A"/>
    <w:rsid w:val="00860D71"/>
    <w:rsid w:val="00860D83"/>
    <w:rsid w:val="00860E98"/>
    <w:rsid w:val="00860F08"/>
    <w:rsid w:val="00860F77"/>
    <w:rsid w:val="0086101C"/>
    <w:rsid w:val="00861083"/>
    <w:rsid w:val="008610AE"/>
    <w:rsid w:val="008611C6"/>
    <w:rsid w:val="0086129B"/>
    <w:rsid w:val="008614A0"/>
    <w:rsid w:val="00861564"/>
    <w:rsid w:val="0086164E"/>
    <w:rsid w:val="00861653"/>
    <w:rsid w:val="00861739"/>
    <w:rsid w:val="00861749"/>
    <w:rsid w:val="008617C7"/>
    <w:rsid w:val="00861978"/>
    <w:rsid w:val="00861B4B"/>
    <w:rsid w:val="00861CCF"/>
    <w:rsid w:val="00861E0A"/>
    <w:rsid w:val="00861E9E"/>
    <w:rsid w:val="00862188"/>
    <w:rsid w:val="00862276"/>
    <w:rsid w:val="008622F6"/>
    <w:rsid w:val="008625AB"/>
    <w:rsid w:val="008625DF"/>
    <w:rsid w:val="008627AE"/>
    <w:rsid w:val="00862812"/>
    <w:rsid w:val="00862867"/>
    <w:rsid w:val="00862B0D"/>
    <w:rsid w:val="00862BEF"/>
    <w:rsid w:val="00862F03"/>
    <w:rsid w:val="00862FAE"/>
    <w:rsid w:val="00863030"/>
    <w:rsid w:val="0086310C"/>
    <w:rsid w:val="0086320B"/>
    <w:rsid w:val="0086320D"/>
    <w:rsid w:val="00863252"/>
    <w:rsid w:val="008633A7"/>
    <w:rsid w:val="008633F6"/>
    <w:rsid w:val="0086340C"/>
    <w:rsid w:val="00863454"/>
    <w:rsid w:val="00863556"/>
    <w:rsid w:val="00863564"/>
    <w:rsid w:val="008635EA"/>
    <w:rsid w:val="0086365E"/>
    <w:rsid w:val="0086366A"/>
    <w:rsid w:val="008636B1"/>
    <w:rsid w:val="008639C6"/>
    <w:rsid w:val="008639CE"/>
    <w:rsid w:val="008639F3"/>
    <w:rsid w:val="00863AF7"/>
    <w:rsid w:val="00863B02"/>
    <w:rsid w:val="00863BC4"/>
    <w:rsid w:val="00863BD9"/>
    <w:rsid w:val="00863D38"/>
    <w:rsid w:val="00863E18"/>
    <w:rsid w:val="00863E1A"/>
    <w:rsid w:val="00863E36"/>
    <w:rsid w:val="00863E49"/>
    <w:rsid w:val="00863EBA"/>
    <w:rsid w:val="00863F48"/>
    <w:rsid w:val="00863F61"/>
    <w:rsid w:val="008640AA"/>
    <w:rsid w:val="00864161"/>
    <w:rsid w:val="008641BF"/>
    <w:rsid w:val="0086434D"/>
    <w:rsid w:val="008644DE"/>
    <w:rsid w:val="008645A2"/>
    <w:rsid w:val="00864601"/>
    <w:rsid w:val="0086465E"/>
    <w:rsid w:val="0086477C"/>
    <w:rsid w:val="00864795"/>
    <w:rsid w:val="008647E2"/>
    <w:rsid w:val="008647FB"/>
    <w:rsid w:val="00864857"/>
    <w:rsid w:val="008648E2"/>
    <w:rsid w:val="00864A27"/>
    <w:rsid w:val="00864B51"/>
    <w:rsid w:val="00864B9B"/>
    <w:rsid w:val="00864C27"/>
    <w:rsid w:val="00864D79"/>
    <w:rsid w:val="00864DDD"/>
    <w:rsid w:val="00864DEC"/>
    <w:rsid w:val="00864E59"/>
    <w:rsid w:val="00864E8E"/>
    <w:rsid w:val="00864EC0"/>
    <w:rsid w:val="00864F75"/>
    <w:rsid w:val="00864FC5"/>
    <w:rsid w:val="00864FD2"/>
    <w:rsid w:val="0086502E"/>
    <w:rsid w:val="0086508C"/>
    <w:rsid w:val="00865292"/>
    <w:rsid w:val="00865341"/>
    <w:rsid w:val="00865446"/>
    <w:rsid w:val="0086544E"/>
    <w:rsid w:val="00865556"/>
    <w:rsid w:val="00865837"/>
    <w:rsid w:val="00865926"/>
    <w:rsid w:val="008659F5"/>
    <w:rsid w:val="00865A96"/>
    <w:rsid w:val="00865BAF"/>
    <w:rsid w:val="00865D74"/>
    <w:rsid w:val="00865DD2"/>
    <w:rsid w:val="00865EBA"/>
    <w:rsid w:val="00865EBB"/>
    <w:rsid w:val="00865F31"/>
    <w:rsid w:val="00866010"/>
    <w:rsid w:val="00866188"/>
    <w:rsid w:val="0086624A"/>
    <w:rsid w:val="00866255"/>
    <w:rsid w:val="008666C0"/>
    <w:rsid w:val="008666C4"/>
    <w:rsid w:val="008666E1"/>
    <w:rsid w:val="00866795"/>
    <w:rsid w:val="008667B4"/>
    <w:rsid w:val="008667B9"/>
    <w:rsid w:val="0086688B"/>
    <w:rsid w:val="008668C7"/>
    <w:rsid w:val="00866940"/>
    <w:rsid w:val="00866B3C"/>
    <w:rsid w:val="00866B41"/>
    <w:rsid w:val="00866B49"/>
    <w:rsid w:val="00866D6B"/>
    <w:rsid w:val="00866E19"/>
    <w:rsid w:val="00866E57"/>
    <w:rsid w:val="00866EBB"/>
    <w:rsid w:val="00866F16"/>
    <w:rsid w:val="0086707E"/>
    <w:rsid w:val="00867184"/>
    <w:rsid w:val="00867189"/>
    <w:rsid w:val="008671BA"/>
    <w:rsid w:val="008673BA"/>
    <w:rsid w:val="00867496"/>
    <w:rsid w:val="008676B7"/>
    <w:rsid w:val="008676C1"/>
    <w:rsid w:val="00867738"/>
    <w:rsid w:val="00867848"/>
    <w:rsid w:val="008678A5"/>
    <w:rsid w:val="00867906"/>
    <w:rsid w:val="00867A6B"/>
    <w:rsid w:val="00867B94"/>
    <w:rsid w:val="00867D43"/>
    <w:rsid w:val="00867D45"/>
    <w:rsid w:val="00867DA2"/>
    <w:rsid w:val="00867E3E"/>
    <w:rsid w:val="00867F88"/>
    <w:rsid w:val="00867F9E"/>
    <w:rsid w:val="00870212"/>
    <w:rsid w:val="00870272"/>
    <w:rsid w:val="008702A2"/>
    <w:rsid w:val="0087040E"/>
    <w:rsid w:val="00870415"/>
    <w:rsid w:val="0087077B"/>
    <w:rsid w:val="00870786"/>
    <w:rsid w:val="008707E6"/>
    <w:rsid w:val="0087096E"/>
    <w:rsid w:val="00870ADD"/>
    <w:rsid w:val="00870B19"/>
    <w:rsid w:val="00870DEE"/>
    <w:rsid w:val="00870EAC"/>
    <w:rsid w:val="00870ECA"/>
    <w:rsid w:val="00870F34"/>
    <w:rsid w:val="00870F67"/>
    <w:rsid w:val="00871019"/>
    <w:rsid w:val="0087107C"/>
    <w:rsid w:val="00871272"/>
    <w:rsid w:val="00871366"/>
    <w:rsid w:val="00871373"/>
    <w:rsid w:val="0087141E"/>
    <w:rsid w:val="0087144C"/>
    <w:rsid w:val="0087148D"/>
    <w:rsid w:val="008715F3"/>
    <w:rsid w:val="00871648"/>
    <w:rsid w:val="00871655"/>
    <w:rsid w:val="008717F9"/>
    <w:rsid w:val="008719A0"/>
    <w:rsid w:val="00871A93"/>
    <w:rsid w:val="00871C09"/>
    <w:rsid w:val="00871D1A"/>
    <w:rsid w:val="00871D1B"/>
    <w:rsid w:val="00871D5E"/>
    <w:rsid w:val="00871E4F"/>
    <w:rsid w:val="00871EFE"/>
    <w:rsid w:val="00871F0F"/>
    <w:rsid w:val="00871F61"/>
    <w:rsid w:val="00872108"/>
    <w:rsid w:val="008721B4"/>
    <w:rsid w:val="00872243"/>
    <w:rsid w:val="00872367"/>
    <w:rsid w:val="00872441"/>
    <w:rsid w:val="008724B0"/>
    <w:rsid w:val="0087251C"/>
    <w:rsid w:val="00872586"/>
    <w:rsid w:val="008725DD"/>
    <w:rsid w:val="008725E8"/>
    <w:rsid w:val="00872635"/>
    <w:rsid w:val="0087266F"/>
    <w:rsid w:val="00872723"/>
    <w:rsid w:val="008727D3"/>
    <w:rsid w:val="00872812"/>
    <w:rsid w:val="00872A95"/>
    <w:rsid w:val="00872DAD"/>
    <w:rsid w:val="00872DCD"/>
    <w:rsid w:val="00872DD8"/>
    <w:rsid w:val="00872FA0"/>
    <w:rsid w:val="00872FB4"/>
    <w:rsid w:val="00872FC6"/>
    <w:rsid w:val="00872FF0"/>
    <w:rsid w:val="008731E4"/>
    <w:rsid w:val="0087327B"/>
    <w:rsid w:val="0087339F"/>
    <w:rsid w:val="008734F5"/>
    <w:rsid w:val="00873538"/>
    <w:rsid w:val="00873598"/>
    <w:rsid w:val="0087377A"/>
    <w:rsid w:val="008737F4"/>
    <w:rsid w:val="00873945"/>
    <w:rsid w:val="0087395D"/>
    <w:rsid w:val="00873A91"/>
    <w:rsid w:val="00873AB7"/>
    <w:rsid w:val="00873AEC"/>
    <w:rsid w:val="00873B0E"/>
    <w:rsid w:val="00873BA6"/>
    <w:rsid w:val="00873BED"/>
    <w:rsid w:val="00873C1D"/>
    <w:rsid w:val="00873CB5"/>
    <w:rsid w:val="00873EB3"/>
    <w:rsid w:val="00873F48"/>
    <w:rsid w:val="00873F7E"/>
    <w:rsid w:val="008740E8"/>
    <w:rsid w:val="00874132"/>
    <w:rsid w:val="008744DA"/>
    <w:rsid w:val="008744FF"/>
    <w:rsid w:val="00874640"/>
    <w:rsid w:val="00874792"/>
    <w:rsid w:val="00874A30"/>
    <w:rsid w:val="00874A83"/>
    <w:rsid w:val="00874AD8"/>
    <w:rsid w:val="00874AF4"/>
    <w:rsid w:val="00874C01"/>
    <w:rsid w:val="00874C43"/>
    <w:rsid w:val="00874CA6"/>
    <w:rsid w:val="00874CCB"/>
    <w:rsid w:val="00874D31"/>
    <w:rsid w:val="00874DBB"/>
    <w:rsid w:val="00874E20"/>
    <w:rsid w:val="00874E8B"/>
    <w:rsid w:val="00874F8F"/>
    <w:rsid w:val="0087512A"/>
    <w:rsid w:val="008751CC"/>
    <w:rsid w:val="008753B9"/>
    <w:rsid w:val="008753F8"/>
    <w:rsid w:val="0087552A"/>
    <w:rsid w:val="00875583"/>
    <w:rsid w:val="00875780"/>
    <w:rsid w:val="008757CE"/>
    <w:rsid w:val="0087587D"/>
    <w:rsid w:val="0087590F"/>
    <w:rsid w:val="00875A5F"/>
    <w:rsid w:val="00875A87"/>
    <w:rsid w:val="00875AE4"/>
    <w:rsid w:val="00875BD3"/>
    <w:rsid w:val="00875BFD"/>
    <w:rsid w:val="00875DF2"/>
    <w:rsid w:val="00875E0B"/>
    <w:rsid w:val="00875E14"/>
    <w:rsid w:val="00875E28"/>
    <w:rsid w:val="00876218"/>
    <w:rsid w:val="0087627B"/>
    <w:rsid w:val="0087638D"/>
    <w:rsid w:val="008763BD"/>
    <w:rsid w:val="00876514"/>
    <w:rsid w:val="0087653C"/>
    <w:rsid w:val="008765A5"/>
    <w:rsid w:val="00876602"/>
    <w:rsid w:val="008767FE"/>
    <w:rsid w:val="00876898"/>
    <w:rsid w:val="008768AE"/>
    <w:rsid w:val="008768DE"/>
    <w:rsid w:val="008769A8"/>
    <w:rsid w:val="00876A3C"/>
    <w:rsid w:val="00876CBB"/>
    <w:rsid w:val="00876DE9"/>
    <w:rsid w:val="00876F90"/>
    <w:rsid w:val="00876F95"/>
    <w:rsid w:val="0087702C"/>
    <w:rsid w:val="008771CF"/>
    <w:rsid w:val="00877279"/>
    <w:rsid w:val="008772E5"/>
    <w:rsid w:val="00877321"/>
    <w:rsid w:val="008774DD"/>
    <w:rsid w:val="00877505"/>
    <w:rsid w:val="008775A0"/>
    <w:rsid w:val="00877638"/>
    <w:rsid w:val="008776FF"/>
    <w:rsid w:val="0087779D"/>
    <w:rsid w:val="008777DF"/>
    <w:rsid w:val="00877801"/>
    <w:rsid w:val="0087783D"/>
    <w:rsid w:val="008778E7"/>
    <w:rsid w:val="00877A85"/>
    <w:rsid w:val="00877D9E"/>
    <w:rsid w:val="00877DB3"/>
    <w:rsid w:val="00877E5D"/>
    <w:rsid w:val="00877F43"/>
    <w:rsid w:val="00877FF8"/>
    <w:rsid w:val="00880045"/>
    <w:rsid w:val="00880088"/>
    <w:rsid w:val="0088018E"/>
    <w:rsid w:val="008801D7"/>
    <w:rsid w:val="00880238"/>
    <w:rsid w:val="008802D0"/>
    <w:rsid w:val="008803BC"/>
    <w:rsid w:val="00880408"/>
    <w:rsid w:val="00880422"/>
    <w:rsid w:val="00880432"/>
    <w:rsid w:val="0088045B"/>
    <w:rsid w:val="0088059C"/>
    <w:rsid w:val="008807A8"/>
    <w:rsid w:val="00880962"/>
    <w:rsid w:val="00880A2C"/>
    <w:rsid w:val="00880AEA"/>
    <w:rsid w:val="00880AEB"/>
    <w:rsid w:val="00880C48"/>
    <w:rsid w:val="00880CED"/>
    <w:rsid w:val="00880EB8"/>
    <w:rsid w:val="00880F61"/>
    <w:rsid w:val="00880F8A"/>
    <w:rsid w:val="008811F8"/>
    <w:rsid w:val="008812AD"/>
    <w:rsid w:val="008812CC"/>
    <w:rsid w:val="008812EA"/>
    <w:rsid w:val="0088132F"/>
    <w:rsid w:val="00881407"/>
    <w:rsid w:val="00881483"/>
    <w:rsid w:val="0088150D"/>
    <w:rsid w:val="00881554"/>
    <w:rsid w:val="008817B0"/>
    <w:rsid w:val="008817D9"/>
    <w:rsid w:val="008819BA"/>
    <w:rsid w:val="00881A83"/>
    <w:rsid w:val="00881A96"/>
    <w:rsid w:val="00881B0C"/>
    <w:rsid w:val="00881B45"/>
    <w:rsid w:val="00881C95"/>
    <w:rsid w:val="00881CE7"/>
    <w:rsid w:val="00881E07"/>
    <w:rsid w:val="00881E0B"/>
    <w:rsid w:val="00881FE3"/>
    <w:rsid w:val="00882071"/>
    <w:rsid w:val="008820E4"/>
    <w:rsid w:val="008822B2"/>
    <w:rsid w:val="00882560"/>
    <w:rsid w:val="008826C5"/>
    <w:rsid w:val="008827EB"/>
    <w:rsid w:val="00882806"/>
    <w:rsid w:val="00882840"/>
    <w:rsid w:val="00882988"/>
    <w:rsid w:val="00882B62"/>
    <w:rsid w:val="00882E29"/>
    <w:rsid w:val="00882EA9"/>
    <w:rsid w:val="00882F16"/>
    <w:rsid w:val="00882F22"/>
    <w:rsid w:val="00883097"/>
    <w:rsid w:val="008832E7"/>
    <w:rsid w:val="00883309"/>
    <w:rsid w:val="00883332"/>
    <w:rsid w:val="008833C0"/>
    <w:rsid w:val="00883560"/>
    <w:rsid w:val="008836A0"/>
    <w:rsid w:val="008836C8"/>
    <w:rsid w:val="008836E5"/>
    <w:rsid w:val="00883717"/>
    <w:rsid w:val="008837F2"/>
    <w:rsid w:val="0088394E"/>
    <w:rsid w:val="00883A54"/>
    <w:rsid w:val="00883AE9"/>
    <w:rsid w:val="00883D5C"/>
    <w:rsid w:val="00883EF3"/>
    <w:rsid w:val="00883F9B"/>
    <w:rsid w:val="00884030"/>
    <w:rsid w:val="00884081"/>
    <w:rsid w:val="008840D7"/>
    <w:rsid w:val="0088423D"/>
    <w:rsid w:val="008842B0"/>
    <w:rsid w:val="008842D3"/>
    <w:rsid w:val="00884386"/>
    <w:rsid w:val="00884494"/>
    <w:rsid w:val="008844E0"/>
    <w:rsid w:val="008844E1"/>
    <w:rsid w:val="00884549"/>
    <w:rsid w:val="00884655"/>
    <w:rsid w:val="008846D9"/>
    <w:rsid w:val="008846E9"/>
    <w:rsid w:val="008847F2"/>
    <w:rsid w:val="00884943"/>
    <w:rsid w:val="00884A1A"/>
    <w:rsid w:val="00884A1B"/>
    <w:rsid w:val="00884B82"/>
    <w:rsid w:val="00884BAD"/>
    <w:rsid w:val="00884C08"/>
    <w:rsid w:val="00884DE0"/>
    <w:rsid w:val="00884E37"/>
    <w:rsid w:val="00884F7E"/>
    <w:rsid w:val="0088508D"/>
    <w:rsid w:val="0088542D"/>
    <w:rsid w:val="008855A1"/>
    <w:rsid w:val="0088568D"/>
    <w:rsid w:val="008856FC"/>
    <w:rsid w:val="008857E4"/>
    <w:rsid w:val="00885813"/>
    <w:rsid w:val="00885818"/>
    <w:rsid w:val="00885870"/>
    <w:rsid w:val="00885873"/>
    <w:rsid w:val="00885906"/>
    <w:rsid w:val="008859B3"/>
    <w:rsid w:val="00885A21"/>
    <w:rsid w:val="00885A2A"/>
    <w:rsid w:val="00885AC7"/>
    <w:rsid w:val="00885B57"/>
    <w:rsid w:val="00885B9E"/>
    <w:rsid w:val="00885C6D"/>
    <w:rsid w:val="00885C7E"/>
    <w:rsid w:val="00885C84"/>
    <w:rsid w:val="00885D41"/>
    <w:rsid w:val="00885D97"/>
    <w:rsid w:val="00885F2F"/>
    <w:rsid w:val="008862F8"/>
    <w:rsid w:val="00886438"/>
    <w:rsid w:val="008864FF"/>
    <w:rsid w:val="00886656"/>
    <w:rsid w:val="00886708"/>
    <w:rsid w:val="008867C3"/>
    <w:rsid w:val="008867CE"/>
    <w:rsid w:val="008869E1"/>
    <w:rsid w:val="00886B6B"/>
    <w:rsid w:val="00886BBA"/>
    <w:rsid w:val="00886BDF"/>
    <w:rsid w:val="00886C0E"/>
    <w:rsid w:val="00886C5E"/>
    <w:rsid w:val="00886D56"/>
    <w:rsid w:val="00886DD0"/>
    <w:rsid w:val="00886E27"/>
    <w:rsid w:val="00886F1F"/>
    <w:rsid w:val="0088709F"/>
    <w:rsid w:val="0088715A"/>
    <w:rsid w:val="00887350"/>
    <w:rsid w:val="00887406"/>
    <w:rsid w:val="00887428"/>
    <w:rsid w:val="008874C5"/>
    <w:rsid w:val="008874FA"/>
    <w:rsid w:val="0088753B"/>
    <w:rsid w:val="00887658"/>
    <w:rsid w:val="0088778D"/>
    <w:rsid w:val="008877DE"/>
    <w:rsid w:val="00887801"/>
    <w:rsid w:val="00887868"/>
    <w:rsid w:val="00887918"/>
    <w:rsid w:val="00887985"/>
    <w:rsid w:val="00887B23"/>
    <w:rsid w:val="00887C3B"/>
    <w:rsid w:val="00887D7E"/>
    <w:rsid w:val="00887EA5"/>
    <w:rsid w:val="00887F2C"/>
    <w:rsid w:val="00887F3C"/>
    <w:rsid w:val="00887FEF"/>
    <w:rsid w:val="0088A2BA"/>
    <w:rsid w:val="00890097"/>
    <w:rsid w:val="0089017D"/>
    <w:rsid w:val="00890203"/>
    <w:rsid w:val="0089032F"/>
    <w:rsid w:val="0089035A"/>
    <w:rsid w:val="0089037F"/>
    <w:rsid w:val="008903AB"/>
    <w:rsid w:val="008903E8"/>
    <w:rsid w:val="00890449"/>
    <w:rsid w:val="0089059B"/>
    <w:rsid w:val="008905BB"/>
    <w:rsid w:val="00890859"/>
    <w:rsid w:val="0089091D"/>
    <w:rsid w:val="008909F5"/>
    <w:rsid w:val="00890A11"/>
    <w:rsid w:val="00890A6C"/>
    <w:rsid w:val="00890B10"/>
    <w:rsid w:val="00890BEE"/>
    <w:rsid w:val="00890C73"/>
    <w:rsid w:val="00890CF3"/>
    <w:rsid w:val="00890CFD"/>
    <w:rsid w:val="00890CFF"/>
    <w:rsid w:val="00890D4A"/>
    <w:rsid w:val="00890D8E"/>
    <w:rsid w:val="00890F78"/>
    <w:rsid w:val="00891056"/>
    <w:rsid w:val="008911A1"/>
    <w:rsid w:val="0089132A"/>
    <w:rsid w:val="00891512"/>
    <w:rsid w:val="0089153D"/>
    <w:rsid w:val="00891577"/>
    <w:rsid w:val="00891593"/>
    <w:rsid w:val="00891616"/>
    <w:rsid w:val="008916DC"/>
    <w:rsid w:val="00891793"/>
    <w:rsid w:val="008917E4"/>
    <w:rsid w:val="00891A28"/>
    <w:rsid w:val="00891A50"/>
    <w:rsid w:val="00891BC7"/>
    <w:rsid w:val="00891C02"/>
    <w:rsid w:val="00891C99"/>
    <w:rsid w:val="00891CA9"/>
    <w:rsid w:val="00891D31"/>
    <w:rsid w:val="00891DDE"/>
    <w:rsid w:val="00891E10"/>
    <w:rsid w:val="00891FA4"/>
    <w:rsid w:val="00892028"/>
    <w:rsid w:val="0089206B"/>
    <w:rsid w:val="0089218B"/>
    <w:rsid w:val="0089218E"/>
    <w:rsid w:val="00892193"/>
    <w:rsid w:val="008921AE"/>
    <w:rsid w:val="008921B8"/>
    <w:rsid w:val="00892367"/>
    <w:rsid w:val="0089242C"/>
    <w:rsid w:val="00892566"/>
    <w:rsid w:val="00892636"/>
    <w:rsid w:val="008926DC"/>
    <w:rsid w:val="0089275E"/>
    <w:rsid w:val="0089277F"/>
    <w:rsid w:val="008929BB"/>
    <w:rsid w:val="00892B7D"/>
    <w:rsid w:val="00892B87"/>
    <w:rsid w:val="00892C0A"/>
    <w:rsid w:val="00892E0B"/>
    <w:rsid w:val="00892ED0"/>
    <w:rsid w:val="00892ED2"/>
    <w:rsid w:val="00892EFF"/>
    <w:rsid w:val="00892FAE"/>
    <w:rsid w:val="00892FD4"/>
    <w:rsid w:val="0089307B"/>
    <w:rsid w:val="0089309C"/>
    <w:rsid w:val="008930BE"/>
    <w:rsid w:val="00893114"/>
    <w:rsid w:val="008931DD"/>
    <w:rsid w:val="008932CA"/>
    <w:rsid w:val="0089336A"/>
    <w:rsid w:val="0089337C"/>
    <w:rsid w:val="00893386"/>
    <w:rsid w:val="0089341C"/>
    <w:rsid w:val="00893427"/>
    <w:rsid w:val="008934E7"/>
    <w:rsid w:val="0089372E"/>
    <w:rsid w:val="00893780"/>
    <w:rsid w:val="008938E6"/>
    <w:rsid w:val="00893917"/>
    <w:rsid w:val="00893A0F"/>
    <w:rsid w:val="00893A68"/>
    <w:rsid w:val="00893B47"/>
    <w:rsid w:val="00893BCA"/>
    <w:rsid w:val="00893C12"/>
    <w:rsid w:val="00893CD9"/>
    <w:rsid w:val="00893D2F"/>
    <w:rsid w:val="00893D61"/>
    <w:rsid w:val="00893F7A"/>
    <w:rsid w:val="00893F81"/>
    <w:rsid w:val="00893FF8"/>
    <w:rsid w:val="008940B1"/>
    <w:rsid w:val="008940C9"/>
    <w:rsid w:val="00894571"/>
    <w:rsid w:val="008945CC"/>
    <w:rsid w:val="00894621"/>
    <w:rsid w:val="0089463A"/>
    <w:rsid w:val="008949C6"/>
    <w:rsid w:val="00894A8C"/>
    <w:rsid w:val="00894B25"/>
    <w:rsid w:val="00894B6D"/>
    <w:rsid w:val="00894BBC"/>
    <w:rsid w:val="00894C2D"/>
    <w:rsid w:val="00894E54"/>
    <w:rsid w:val="00894E5E"/>
    <w:rsid w:val="00894EAF"/>
    <w:rsid w:val="00894F25"/>
    <w:rsid w:val="00894F6E"/>
    <w:rsid w:val="0089558D"/>
    <w:rsid w:val="0089565E"/>
    <w:rsid w:val="008956DD"/>
    <w:rsid w:val="00895802"/>
    <w:rsid w:val="00895911"/>
    <w:rsid w:val="00895984"/>
    <w:rsid w:val="00895A57"/>
    <w:rsid w:val="00895B1F"/>
    <w:rsid w:val="00895B79"/>
    <w:rsid w:val="00895B87"/>
    <w:rsid w:val="00895C5D"/>
    <w:rsid w:val="00895E06"/>
    <w:rsid w:val="00895EE4"/>
    <w:rsid w:val="00895F91"/>
    <w:rsid w:val="00895FF7"/>
    <w:rsid w:val="00896025"/>
    <w:rsid w:val="0089607A"/>
    <w:rsid w:val="008960A7"/>
    <w:rsid w:val="008960EF"/>
    <w:rsid w:val="0089615F"/>
    <w:rsid w:val="00896384"/>
    <w:rsid w:val="008963EB"/>
    <w:rsid w:val="00896424"/>
    <w:rsid w:val="0089666D"/>
    <w:rsid w:val="008966D0"/>
    <w:rsid w:val="00896718"/>
    <w:rsid w:val="00896757"/>
    <w:rsid w:val="008967C5"/>
    <w:rsid w:val="008967FE"/>
    <w:rsid w:val="008968DF"/>
    <w:rsid w:val="00896954"/>
    <w:rsid w:val="00896988"/>
    <w:rsid w:val="00896B20"/>
    <w:rsid w:val="00896B4D"/>
    <w:rsid w:val="00896BE8"/>
    <w:rsid w:val="00896D74"/>
    <w:rsid w:val="00896D8E"/>
    <w:rsid w:val="00896DF0"/>
    <w:rsid w:val="00896ED8"/>
    <w:rsid w:val="0089701E"/>
    <w:rsid w:val="0089702C"/>
    <w:rsid w:val="0089705D"/>
    <w:rsid w:val="0089715A"/>
    <w:rsid w:val="0089729A"/>
    <w:rsid w:val="008972FD"/>
    <w:rsid w:val="00897360"/>
    <w:rsid w:val="00897471"/>
    <w:rsid w:val="0089759C"/>
    <w:rsid w:val="008976D7"/>
    <w:rsid w:val="008976E9"/>
    <w:rsid w:val="00897758"/>
    <w:rsid w:val="0089779A"/>
    <w:rsid w:val="0089784B"/>
    <w:rsid w:val="00897980"/>
    <w:rsid w:val="00897992"/>
    <w:rsid w:val="00897A06"/>
    <w:rsid w:val="00897A84"/>
    <w:rsid w:val="00897CBB"/>
    <w:rsid w:val="00897CCC"/>
    <w:rsid w:val="00897CE3"/>
    <w:rsid w:val="00897DEC"/>
    <w:rsid w:val="00897E63"/>
    <w:rsid w:val="00897E87"/>
    <w:rsid w:val="00897EFB"/>
    <w:rsid w:val="00897F3F"/>
    <w:rsid w:val="008A01F5"/>
    <w:rsid w:val="008A0213"/>
    <w:rsid w:val="008A034E"/>
    <w:rsid w:val="008A0370"/>
    <w:rsid w:val="008A052A"/>
    <w:rsid w:val="008A0562"/>
    <w:rsid w:val="008A059E"/>
    <w:rsid w:val="008A05BB"/>
    <w:rsid w:val="008A065C"/>
    <w:rsid w:val="008A06A0"/>
    <w:rsid w:val="008A06E9"/>
    <w:rsid w:val="008A0765"/>
    <w:rsid w:val="008A07E9"/>
    <w:rsid w:val="008A0894"/>
    <w:rsid w:val="008A08AA"/>
    <w:rsid w:val="008A08F1"/>
    <w:rsid w:val="008A098C"/>
    <w:rsid w:val="008A098D"/>
    <w:rsid w:val="008A09B4"/>
    <w:rsid w:val="008A0A7B"/>
    <w:rsid w:val="008A0B2A"/>
    <w:rsid w:val="008A0B72"/>
    <w:rsid w:val="008A0C05"/>
    <w:rsid w:val="008A0D90"/>
    <w:rsid w:val="008A0FFC"/>
    <w:rsid w:val="008A1097"/>
    <w:rsid w:val="008A1180"/>
    <w:rsid w:val="008A1195"/>
    <w:rsid w:val="008A124C"/>
    <w:rsid w:val="008A12B0"/>
    <w:rsid w:val="008A1550"/>
    <w:rsid w:val="008A1639"/>
    <w:rsid w:val="008A182C"/>
    <w:rsid w:val="008A1867"/>
    <w:rsid w:val="008A18A0"/>
    <w:rsid w:val="008A18D4"/>
    <w:rsid w:val="008A194C"/>
    <w:rsid w:val="008A19C6"/>
    <w:rsid w:val="008A1B0C"/>
    <w:rsid w:val="008A1B74"/>
    <w:rsid w:val="008A1BD7"/>
    <w:rsid w:val="008A1C38"/>
    <w:rsid w:val="008A1E2B"/>
    <w:rsid w:val="008A1EB1"/>
    <w:rsid w:val="008A1EB5"/>
    <w:rsid w:val="008A1FC1"/>
    <w:rsid w:val="008A1FC3"/>
    <w:rsid w:val="008A20FD"/>
    <w:rsid w:val="008A2149"/>
    <w:rsid w:val="008A219E"/>
    <w:rsid w:val="008A237F"/>
    <w:rsid w:val="008A23B8"/>
    <w:rsid w:val="008A23E4"/>
    <w:rsid w:val="008A25FC"/>
    <w:rsid w:val="008A261D"/>
    <w:rsid w:val="008A2676"/>
    <w:rsid w:val="008A2683"/>
    <w:rsid w:val="008A26A6"/>
    <w:rsid w:val="008A2768"/>
    <w:rsid w:val="008A2817"/>
    <w:rsid w:val="008A2999"/>
    <w:rsid w:val="008A29EF"/>
    <w:rsid w:val="008A2A15"/>
    <w:rsid w:val="008A2B96"/>
    <w:rsid w:val="008A2BD8"/>
    <w:rsid w:val="008A2D5E"/>
    <w:rsid w:val="008A2DBC"/>
    <w:rsid w:val="008A2E82"/>
    <w:rsid w:val="008A302D"/>
    <w:rsid w:val="008A304B"/>
    <w:rsid w:val="008A30CF"/>
    <w:rsid w:val="008A30E9"/>
    <w:rsid w:val="008A3119"/>
    <w:rsid w:val="008A35A4"/>
    <w:rsid w:val="008A35BB"/>
    <w:rsid w:val="008A3800"/>
    <w:rsid w:val="008A386D"/>
    <w:rsid w:val="008A392D"/>
    <w:rsid w:val="008A3943"/>
    <w:rsid w:val="008A39AA"/>
    <w:rsid w:val="008A39D8"/>
    <w:rsid w:val="008A3A48"/>
    <w:rsid w:val="008A3ABC"/>
    <w:rsid w:val="008A3B1A"/>
    <w:rsid w:val="008A3B7D"/>
    <w:rsid w:val="008A3C4C"/>
    <w:rsid w:val="008A3D47"/>
    <w:rsid w:val="008A3D7A"/>
    <w:rsid w:val="008A3DB2"/>
    <w:rsid w:val="008A3EA8"/>
    <w:rsid w:val="008A4111"/>
    <w:rsid w:val="008A41B9"/>
    <w:rsid w:val="008A435D"/>
    <w:rsid w:val="008A43B0"/>
    <w:rsid w:val="008A43B1"/>
    <w:rsid w:val="008A443C"/>
    <w:rsid w:val="008A465B"/>
    <w:rsid w:val="008A46D9"/>
    <w:rsid w:val="008A4709"/>
    <w:rsid w:val="008A48A7"/>
    <w:rsid w:val="008A48FF"/>
    <w:rsid w:val="008A49CD"/>
    <w:rsid w:val="008A4A74"/>
    <w:rsid w:val="008A4ABD"/>
    <w:rsid w:val="008A4B69"/>
    <w:rsid w:val="008A4BB1"/>
    <w:rsid w:val="008A4BD2"/>
    <w:rsid w:val="008A4C91"/>
    <w:rsid w:val="008A4D45"/>
    <w:rsid w:val="008A4D89"/>
    <w:rsid w:val="008A4DA0"/>
    <w:rsid w:val="008A4DA1"/>
    <w:rsid w:val="008A4DEF"/>
    <w:rsid w:val="008A4E1B"/>
    <w:rsid w:val="008A4E86"/>
    <w:rsid w:val="008A4EA0"/>
    <w:rsid w:val="008A51B0"/>
    <w:rsid w:val="008A552A"/>
    <w:rsid w:val="008A55F1"/>
    <w:rsid w:val="008A57D1"/>
    <w:rsid w:val="008A57E7"/>
    <w:rsid w:val="008A597F"/>
    <w:rsid w:val="008A5A65"/>
    <w:rsid w:val="008A5B40"/>
    <w:rsid w:val="008A5DED"/>
    <w:rsid w:val="008A5E95"/>
    <w:rsid w:val="008A5F6C"/>
    <w:rsid w:val="008A611F"/>
    <w:rsid w:val="008A6129"/>
    <w:rsid w:val="008A622C"/>
    <w:rsid w:val="008A6396"/>
    <w:rsid w:val="008A64C0"/>
    <w:rsid w:val="008A64DE"/>
    <w:rsid w:val="008A65B3"/>
    <w:rsid w:val="008A663B"/>
    <w:rsid w:val="008A6676"/>
    <w:rsid w:val="008A6B18"/>
    <w:rsid w:val="008A6B98"/>
    <w:rsid w:val="008A6BA2"/>
    <w:rsid w:val="008A6C71"/>
    <w:rsid w:val="008A6C80"/>
    <w:rsid w:val="008A6F7A"/>
    <w:rsid w:val="008A7014"/>
    <w:rsid w:val="008A70C3"/>
    <w:rsid w:val="008A70DE"/>
    <w:rsid w:val="008A70EF"/>
    <w:rsid w:val="008A7179"/>
    <w:rsid w:val="008A71AC"/>
    <w:rsid w:val="008A73B1"/>
    <w:rsid w:val="008A746B"/>
    <w:rsid w:val="008A76A0"/>
    <w:rsid w:val="008A774B"/>
    <w:rsid w:val="008A77FB"/>
    <w:rsid w:val="008A78D0"/>
    <w:rsid w:val="008A78DE"/>
    <w:rsid w:val="008A78EA"/>
    <w:rsid w:val="008A7A29"/>
    <w:rsid w:val="008A7AB3"/>
    <w:rsid w:val="008A7AEB"/>
    <w:rsid w:val="008A7B3F"/>
    <w:rsid w:val="008A7C3F"/>
    <w:rsid w:val="008A7C6D"/>
    <w:rsid w:val="008A7D10"/>
    <w:rsid w:val="008A7E1C"/>
    <w:rsid w:val="008A7F14"/>
    <w:rsid w:val="008A7FCE"/>
    <w:rsid w:val="008B0011"/>
    <w:rsid w:val="008B01A9"/>
    <w:rsid w:val="008B0378"/>
    <w:rsid w:val="008B0389"/>
    <w:rsid w:val="008B038C"/>
    <w:rsid w:val="008B03A0"/>
    <w:rsid w:val="008B0419"/>
    <w:rsid w:val="008B0443"/>
    <w:rsid w:val="008B0465"/>
    <w:rsid w:val="008B06DC"/>
    <w:rsid w:val="008B06E2"/>
    <w:rsid w:val="008B07B8"/>
    <w:rsid w:val="008B07FA"/>
    <w:rsid w:val="008B090B"/>
    <w:rsid w:val="008B09D3"/>
    <w:rsid w:val="008B0A17"/>
    <w:rsid w:val="008B0B7F"/>
    <w:rsid w:val="008B0C60"/>
    <w:rsid w:val="008B0CB0"/>
    <w:rsid w:val="008B0D36"/>
    <w:rsid w:val="008B0EE9"/>
    <w:rsid w:val="008B0F32"/>
    <w:rsid w:val="008B0FE2"/>
    <w:rsid w:val="008B0FFB"/>
    <w:rsid w:val="008B1154"/>
    <w:rsid w:val="008B120A"/>
    <w:rsid w:val="008B13F9"/>
    <w:rsid w:val="008B1460"/>
    <w:rsid w:val="008B154B"/>
    <w:rsid w:val="008B156A"/>
    <w:rsid w:val="008B1658"/>
    <w:rsid w:val="008B1697"/>
    <w:rsid w:val="008B16B6"/>
    <w:rsid w:val="008B1772"/>
    <w:rsid w:val="008B1819"/>
    <w:rsid w:val="008B184C"/>
    <w:rsid w:val="008B1894"/>
    <w:rsid w:val="008B189E"/>
    <w:rsid w:val="008B19B9"/>
    <w:rsid w:val="008B1AC0"/>
    <w:rsid w:val="008B1ACB"/>
    <w:rsid w:val="008B1B1F"/>
    <w:rsid w:val="008B1B9E"/>
    <w:rsid w:val="008B1BD4"/>
    <w:rsid w:val="008B1C13"/>
    <w:rsid w:val="008B1ED8"/>
    <w:rsid w:val="008B2093"/>
    <w:rsid w:val="008B20C7"/>
    <w:rsid w:val="008B23CF"/>
    <w:rsid w:val="008B24E4"/>
    <w:rsid w:val="008B2726"/>
    <w:rsid w:val="008B2727"/>
    <w:rsid w:val="008B276C"/>
    <w:rsid w:val="008B283D"/>
    <w:rsid w:val="008B2914"/>
    <w:rsid w:val="008B2987"/>
    <w:rsid w:val="008B29D1"/>
    <w:rsid w:val="008B29E5"/>
    <w:rsid w:val="008B29FD"/>
    <w:rsid w:val="008B2C37"/>
    <w:rsid w:val="008B2CD3"/>
    <w:rsid w:val="008B2D05"/>
    <w:rsid w:val="008B2D4B"/>
    <w:rsid w:val="008B2D66"/>
    <w:rsid w:val="008B2E03"/>
    <w:rsid w:val="008B2E21"/>
    <w:rsid w:val="008B2EB3"/>
    <w:rsid w:val="008B3017"/>
    <w:rsid w:val="008B3302"/>
    <w:rsid w:val="008B3316"/>
    <w:rsid w:val="008B339D"/>
    <w:rsid w:val="008B3425"/>
    <w:rsid w:val="008B3492"/>
    <w:rsid w:val="008B34BA"/>
    <w:rsid w:val="008B34BF"/>
    <w:rsid w:val="008B3637"/>
    <w:rsid w:val="008B3858"/>
    <w:rsid w:val="008B38F0"/>
    <w:rsid w:val="008B3979"/>
    <w:rsid w:val="008B39E0"/>
    <w:rsid w:val="008B3A55"/>
    <w:rsid w:val="008B3AA5"/>
    <w:rsid w:val="008B3AEA"/>
    <w:rsid w:val="008B3BB8"/>
    <w:rsid w:val="008B3C03"/>
    <w:rsid w:val="008B3D85"/>
    <w:rsid w:val="008B3EF2"/>
    <w:rsid w:val="008B3F04"/>
    <w:rsid w:val="008B3F90"/>
    <w:rsid w:val="008B4028"/>
    <w:rsid w:val="008B42DD"/>
    <w:rsid w:val="008B42F1"/>
    <w:rsid w:val="008B430D"/>
    <w:rsid w:val="008B43D7"/>
    <w:rsid w:val="008B43F6"/>
    <w:rsid w:val="008B446C"/>
    <w:rsid w:val="008B44EF"/>
    <w:rsid w:val="008B452B"/>
    <w:rsid w:val="008B4578"/>
    <w:rsid w:val="008B4584"/>
    <w:rsid w:val="008B45C2"/>
    <w:rsid w:val="008B4696"/>
    <w:rsid w:val="008B46DF"/>
    <w:rsid w:val="008B46F9"/>
    <w:rsid w:val="008B48EB"/>
    <w:rsid w:val="008B48EE"/>
    <w:rsid w:val="008B48F3"/>
    <w:rsid w:val="008B48FA"/>
    <w:rsid w:val="008B4962"/>
    <w:rsid w:val="008B4973"/>
    <w:rsid w:val="008B4A1A"/>
    <w:rsid w:val="008B4A23"/>
    <w:rsid w:val="008B4A75"/>
    <w:rsid w:val="008B4B77"/>
    <w:rsid w:val="008B4B96"/>
    <w:rsid w:val="008B4CF1"/>
    <w:rsid w:val="008B4E37"/>
    <w:rsid w:val="008B4F37"/>
    <w:rsid w:val="008B50C3"/>
    <w:rsid w:val="008B516D"/>
    <w:rsid w:val="008B51F3"/>
    <w:rsid w:val="008B5295"/>
    <w:rsid w:val="008B53A2"/>
    <w:rsid w:val="008B5498"/>
    <w:rsid w:val="008B54AF"/>
    <w:rsid w:val="008B54C7"/>
    <w:rsid w:val="008B54F9"/>
    <w:rsid w:val="008B54FF"/>
    <w:rsid w:val="008B5578"/>
    <w:rsid w:val="008B5671"/>
    <w:rsid w:val="008B5810"/>
    <w:rsid w:val="008B5854"/>
    <w:rsid w:val="008B58C0"/>
    <w:rsid w:val="008B5956"/>
    <w:rsid w:val="008B5A67"/>
    <w:rsid w:val="008B5A97"/>
    <w:rsid w:val="008B5BE0"/>
    <w:rsid w:val="008B5ECB"/>
    <w:rsid w:val="008B5ED6"/>
    <w:rsid w:val="008B6193"/>
    <w:rsid w:val="008B6336"/>
    <w:rsid w:val="008B6408"/>
    <w:rsid w:val="008B64CB"/>
    <w:rsid w:val="008B64F6"/>
    <w:rsid w:val="008B650D"/>
    <w:rsid w:val="008B651A"/>
    <w:rsid w:val="008B6578"/>
    <w:rsid w:val="008B65CE"/>
    <w:rsid w:val="008B65E3"/>
    <w:rsid w:val="008B665E"/>
    <w:rsid w:val="008B666B"/>
    <w:rsid w:val="008B6691"/>
    <w:rsid w:val="008B66D1"/>
    <w:rsid w:val="008B6753"/>
    <w:rsid w:val="008B681B"/>
    <w:rsid w:val="008B6862"/>
    <w:rsid w:val="008B68D2"/>
    <w:rsid w:val="008B6A5F"/>
    <w:rsid w:val="008B6B1E"/>
    <w:rsid w:val="008B6D01"/>
    <w:rsid w:val="008B6D18"/>
    <w:rsid w:val="008B6DBD"/>
    <w:rsid w:val="008B6DC0"/>
    <w:rsid w:val="008B6F10"/>
    <w:rsid w:val="008B6F5B"/>
    <w:rsid w:val="008B6F5F"/>
    <w:rsid w:val="008B7382"/>
    <w:rsid w:val="008B74A1"/>
    <w:rsid w:val="008B7509"/>
    <w:rsid w:val="008B7538"/>
    <w:rsid w:val="008B7548"/>
    <w:rsid w:val="008B755B"/>
    <w:rsid w:val="008B7598"/>
    <w:rsid w:val="008B77B6"/>
    <w:rsid w:val="008B79B1"/>
    <w:rsid w:val="008B7A11"/>
    <w:rsid w:val="008B7CFA"/>
    <w:rsid w:val="008B7D06"/>
    <w:rsid w:val="008B7D13"/>
    <w:rsid w:val="008B7DD6"/>
    <w:rsid w:val="008B7E0C"/>
    <w:rsid w:val="008B7FB1"/>
    <w:rsid w:val="008B7FB8"/>
    <w:rsid w:val="008C00C7"/>
    <w:rsid w:val="008C017A"/>
    <w:rsid w:val="008C027E"/>
    <w:rsid w:val="008C02BB"/>
    <w:rsid w:val="008C036D"/>
    <w:rsid w:val="008C0372"/>
    <w:rsid w:val="008C0393"/>
    <w:rsid w:val="008C05FF"/>
    <w:rsid w:val="008C068F"/>
    <w:rsid w:val="008C0742"/>
    <w:rsid w:val="008C07DB"/>
    <w:rsid w:val="008C0840"/>
    <w:rsid w:val="008C08A9"/>
    <w:rsid w:val="008C0A28"/>
    <w:rsid w:val="008C0A31"/>
    <w:rsid w:val="008C0AB7"/>
    <w:rsid w:val="008C0AF9"/>
    <w:rsid w:val="008C0BE4"/>
    <w:rsid w:val="008C0C9F"/>
    <w:rsid w:val="008C0DF4"/>
    <w:rsid w:val="008C10F8"/>
    <w:rsid w:val="008C1121"/>
    <w:rsid w:val="008C1169"/>
    <w:rsid w:val="008C1291"/>
    <w:rsid w:val="008C1364"/>
    <w:rsid w:val="008C13C7"/>
    <w:rsid w:val="008C1536"/>
    <w:rsid w:val="008C1561"/>
    <w:rsid w:val="008C15CB"/>
    <w:rsid w:val="008C1618"/>
    <w:rsid w:val="008C16D4"/>
    <w:rsid w:val="008C171F"/>
    <w:rsid w:val="008C17CD"/>
    <w:rsid w:val="008C180E"/>
    <w:rsid w:val="008C184B"/>
    <w:rsid w:val="008C1866"/>
    <w:rsid w:val="008C18B2"/>
    <w:rsid w:val="008C1AFA"/>
    <w:rsid w:val="008C1CF8"/>
    <w:rsid w:val="008C1D8F"/>
    <w:rsid w:val="008C1E34"/>
    <w:rsid w:val="008C1FA7"/>
    <w:rsid w:val="008C206F"/>
    <w:rsid w:val="008C21EA"/>
    <w:rsid w:val="008C21EB"/>
    <w:rsid w:val="008C2206"/>
    <w:rsid w:val="008C23C3"/>
    <w:rsid w:val="008C2412"/>
    <w:rsid w:val="008C249E"/>
    <w:rsid w:val="008C24C3"/>
    <w:rsid w:val="008C257B"/>
    <w:rsid w:val="008C2602"/>
    <w:rsid w:val="008C2705"/>
    <w:rsid w:val="008C2A7A"/>
    <w:rsid w:val="008C2BCD"/>
    <w:rsid w:val="008C2C83"/>
    <w:rsid w:val="008C2C89"/>
    <w:rsid w:val="008C2CAB"/>
    <w:rsid w:val="008C2CE2"/>
    <w:rsid w:val="008C2D06"/>
    <w:rsid w:val="008C2F55"/>
    <w:rsid w:val="008C2FA8"/>
    <w:rsid w:val="008C30D1"/>
    <w:rsid w:val="008C312E"/>
    <w:rsid w:val="008C3143"/>
    <w:rsid w:val="008C321C"/>
    <w:rsid w:val="008C338E"/>
    <w:rsid w:val="008C359C"/>
    <w:rsid w:val="008C35CF"/>
    <w:rsid w:val="008C35EA"/>
    <w:rsid w:val="008C3714"/>
    <w:rsid w:val="008C375F"/>
    <w:rsid w:val="008C387C"/>
    <w:rsid w:val="008C38E0"/>
    <w:rsid w:val="008C38ED"/>
    <w:rsid w:val="008C392E"/>
    <w:rsid w:val="008C3953"/>
    <w:rsid w:val="008C3982"/>
    <w:rsid w:val="008C3C5C"/>
    <w:rsid w:val="008C4390"/>
    <w:rsid w:val="008C43BD"/>
    <w:rsid w:val="008C4465"/>
    <w:rsid w:val="008C44B9"/>
    <w:rsid w:val="008C454D"/>
    <w:rsid w:val="008C4665"/>
    <w:rsid w:val="008C466A"/>
    <w:rsid w:val="008C4711"/>
    <w:rsid w:val="008C47E9"/>
    <w:rsid w:val="008C4AC2"/>
    <w:rsid w:val="008C4B82"/>
    <w:rsid w:val="008C4C77"/>
    <w:rsid w:val="008C4CEA"/>
    <w:rsid w:val="008C4D89"/>
    <w:rsid w:val="008C4F78"/>
    <w:rsid w:val="008C4F79"/>
    <w:rsid w:val="008C5004"/>
    <w:rsid w:val="008C50F8"/>
    <w:rsid w:val="008C5201"/>
    <w:rsid w:val="008C5213"/>
    <w:rsid w:val="008C52B1"/>
    <w:rsid w:val="008C52D0"/>
    <w:rsid w:val="008C5303"/>
    <w:rsid w:val="008C545F"/>
    <w:rsid w:val="008C548A"/>
    <w:rsid w:val="008C550A"/>
    <w:rsid w:val="008C5525"/>
    <w:rsid w:val="008C5528"/>
    <w:rsid w:val="008C552D"/>
    <w:rsid w:val="008C55FD"/>
    <w:rsid w:val="008C55FF"/>
    <w:rsid w:val="008C579F"/>
    <w:rsid w:val="008C5818"/>
    <w:rsid w:val="008C58A5"/>
    <w:rsid w:val="008C593A"/>
    <w:rsid w:val="008C5998"/>
    <w:rsid w:val="008C599F"/>
    <w:rsid w:val="008C59DE"/>
    <w:rsid w:val="008C5A20"/>
    <w:rsid w:val="008C5CB3"/>
    <w:rsid w:val="008C5D35"/>
    <w:rsid w:val="008C5DAE"/>
    <w:rsid w:val="008C6126"/>
    <w:rsid w:val="008C623C"/>
    <w:rsid w:val="008C623F"/>
    <w:rsid w:val="008C63E3"/>
    <w:rsid w:val="008C6412"/>
    <w:rsid w:val="008C647C"/>
    <w:rsid w:val="008C6489"/>
    <w:rsid w:val="008C65C2"/>
    <w:rsid w:val="008C6650"/>
    <w:rsid w:val="008C67B0"/>
    <w:rsid w:val="008C6838"/>
    <w:rsid w:val="008C695A"/>
    <w:rsid w:val="008C698B"/>
    <w:rsid w:val="008C6A3E"/>
    <w:rsid w:val="008C6AD2"/>
    <w:rsid w:val="008C6C05"/>
    <w:rsid w:val="008C6CB4"/>
    <w:rsid w:val="008C6D78"/>
    <w:rsid w:val="008C6E9D"/>
    <w:rsid w:val="008C6F64"/>
    <w:rsid w:val="008C6FEE"/>
    <w:rsid w:val="008C7118"/>
    <w:rsid w:val="008C737C"/>
    <w:rsid w:val="008C7657"/>
    <w:rsid w:val="008C7854"/>
    <w:rsid w:val="008C7A75"/>
    <w:rsid w:val="008C7B48"/>
    <w:rsid w:val="008C7C0D"/>
    <w:rsid w:val="008C7CDE"/>
    <w:rsid w:val="008C7CE0"/>
    <w:rsid w:val="008C7F04"/>
    <w:rsid w:val="008C7FE7"/>
    <w:rsid w:val="008D00FE"/>
    <w:rsid w:val="008D02B5"/>
    <w:rsid w:val="008D0471"/>
    <w:rsid w:val="008D0547"/>
    <w:rsid w:val="008D05DA"/>
    <w:rsid w:val="008D0726"/>
    <w:rsid w:val="008D076C"/>
    <w:rsid w:val="008D09E2"/>
    <w:rsid w:val="008D0ACD"/>
    <w:rsid w:val="008D0B5C"/>
    <w:rsid w:val="008D0C03"/>
    <w:rsid w:val="008D0CC1"/>
    <w:rsid w:val="008D0CDB"/>
    <w:rsid w:val="008D0D5B"/>
    <w:rsid w:val="008D1248"/>
    <w:rsid w:val="008D14F1"/>
    <w:rsid w:val="008D16D0"/>
    <w:rsid w:val="008D178C"/>
    <w:rsid w:val="008D1792"/>
    <w:rsid w:val="008D17F7"/>
    <w:rsid w:val="008D1812"/>
    <w:rsid w:val="008D1820"/>
    <w:rsid w:val="008D1823"/>
    <w:rsid w:val="008D186B"/>
    <w:rsid w:val="008D18DF"/>
    <w:rsid w:val="008D1AFC"/>
    <w:rsid w:val="008D1BCB"/>
    <w:rsid w:val="008D1C8A"/>
    <w:rsid w:val="008D1E30"/>
    <w:rsid w:val="008D1F12"/>
    <w:rsid w:val="008D1F74"/>
    <w:rsid w:val="008D1FCB"/>
    <w:rsid w:val="008D20E7"/>
    <w:rsid w:val="008D214E"/>
    <w:rsid w:val="008D2160"/>
    <w:rsid w:val="008D2617"/>
    <w:rsid w:val="008D262F"/>
    <w:rsid w:val="008D2741"/>
    <w:rsid w:val="008D2772"/>
    <w:rsid w:val="008D288C"/>
    <w:rsid w:val="008D28EF"/>
    <w:rsid w:val="008D2907"/>
    <w:rsid w:val="008D2A73"/>
    <w:rsid w:val="008D2D40"/>
    <w:rsid w:val="008D2D5B"/>
    <w:rsid w:val="008D2DB6"/>
    <w:rsid w:val="008D2F65"/>
    <w:rsid w:val="008D31C2"/>
    <w:rsid w:val="008D324D"/>
    <w:rsid w:val="008D3255"/>
    <w:rsid w:val="008D3285"/>
    <w:rsid w:val="008D3297"/>
    <w:rsid w:val="008D32D8"/>
    <w:rsid w:val="008D3328"/>
    <w:rsid w:val="008D3335"/>
    <w:rsid w:val="008D3439"/>
    <w:rsid w:val="008D34FB"/>
    <w:rsid w:val="008D35CD"/>
    <w:rsid w:val="008D35D4"/>
    <w:rsid w:val="008D363C"/>
    <w:rsid w:val="008D36EB"/>
    <w:rsid w:val="008D373E"/>
    <w:rsid w:val="008D37B3"/>
    <w:rsid w:val="008D37EC"/>
    <w:rsid w:val="008D3869"/>
    <w:rsid w:val="008D3998"/>
    <w:rsid w:val="008D3ADA"/>
    <w:rsid w:val="008D3B9D"/>
    <w:rsid w:val="008D3D9B"/>
    <w:rsid w:val="008D3DA1"/>
    <w:rsid w:val="008D3DB2"/>
    <w:rsid w:val="008D3E38"/>
    <w:rsid w:val="008D3EF1"/>
    <w:rsid w:val="008D3F18"/>
    <w:rsid w:val="008D3FBC"/>
    <w:rsid w:val="008D40A0"/>
    <w:rsid w:val="008D4120"/>
    <w:rsid w:val="008D4137"/>
    <w:rsid w:val="008D426C"/>
    <w:rsid w:val="008D4341"/>
    <w:rsid w:val="008D437C"/>
    <w:rsid w:val="008D463E"/>
    <w:rsid w:val="008D4658"/>
    <w:rsid w:val="008D4DD7"/>
    <w:rsid w:val="008D4E24"/>
    <w:rsid w:val="008D4F1C"/>
    <w:rsid w:val="008D4F77"/>
    <w:rsid w:val="008D4FA6"/>
    <w:rsid w:val="008D5125"/>
    <w:rsid w:val="008D51AF"/>
    <w:rsid w:val="008D5219"/>
    <w:rsid w:val="008D52CB"/>
    <w:rsid w:val="008D5350"/>
    <w:rsid w:val="008D539D"/>
    <w:rsid w:val="008D53DF"/>
    <w:rsid w:val="008D5669"/>
    <w:rsid w:val="008D5678"/>
    <w:rsid w:val="008D5757"/>
    <w:rsid w:val="008D5982"/>
    <w:rsid w:val="008D5A1B"/>
    <w:rsid w:val="008D5AC4"/>
    <w:rsid w:val="008D5B41"/>
    <w:rsid w:val="008D5B6A"/>
    <w:rsid w:val="008D5BA1"/>
    <w:rsid w:val="008D5C72"/>
    <w:rsid w:val="008D5C86"/>
    <w:rsid w:val="008D5CC4"/>
    <w:rsid w:val="008D5E10"/>
    <w:rsid w:val="008D5F0D"/>
    <w:rsid w:val="008D5F2F"/>
    <w:rsid w:val="008D5FA6"/>
    <w:rsid w:val="008D5FBA"/>
    <w:rsid w:val="008D5FED"/>
    <w:rsid w:val="008D6074"/>
    <w:rsid w:val="008D6133"/>
    <w:rsid w:val="008D6212"/>
    <w:rsid w:val="008D6552"/>
    <w:rsid w:val="008D65FD"/>
    <w:rsid w:val="008D667C"/>
    <w:rsid w:val="008D66BF"/>
    <w:rsid w:val="008D677A"/>
    <w:rsid w:val="008D6865"/>
    <w:rsid w:val="008D68BD"/>
    <w:rsid w:val="008D68F3"/>
    <w:rsid w:val="008D6948"/>
    <w:rsid w:val="008D6A39"/>
    <w:rsid w:val="008D6CDE"/>
    <w:rsid w:val="008D6D12"/>
    <w:rsid w:val="008D6D15"/>
    <w:rsid w:val="008D6DDB"/>
    <w:rsid w:val="008D6DE5"/>
    <w:rsid w:val="008D6EB8"/>
    <w:rsid w:val="008D6EE9"/>
    <w:rsid w:val="008D6EF5"/>
    <w:rsid w:val="008D6F05"/>
    <w:rsid w:val="008D6F8E"/>
    <w:rsid w:val="008D6FFB"/>
    <w:rsid w:val="008D7093"/>
    <w:rsid w:val="008D709E"/>
    <w:rsid w:val="008D70FE"/>
    <w:rsid w:val="008D726C"/>
    <w:rsid w:val="008D72ED"/>
    <w:rsid w:val="008D7428"/>
    <w:rsid w:val="008D7454"/>
    <w:rsid w:val="008D7574"/>
    <w:rsid w:val="008D75A9"/>
    <w:rsid w:val="008D75F1"/>
    <w:rsid w:val="008D760A"/>
    <w:rsid w:val="008D76EA"/>
    <w:rsid w:val="008D7776"/>
    <w:rsid w:val="008D77BE"/>
    <w:rsid w:val="008D786A"/>
    <w:rsid w:val="008D78B9"/>
    <w:rsid w:val="008D7923"/>
    <w:rsid w:val="008D7934"/>
    <w:rsid w:val="008D7A12"/>
    <w:rsid w:val="008D7A7D"/>
    <w:rsid w:val="008D7A80"/>
    <w:rsid w:val="008D7B2C"/>
    <w:rsid w:val="008D7B87"/>
    <w:rsid w:val="008D7B9B"/>
    <w:rsid w:val="008D7DAE"/>
    <w:rsid w:val="008D7DEF"/>
    <w:rsid w:val="008D7E89"/>
    <w:rsid w:val="008D7F11"/>
    <w:rsid w:val="008D7F50"/>
    <w:rsid w:val="008DB1D9"/>
    <w:rsid w:val="008E0047"/>
    <w:rsid w:val="008E0084"/>
    <w:rsid w:val="008E00EC"/>
    <w:rsid w:val="008E0116"/>
    <w:rsid w:val="008E0255"/>
    <w:rsid w:val="008E0278"/>
    <w:rsid w:val="008E0296"/>
    <w:rsid w:val="008E030C"/>
    <w:rsid w:val="008E034E"/>
    <w:rsid w:val="008E0373"/>
    <w:rsid w:val="008E04FC"/>
    <w:rsid w:val="008E0514"/>
    <w:rsid w:val="008E0537"/>
    <w:rsid w:val="008E0631"/>
    <w:rsid w:val="008E0749"/>
    <w:rsid w:val="008E0859"/>
    <w:rsid w:val="008E0894"/>
    <w:rsid w:val="008E09C4"/>
    <w:rsid w:val="008E0B1E"/>
    <w:rsid w:val="008E0BF0"/>
    <w:rsid w:val="008E0C08"/>
    <w:rsid w:val="008E0CC5"/>
    <w:rsid w:val="008E0CE2"/>
    <w:rsid w:val="008E0E1A"/>
    <w:rsid w:val="008E0E6F"/>
    <w:rsid w:val="008E15F6"/>
    <w:rsid w:val="008E160F"/>
    <w:rsid w:val="008E16B4"/>
    <w:rsid w:val="008E16DB"/>
    <w:rsid w:val="008E17B4"/>
    <w:rsid w:val="008E17EB"/>
    <w:rsid w:val="008E18AB"/>
    <w:rsid w:val="008E1915"/>
    <w:rsid w:val="008E194F"/>
    <w:rsid w:val="008E1A5C"/>
    <w:rsid w:val="008E1B45"/>
    <w:rsid w:val="008E1C54"/>
    <w:rsid w:val="008E1E93"/>
    <w:rsid w:val="008E1F1E"/>
    <w:rsid w:val="008E1F20"/>
    <w:rsid w:val="008E1F6E"/>
    <w:rsid w:val="008E2049"/>
    <w:rsid w:val="008E2060"/>
    <w:rsid w:val="008E20AB"/>
    <w:rsid w:val="008E20C2"/>
    <w:rsid w:val="008E21AA"/>
    <w:rsid w:val="008E2417"/>
    <w:rsid w:val="008E2420"/>
    <w:rsid w:val="008E24A8"/>
    <w:rsid w:val="008E24FB"/>
    <w:rsid w:val="008E274F"/>
    <w:rsid w:val="008E2791"/>
    <w:rsid w:val="008E27F3"/>
    <w:rsid w:val="008E2ACA"/>
    <w:rsid w:val="008E2C31"/>
    <w:rsid w:val="008E2CCD"/>
    <w:rsid w:val="008E2D0F"/>
    <w:rsid w:val="008E2DF5"/>
    <w:rsid w:val="008E2E5B"/>
    <w:rsid w:val="008E2ED3"/>
    <w:rsid w:val="008E2F96"/>
    <w:rsid w:val="008E2FD7"/>
    <w:rsid w:val="008E30C4"/>
    <w:rsid w:val="008E32B9"/>
    <w:rsid w:val="008E32BB"/>
    <w:rsid w:val="008E3379"/>
    <w:rsid w:val="008E3385"/>
    <w:rsid w:val="008E33DA"/>
    <w:rsid w:val="008E343F"/>
    <w:rsid w:val="008E3466"/>
    <w:rsid w:val="008E3570"/>
    <w:rsid w:val="008E358D"/>
    <w:rsid w:val="008E35CA"/>
    <w:rsid w:val="008E35F5"/>
    <w:rsid w:val="008E3601"/>
    <w:rsid w:val="008E3669"/>
    <w:rsid w:val="008E36EC"/>
    <w:rsid w:val="008E36F7"/>
    <w:rsid w:val="008E3717"/>
    <w:rsid w:val="008E38AE"/>
    <w:rsid w:val="008E38EE"/>
    <w:rsid w:val="008E3967"/>
    <w:rsid w:val="008E3968"/>
    <w:rsid w:val="008E3A0F"/>
    <w:rsid w:val="008E3AF8"/>
    <w:rsid w:val="008E3C14"/>
    <w:rsid w:val="008E3C32"/>
    <w:rsid w:val="008E3D0F"/>
    <w:rsid w:val="008E3D99"/>
    <w:rsid w:val="008E3DF2"/>
    <w:rsid w:val="008E3EB8"/>
    <w:rsid w:val="008E4025"/>
    <w:rsid w:val="008E40D4"/>
    <w:rsid w:val="008E40D9"/>
    <w:rsid w:val="008E4116"/>
    <w:rsid w:val="008E4135"/>
    <w:rsid w:val="008E419B"/>
    <w:rsid w:val="008E423F"/>
    <w:rsid w:val="008E43B4"/>
    <w:rsid w:val="008E44B8"/>
    <w:rsid w:val="008E4669"/>
    <w:rsid w:val="008E4686"/>
    <w:rsid w:val="008E47D2"/>
    <w:rsid w:val="008E482E"/>
    <w:rsid w:val="008E4851"/>
    <w:rsid w:val="008E485C"/>
    <w:rsid w:val="008E48D1"/>
    <w:rsid w:val="008E4A2B"/>
    <w:rsid w:val="008E4A2E"/>
    <w:rsid w:val="008E4B47"/>
    <w:rsid w:val="008E4BA2"/>
    <w:rsid w:val="008E4BC6"/>
    <w:rsid w:val="008E4C5A"/>
    <w:rsid w:val="008E4C77"/>
    <w:rsid w:val="008E4D21"/>
    <w:rsid w:val="008E4D25"/>
    <w:rsid w:val="008E4DB4"/>
    <w:rsid w:val="008E4E64"/>
    <w:rsid w:val="008E4F90"/>
    <w:rsid w:val="008E50F6"/>
    <w:rsid w:val="008E5106"/>
    <w:rsid w:val="008E513C"/>
    <w:rsid w:val="008E51E9"/>
    <w:rsid w:val="008E51FB"/>
    <w:rsid w:val="008E51FE"/>
    <w:rsid w:val="008E5636"/>
    <w:rsid w:val="008E571F"/>
    <w:rsid w:val="008E573C"/>
    <w:rsid w:val="008E583D"/>
    <w:rsid w:val="008E5969"/>
    <w:rsid w:val="008E5B16"/>
    <w:rsid w:val="008E5B29"/>
    <w:rsid w:val="008E5C00"/>
    <w:rsid w:val="008E5C01"/>
    <w:rsid w:val="008E5D0E"/>
    <w:rsid w:val="008E5DEC"/>
    <w:rsid w:val="008E5E69"/>
    <w:rsid w:val="008E5EBD"/>
    <w:rsid w:val="008E5FA8"/>
    <w:rsid w:val="008E5FB3"/>
    <w:rsid w:val="008E5FB4"/>
    <w:rsid w:val="008E5FCD"/>
    <w:rsid w:val="008E624C"/>
    <w:rsid w:val="008E6265"/>
    <w:rsid w:val="008E6397"/>
    <w:rsid w:val="008E6538"/>
    <w:rsid w:val="008E6685"/>
    <w:rsid w:val="008E67C1"/>
    <w:rsid w:val="008E6825"/>
    <w:rsid w:val="008E686C"/>
    <w:rsid w:val="008E6908"/>
    <w:rsid w:val="008E6927"/>
    <w:rsid w:val="008E69F3"/>
    <w:rsid w:val="008E6B72"/>
    <w:rsid w:val="008E6B7F"/>
    <w:rsid w:val="008E6C29"/>
    <w:rsid w:val="008E6C78"/>
    <w:rsid w:val="008E6E02"/>
    <w:rsid w:val="008E6E43"/>
    <w:rsid w:val="008E6EAE"/>
    <w:rsid w:val="008E7086"/>
    <w:rsid w:val="008E715C"/>
    <w:rsid w:val="008E71B5"/>
    <w:rsid w:val="008E7236"/>
    <w:rsid w:val="008E7380"/>
    <w:rsid w:val="008E738F"/>
    <w:rsid w:val="008E75F9"/>
    <w:rsid w:val="008E7A70"/>
    <w:rsid w:val="008E7B65"/>
    <w:rsid w:val="008E7B7C"/>
    <w:rsid w:val="008E7BAA"/>
    <w:rsid w:val="008E7C2C"/>
    <w:rsid w:val="008E7CBE"/>
    <w:rsid w:val="008E7D9D"/>
    <w:rsid w:val="008E7E5E"/>
    <w:rsid w:val="008F002F"/>
    <w:rsid w:val="008F0045"/>
    <w:rsid w:val="008F0047"/>
    <w:rsid w:val="008F01F5"/>
    <w:rsid w:val="008F029F"/>
    <w:rsid w:val="008F0358"/>
    <w:rsid w:val="008F05DB"/>
    <w:rsid w:val="008F07A9"/>
    <w:rsid w:val="008F07B3"/>
    <w:rsid w:val="008F07B8"/>
    <w:rsid w:val="008F089D"/>
    <w:rsid w:val="008F09A2"/>
    <w:rsid w:val="008F0A86"/>
    <w:rsid w:val="008F0B59"/>
    <w:rsid w:val="008F0B95"/>
    <w:rsid w:val="008F0DA9"/>
    <w:rsid w:val="008F0DDA"/>
    <w:rsid w:val="008F0E16"/>
    <w:rsid w:val="008F0F9E"/>
    <w:rsid w:val="008F12B0"/>
    <w:rsid w:val="008F1481"/>
    <w:rsid w:val="008F16EE"/>
    <w:rsid w:val="008F1775"/>
    <w:rsid w:val="008F17BA"/>
    <w:rsid w:val="008F195E"/>
    <w:rsid w:val="008F19CE"/>
    <w:rsid w:val="008F1A3E"/>
    <w:rsid w:val="008F1B68"/>
    <w:rsid w:val="008F1C59"/>
    <w:rsid w:val="008F1D3F"/>
    <w:rsid w:val="008F1DCF"/>
    <w:rsid w:val="008F1E0E"/>
    <w:rsid w:val="008F2015"/>
    <w:rsid w:val="008F205B"/>
    <w:rsid w:val="008F2132"/>
    <w:rsid w:val="008F21BB"/>
    <w:rsid w:val="008F2260"/>
    <w:rsid w:val="008F2314"/>
    <w:rsid w:val="008F2336"/>
    <w:rsid w:val="008F2798"/>
    <w:rsid w:val="008F2893"/>
    <w:rsid w:val="008F28E5"/>
    <w:rsid w:val="008F2A8E"/>
    <w:rsid w:val="008F2AA2"/>
    <w:rsid w:val="008F2B98"/>
    <w:rsid w:val="008F2BFA"/>
    <w:rsid w:val="008F2CD4"/>
    <w:rsid w:val="008F2CEE"/>
    <w:rsid w:val="008F2DDF"/>
    <w:rsid w:val="008F2E84"/>
    <w:rsid w:val="008F2EBE"/>
    <w:rsid w:val="008F300F"/>
    <w:rsid w:val="008F318C"/>
    <w:rsid w:val="008F3265"/>
    <w:rsid w:val="008F327C"/>
    <w:rsid w:val="008F32DC"/>
    <w:rsid w:val="008F32DE"/>
    <w:rsid w:val="008F32F3"/>
    <w:rsid w:val="008F33AF"/>
    <w:rsid w:val="008F34F1"/>
    <w:rsid w:val="008F3505"/>
    <w:rsid w:val="008F373F"/>
    <w:rsid w:val="008F374F"/>
    <w:rsid w:val="008F39F8"/>
    <w:rsid w:val="008F39FF"/>
    <w:rsid w:val="008F3B27"/>
    <w:rsid w:val="008F3C2F"/>
    <w:rsid w:val="008F3C40"/>
    <w:rsid w:val="008F3DB8"/>
    <w:rsid w:val="008F3EAA"/>
    <w:rsid w:val="008F3ED8"/>
    <w:rsid w:val="008F3FBC"/>
    <w:rsid w:val="008F3FEF"/>
    <w:rsid w:val="008F4041"/>
    <w:rsid w:val="008F4210"/>
    <w:rsid w:val="008F426F"/>
    <w:rsid w:val="008F42C1"/>
    <w:rsid w:val="008F42E4"/>
    <w:rsid w:val="008F446B"/>
    <w:rsid w:val="008F44BA"/>
    <w:rsid w:val="008F451E"/>
    <w:rsid w:val="008F45E0"/>
    <w:rsid w:val="008F485B"/>
    <w:rsid w:val="008F48F3"/>
    <w:rsid w:val="008F49FC"/>
    <w:rsid w:val="008F4AF3"/>
    <w:rsid w:val="008F4C7C"/>
    <w:rsid w:val="008F4CCA"/>
    <w:rsid w:val="008F4CF3"/>
    <w:rsid w:val="008F4D25"/>
    <w:rsid w:val="008F4D5F"/>
    <w:rsid w:val="008F4E24"/>
    <w:rsid w:val="008F4EA4"/>
    <w:rsid w:val="008F509B"/>
    <w:rsid w:val="008F516A"/>
    <w:rsid w:val="008F51A3"/>
    <w:rsid w:val="008F51DB"/>
    <w:rsid w:val="008F5264"/>
    <w:rsid w:val="008F5269"/>
    <w:rsid w:val="008F527D"/>
    <w:rsid w:val="008F52D1"/>
    <w:rsid w:val="008F53B2"/>
    <w:rsid w:val="008F53EB"/>
    <w:rsid w:val="008F53FE"/>
    <w:rsid w:val="008F559B"/>
    <w:rsid w:val="008F569F"/>
    <w:rsid w:val="008F56A2"/>
    <w:rsid w:val="008F5721"/>
    <w:rsid w:val="008F575D"/>
    <w:rsid w:val="008F5870"/>
    <w:rsid w:val="008F5982"/>
    <w:rsid w:val="008F5990"/>
    <w:rsid w:val="008F5AE5"/>
    <w:rsid w:val="008F5B1F"/>
    <w:rsid w:val="008F5B2C"/>
    <w:rsid w:val="008F5D14"/>
    <w:rsid w:val="008F5D37"/>
    <w:rsid w:val="008F5D93"/>
    <w:rsid w:val="008F5FA3"/>
    <w:rsid w:val="008F5FA8"/>
    <w:rsid w:val="008F5FE4"/>
    <w:rsid w:val="008F602A"/>
    <w:rsid w:val="008F6107"/>
    <w:rsid w:val="008F613E"/>
    <w:rsid w:val="008F6152"/>
    <w:rsid w:val="008F6195"/>
    <w:rsid w:val="008F623E"/>
    <w:rsid w:val="008F6377"/>
    <w:rsid w:val="008F652E"/>
    <w:rsid w:val="008F6565"/>
    <w:rsid w:val="008F656F"/>
    <w:rsid w:val="008F661E"/>
    <w:rsid w:val="008F6652"/>
    <w:rsid w:val="008F6674"/>
    <w:rsid w:val="008F6675"/>
    <w:rsid w:val="008F6681"/>
    <w:rsid w:val="008F685F"/>
    <w:rsid w:val="008F6872"/>
    <w:rsid w:val="008F6980"/>
    <w:rsid w:val="008F6AFD"/>
    <w:rsid w:val="008F6B6A"/>
    <w:rsid w:val="008F6C0B"/>
    <w:rsid w:val="008F6C1C"/>
    <w:rsid w:val="008F6C2F"/>
    <w:rsid w:val="008F6C64"/>
    <w:rsid w:val="008F6C82"/>
    <w:rsid w:val="008F6DA1"/>
    <w:rsid w:val="008F6F7D"/>
    <w:rsid w:val="008F6FAA"/>
    <w:rsid w:val="008F6FF1"/>
    <w:rsid w:val="008F7093"/>
    <w:rsid w:val="008F71D0"/>
    <w:rsid w:val="008F7208"/>
    <w:rsid w:val="008F7377"/>
    <w:rsid w:val="008F737F"/>
    <w:rsid w:val="008F74A4"/>
    <w:rsid w:val="008F75A3"/>
    <w:rsid w:val="008F760D"/>
    <w:rsid w:val="008F768B"/>
    <w:rsid w:val="008F773C"/>
    <w:rsid w:val="008F781B"/>
    <w:rsid w:val="008F781F"/>
    <w:rsid w:val="008F7986"/>
    <w:rsid w:val="008F79CD"/>
    <w:rsid w:val="008F7B6A"/>
    <w:rsid w:val="008F7BF8"/>
    <w:rsid w:val="008F7C5C"/>
    <w:rsid w:val="008F7C74"/>
    <w:rsid w:val="008F7C7D"/>
    <w:rsid w:val="008F7CAD"/>
    <w:rsid w:val="008F7D9D"/>
    <w:rsid w:val="008F7DBB"/>
    <w:rsid w:val="008F7DDA"/>
    <w:rsid w:val="008F7E98"/>
    <w:rsid w:val="008FBEA7"/>
    <w:rsid w:val="00900083"/>
    <w:rsid w:val="00900086"/>
    <w:rsid w:val="0090009E"/>
    <w:rsid w:val="009000A4"/>
    <w:rsid w:val="0090010F"/>
    <w:rsid w:val="00900193"/>
    <w:rsid w:val="00900360"/>
    <w:rsid w:val="00900637"/>
    <w:rsid w:val="0090064E"/>
    <w:rsid w:val="009006F9"/>
    <w:rsid w:val="00900729"/>
    <w:rsid w:val="00900730"/>
    <w:rsid w:val="00900850"/>
    <w:rsid w:val="00900960"/>
    <w:rsid w:val="0090097A"/>
    <w:rsid w:val="009009A5"/>
    <w:rsid w:val="009009D5"/>
    <w:rsid w:val="00900B19"/>
    <w:rsid w:val="00900BB5"/>
    <w:rsid w:val="00900BC6"/>
    <w:rsid w:val="00900BE3"/>
    <w:rsid w:val="00900BF8"/>
    <w:rsid w:val="00900C8D"/>
    <w:rsid w:val="00900D06"/>
    <w:rsid w:val="00900DA5"/>
    <w:rsid w:val="00900E37"/>
    <w:rsid w:val="00901013"/>
    <w:rsid w:val="0090108A"/>
    <w:rsid w:val="009010CA"/>
    <w:rsid w:val="00901115"/>
    <w:rsid w:val="0090126D"/>
    <w:rsid w:val="009012D4"/>
    <w:rsid w:val="00901372"/>
    <w:rsid w:val="00901374"/>
    <w:rsid w:val="00901385"/>
    <w:rsid w:val="00901453"/>
    <w:rsid w:val="00901525"/>
    <w:rsid w:val="00901584"/>
    <w:rsid w:val="00901589"/>
    <w:rsid w:val="00901634"/>
    <w:rsid w:val="00901658"/>
    <w:rsid w:val="009016CD"/>
    <w:rsid w:val="00901745"/>
    <w:rsid w:val="00901A3F"/>
    <w:rsid w:val="00901B46"/>
    <w:rsid w:val="00901B6F"/>
    <w:rsid w:val="00901BDF"/>
    <w:rsid w:val="00901BEF"/>
    <w:rsid w:val="00901C20"/>
    <w:rsid w:val="00901CB2"/>
    <w:rsid w:val="00901D7B"/>
    <w:rsid w:val="00901F47"/>
    <w:rsid w:val="00902008"/>
    <w:rsid w:val="009020B5"/>
    <w:rsid w:val="009021B5"/>
    <w:rsid w:val="009021C5"/>
    <w:rsid w:val="0090226F"/>
    <w:rsid w:val="009023BC"/>
    <w:rsid w:val="0090240C"/>
    <w:rsid w:val="00902517"/>
    <w:rsid w:val="009025FB"/>
    <w:rsid w:val="00902692"/>
    <w:rsid w:val="009026DD"/>
    <w:rsid w:val="00902A9C"/>
    <w:rsid w:val="00902B6B"/>
    <w:rsid w:val="00902E9C"/>
    <w:rsid w:val="00902F10"/>
    <w:rsid w:val="00902F8A"/>
    <w:rsid w:val="00902FAA"/>
    <w:rsid w:val="00903234"/>
    <w:rsid w:val="009032B3"/>
    <w:rsid w:val="0090344B"/>
    <w:rsid w:val="009034A1"/>
    <w:rsid w:val="009034C9"/>
    <w:rsid w:val="009035E4"/>
    <w:rsid w:val="00903826"/>
    <w:rsid w:val="009038A9"/>
    <w:rsid w:val="009038C4"/>
    <w:rsid w:val="00903A2C"/>
    <w:rsid w:val="00903AD6"/>
    <w:rsid w:val="00903B22"/>
    <w:rsid w:val="00903DA6"/>
    <w:rsid w:val="00903F7F"/>
    <w:rsid w:val="009040C6"/>
    <w:rsid w:val="0090410E"/>
    <w:rsid w:val="009042A5"/>
    <w:rsid w:val="009043B2"/>
    <w:rsid w:val="009043F3"/>
    <w:rsid w:val="009046B7"/>
    <w:rsid w:val="009047EF"/>
    <w:rsid w:val="00904844"/>
    <w:rsid w:val="0090491A"/>
    <w:rsid w:val="00904959"/>
    <w:rsid w:val="00904AD7"/>
    <w:rsid w:val="00904B44"/>
    <w:rsid w:val="00904C4D"/>
    <w:rsid w:val="00904CEB"/>
    <w:rsid w:val="00904D04"/>
    <w:rsid w:val="00904DE1"/>
    <w:rsid w:val="00904F91"/>
    <w:rsid w:val="00905011"/>
    <w:rsid w:val="009050DB"/>
    <w:rsid w:val="00905109"/>
    <w:rsid w:val="009051F7"/>
    <w:rsid w:val="0090524D"/>
    <w:rsid w:val="0090533A"/>
    <w:rsid w:val="0090560A"/>
    <w:rsid w:val="00905610"/>
    <w:rsid w:val="00905671"/>
    <w:rsid w:val="00905680"/>
    <w:rsid w:val="0090569F"/>
    <w:rsid w:val="0090574A"/>
    <w:rsid w:val="0090576F"/>
    <w:rsid w:val="0090583A"/>
    <w:rsid w:val="009059D6"/>
    <w:rsid w:val="00905A18"/>
    <w:rsid w:val="00905B43"/>
    <w:rsid w:val="00905C1D"/>
    <w:rsid w:val="00905CC9"/>
    <w:rsid w:val="00905D77"/>
    <w:rsid w:val="00905DCE"/>
    <w:rsid w:val="00905E5B"/>
    <w:rsid w:val="00905F5C"/>
    <w:rsid w:val="00905F85"/>
    <w:rsid w:val="00905FE4"/>
    <w:rsid w:val="00905FF2"/>
    <w:rsid w:val="00906008"/>
    <w:rsid w:val="00906044"/>
    <w:rsid w:val="00906078"/>
    <w:rsid w:val="009060FE"/>
    <w:rsid w:val="0090615D"/>
    <w:rsid w:val="009061D3"/>
    <w:rsid w:val="00906256"/>
    <w:rsid w:val="00906307"/>
    <w:rsid w:val="0090631A"/>
    <w:rsid w:val="009063A4"/>
    <w:rsid w:val="009063F7"/>
    <w:rsid w:val="0090641A"/>
    <w:rsid w:val="0090641B"/>
    <w:rsid w:val="0090648B"/>
    <w:rsid w:val="009064D8"/>
    <w:rsid w:val="0090650D"/>
    <w:rsid w:val="0090680C"/>
    <w:rsid w:val="00906831"/>
    <w:rsid w:val="0090686F"/>
    <w:rsid w:val="009068A3"/>
    <w:rsid w:val="009068F1"/>
    <w:rsid w:val="00906AA5"/>
    <w:rsid w:val="00906B69"/>
    <w:rsid w:val="00906BFC"/>
    <w:rsid w:val="00906C57"/>
    <w:rsid w:val="00906C6B"/>
    <w:rsid w:val="00906D58"/>
    <w:rsid w:val="00906ED0"/>
    <w:rsid w:val="00906EFE"/>
    <w:rsid w:val="00906F65"/>
    <w:rsid w:val="00907032"/>
    <w:rsid w:val="0090714C"/>
    <w:rsid w:val="009071BB"/>
    <w:rsid w:val="00907212"/>
    <w:rsid w:val="0090728E"/>
    <w:rsid w:val="009072D5"/>
    <w:rsid w:val="00907412"/>
    <w:rsid w:val="00907479"/>
    <w:rsid w:val="009074A0"/>
    <w:rsid w:val="009074BF"/>
    <w:rsid w:val="00907519"/>
    <w:rsid w:val="00907567"/>
    <w:rsid w:val="0090759F"/>
    <w:rsid w:val="00907755"/>
    <w:rsid w:val="00907768"/>
    <w:rsid w:val="009078BC"/>
    <w:rsid w:val="0090798F"/>
    <w:rsid w:val="00907A01"/>
    <w:rsid w:val="00907B88"/>
    <w:rsid w:val="00907C1A"/>
    <w:rsid w:val="00907C39"/>
    <w:rsid w:val="00907D1C"/>
    <w:rsid w:val="00907D66"/>
    <w:rsid w:val="00907E05"/>
    <w:rsid w:val="00907FEE"/>
    <w:rsid w:val="009100C9"/>
    <w:rsid w:val="009100CB"/>
    <w:rsid w:val="009100ED"/>
    <w:rsid w:val="00910350"/>
    <w:rsid w:val="00910378"/>
    <w:rsid w:val="0091058E"/>
    <w:rsid w:val="00910604"/>
    <w:rsid w:val="009106E7"/>
    <w:rsid w:val="00910755"/>
    <w:rsid w:val="009108DD"/>
    <w:rsid w:val="0091099E"/>
    <w:rsid w:val="00910A68"/>
    <w:rsid w:val="00910BAF"/>
    <w:rsid w:val="00910CCA"/>
    <w:rsid w:val="00910D34"/>
    <w:rsid w:val="00910D75"/>
    <w:rsid w:val="00910DD1"/>
    <w:rsid w:val="00910EC0"/>
    <w:rsid w:val="00910F85"/>
    <w:rsid w:val="00911029"/>
    <w:rsid w:val="00911097"/>
    <w:rsid w:val="009110ED"/>
    <w:rsid w:val="009112B7"/>
    <w:rsid w:val="009112F7"/>
    <w:rsid w:val="00911399"/>
    <w:rsid w:val="009113C7"/>
    <w:rsid w:val="009113DF"/>
    <w:rsid w:val="00911441"/>
    <w:rsid w:val="00911533"/>
    <w:rsid w:val="009115DE"/>
    <w:rsid w:val="0091164D"/>
    <w:rsid w:val="009116B5"/>
    <w:rsid w:val="00911770"/>
    <w:rsid w:val="009119D9"/>
    <w:rsid w:val="00911A13"/>
    <w:rsid w:val="00911A39"/>
    <w:rsid w:val="00911ADC"/>
    <w:rsid w:val="00911E12"/>
    <w:rsid w:val="00911EA6"/>
    <w:rsid w:val="0091203D"/>
    <w:rsid w:val="00912150"/>
    <w:rsid w:val="00912207"/>
    <w:rsid w:val="00912343"/>
    <w:rsid w:val="00912440"/>
    <w:rsid w:val="00912657"/>
    <w:rsid w:val="009127DD"/>
    <w:rsid w:val="00912819"/>
    <w:rsid w:val="00912A3E"/>
    <w:rsid w:val="00912AD8"/>
    <w:rsid w:val="00912B54"/>
    <w:rsid w:val="00912BC2"/>
    <w:rsid w:val="00912C12"/>
    <w:rsid w:val="00912C48"/>
    <w:rsid w:val="00912DC7"/>
    <w:rsid w:val="00912E47"/>
    <w:rsid w:val="00913164"/>
    <w:rsid w:val="009131AE"/>
    <w:rsid w:val="009131FD"/>
    <w:rsid w:val="00913208"/>
    <w:rsid w:val="009132DC"/>
    <w:rsid w:val="00913403"/>
    <w:rsid w:val="009134B3"/>
    <w:rsid w:val="0091375E"/>
    <w:rsid w:val="00913785"/>
    <w:rsid w:val="00913810"/>
    <w:rsid w:val="0091395E"/>
    <w:rsid w:val="009139A3"/>
    <w:rsid w:val="00913A3E"/>
    <w:rsid w:val="00913A45"/>
    <w:rsid w:val="00913B4C"/>
    <w:rsid w:val="00913D52"/>
    <w:rsid w:val="00913E5B"/>
    <w:rsid w:val="00913ECE"/>
    <w:rsid w:val="00913ED3"/>
    <w:rsid w:val="00913F07"/>
    <w:rsid w:val="00913F42"/>
    <w:rsid w:val="00913FB5"/>
    <w:rsid w:val="009140FA"/>
    <w:rsid w:val="0091417F"/>
    <w:rsid w:val="009141E4"/>
    <w:rsid w:val="009141F1"/>
    <w:rsid w:val="0091420A"/>
    <w:rsid w:val="0091426D"/>
    <w:rsid w:val="009142AC"/>
    <w:rsid w:val="009142E3"/>
    <w:rsid w:val="00914379"/>
    <w:rsid w:val="00914490"/>
    <w:rsid w:val="009144E1"/>
    <w:rsid w:val="009144F4"/>
    <w:rsid w:val="00914599"/>
    <w:rsid w:val="00914648"/>
    <w:rsid w:val="0091466E"/>
    <w:rsid w:val="00914962"/>
    <w:rsid w:val="00914A40"/>
    <w:rsid w:val="00914AE6"/>
    <w:rsid w:val="00914B03"/>
    <w:rsid w:val="00914C16"/>
    <w:rsid w:val="00914C46"/>
    <w:rsid w:val="00914CDE"/>
    <w:rsid w:val="00914EFD"/>
    <w:rsid w:val="00914F21"/>
    <w:rsid w:val="009150AF"/>
    <w:rsid w:val="009151B4"/>
    <w:rsid w:val="009151EE"/>
    <w:rsid w:val="00915341"/>
    <w:rsid w:val="009153A3"/>
    <w:rsid w:val="009153F0"/>
    <w:rsid w:val="00915585"/>
    <w:rsid w:val="009155F5"/>
    <w:rsid w:val="0091565A"/>
    <w:rsid w:val="0091566C"/>
    <w:rsid w:val="009156B8"/>
    <w:rsid w:val="00915744"/>
    <w:rsid w:val="009157CB"/>
    <w:rsid w:val="00915849"/>
    <w:rsid w:val="00915868"/>
    <w:rsid w:val="00915897"/>
    <w:rsid w:val="00915927"/>
    <w:rsid w:val="00915C4A"/>
    <w:rsid w:val="00915D99"/>
    <w:rsid w:val="00915DFA"/>
    <w:rsid w:val="00915E0F"/>
    <w:rsid w:val="00915EEF"/>
    <w:rsid w:val="00915EF5"/>
    <w:rsid w:val="00916097"/>
    <w:rsid w:val="0091610F"/>
    <w:rsid w:val="00916153"/>
    <w:rsid w:val="0091615E"/>
    <w:rsid w:val="0091616E"/>
    <w:rsid w:val="009161C8"/>
    <w:rsid w:val="009161F6"/>
    <w:rsid w:val="00916320"/>
    <w:rsid w:val="009164CA"/>
    <w:rsid w:val="0091664B"/>
    <w:rsid w:val="009166DD"/>
    <w:rsid w:val="009166E9"/>
    <w:rsid w:val="00916714"/>
    <w:rsid w:val="0091686E"/>
    <w:rsid w:val="00916923"/>
    <w:rsid w:val="00916A33"/>
    <w:rsid w:val="00916BC8"/>
    <w:rsid w:val="00916BD8"/>
    <w:rsid w:val="00916BEB"/>
    <w:rsid w:val="00916BF7"/>
    <w:rsid w:val="00916DE2"/>
    <w:rsid w:val="0091701A"/>
    <w:rsid w:val="00917040"/>
    <w:rsid w:val="00917156"/>
    <w:rsid w:val="00917282"/>
    <w:rsid w:val="009172D8"/>
    <w:rsid w:val="00917336"/>
    <w:rsid w:val="009173B6"/>
    <w:rsid w:val="009173BB"/>
    <w:rsid w:val="009173FA"/>
    <w:rsid w:val="00917445"/>
    <w:rsid w:val="00917495"/>
    <w:rsid w:val="0091754C"/>
    <w:rsid w:val="009176BD"/>
    <w:rsid w:val="0091784E"/>
    <w:rsid w:val="0091785B"/>
    <w:rsid w:val="009179B1"/>
    <w:rsid w:val="00917A02"/>
    <w:rsid w:val="00917AE2"/>
    <w:rsid w:val="00917AE8"/>
    <w:rsid w:val="00917B3E"/>
    <w:rsid w:val="00917C23"/>
    <w:rsid w:val="00917C42"/>
    <w:rsid w:val="00917C7B"/>
    <w:rsid w:val="00917CEB"/>
    <w:rsid w:val="00917E06"/>
    <w:rsid w:val="00917F11"/>
    <w:rsid w:val="00917F8E"/>
    <w:rsid w:val="00917FDB"/>
    <w:rsid w:val="00917FDD"/>
    <w:rsid w:val="0092006E"/>
    <w:rsid w:val="0092010F"/>
    <w:rsid w:val="0092017C"/>
    <w:rsid w:val="00920195"/>
    <w:rsid w:val="00920232"/>
    <w:rsid w:val="009202C4"/>
    <w:rsid w:val="009203AA"/>
    <w:rsid w:val="009203B2"/>
    <w:rsid w:val="009203EF"/>
    <w:rsid w:val="00920447"/>
    <w:rsid w:val="0092055B"/>
    <w:rsid w:val="0092059C"/>
    <w:rsid w:val="00920671"/>
    <w:rsid w:val="009208BA"/>
    <w:rsid w:val="009209FC"/>
    <w:rsid w:val="00920C99"/>
    <w:rsid w:val="00920D2D"/>
    <w:rsid w:val="00920DC7"/>
    <w:rsid w:val="00920E30"/>
    <w:rsid w:val="00921138"/>
    <w:rsid w:val="009211FE"/>
    <w:rsid w:val="00921219"/>
    <w:rsid w:val="00921223"/>
    <w:rsid w:val="00921292"/>
    <w:rsid w:val="00921496"/>
    <w:rsid w:val="009214EF"/>
    <w:rsid w:val="00921678"/>
    <w:rsid w:val="009216D9"/>
    <w:rsid w:val="0092170E"/>
    <w:rsid w:val="0092172E"/>
    <w:rsid w:val="009217C8"/>
    <w:rsid w:val="009217D1"/>
    <w:rsid w:val="00921820"/>
    <w:rsid w:val="0092196F"/>
    <w:rsid w:val="00921AB5"/>
    <w:rsid w:val="00921AD1"/>
    <w:rsid w:val="00921C61"/>
    <w:rsid w:val="00921D7D"/>
    <w:rsid w:val="00921DC1"/>
    <w:rsid w:val="00921E34"/>
    <w:rsid w:val="00921EF8"/>
    <w:rsid w:val="00921F5B"/>
    <w:rsid w:val="00921FFE"/>
    <w:rsid w:val="009220E2"/>
    <w:rsid w:val="00922110"/>
    <w:rsid w:val="0092219E"/>
    <w:rsid w:val="009221B1"/>
    <w:rsid w:val="00922288"/>
    <w:rsid w:val="009222A7"/>
    <w:rsid w:val="009222C8"/>
    <w:rsid w:val="009223A2"/>
    <w:rsid w:val="0092243A"/>
    <w:rsid w:val="00922494"/>
    <w:rsid w:val="009224DB"/>
    <w:rsid w:val="0092250D"/>
    <w:rsid w:val="009225AC"/>
    <w:rsid w:val="00922967"/>
    <w:rsid w:val="00922A51"/>
    <w:rsid w:val="00922A8E"/>
    <w:rsid w:val="00922AA3"/>
    <w:rsid w:val="00922B3D"/>
    <w:rsid w:val="00922BEA"/>
    <w:rsid w:val="00922D86"/>
    <w:rsid w:val="00922D89"/>
    <w:rsid w:val="00922EA9"/>
    <w:rsid w:val="00922F88"/>
    <w:rsid w:val="009230D7"/>
    <w:rsid w:val="009230E7"/>
    <w:rsid w:val="0092345E"/>
    <w:rsid w:val="009234D5"/>
    <w:rsid w:val="009234EB"/>
    <w:rsid w:val="00923536"/>
    <w:rsid w:val="0092371C"/>
    <w:rsid w:val="0092387C"/>
    <w:rsid w:val="009238F5"/>
    <w:rsid w:val="00923AF1"/>
    <w:rsid w:val="00923B35"/>
    <w:rsid w:val="00923B47"/>
    <w:rsid w:val="00923CB8"/>
    <w:rsid w:val="00923CE1"/>
    <w:rsid w:val="00923CEF"/>
    <w:rsid w:val="00923E24"/>
    <w:rsid w:val="00923E89"/>
    <w:rsid w:val="0092400F"/>
    <w:rsid w:val="00924034"/>
    <w:rsid w:val="009241C3"/>
    <w:rsid w:val="00924241"/>
    <w:rsid w:val="009244CE"/>
    <w:rsid w:val="009245C3"/>
    <w:rsid w:val="00924774"/>
    <w:rsid w:val="0092480A"/>
    <w:rsid w:val="00924938"/>
    <w:rsid w:val="00924C24"/>
    <w:rsid w:val="00924C3B"/>
    <w:rsid w:val="00924D02"/>
    <w:rsid w:val="00924DEE"/>
    <w:rsid w:val="00924DEF"/>
    <w:rsid w:val="00925370"/>
    <w:rsid w:val="0092544E"/>
    <w:rsid w:val="009254A0"/>
    <w:rsid w:val="00925505"/>
    <w:rsid w:val="0092555B"/>
    <w:rsid w:val="009256AA"/>
    <w:rsid w:val="009256F5"/>
    <w:rsid w:val="0092586A"/>
    <w:rsid w:val="0092587F"/>
    <w:rsid w:val="0092588C"/>
    <w:rsid w:val="00925929"/>
    <w:rsid w:val="00925ABB"/>
    <w:rsid w:val="00925B34"/>
    <w:rsid w:val="00925C1B"/>
    <w:rsid w:val="00925C2B"/>
    <w:rsid w:val="00925CDE"/>
    <w:rsid w:val="00925DD6"/>
    <w:rsid w:val="00925E88"/>
    <w:rsid w:val="00925E92"/>
    <w:rsid w:val="00926025"/>
    <w:rsid w:val="0092603C"/>
    <w:rsid w:val="00926059"/>
    <w:rsid w:val="0092616C"/>
    <w:rsid w:val="009261A4"/>
    <w:rsid w:val="009261DF"/>
    <w:rsid w:val="00926202"/>
    <w:rsid w:val="00926270"/>
    <w:rsid w:val="00926408"/>
    <w:rsid w:val="00926448"/>
    <w:rsid w:val="00926621"/>
    <w:rsid w:val="00926772"/>
    <w:rsid w:val="0092677D"/>
    <w:rsid w:val="00926796"/>
    <w:rsid w:val="00926886"/>
    <w:rsid w:val="009269C3"/>
    <w:rsid w:val="00926B21"/>
    <w:rsid w:val="00926B27"/>
    <w:rsid w:val="00926B8F"/>
    <w:rsid w:val="00926C1A"/>
    <w:rsid w:val="00926E68"/>
    <w:rsid w:val="00926E77"/>
    <w:rsid w:val="00926E86"/>
    <w:rsid w:val="00926F83"/>
    <w:rsid w:val="00926F89"/>
    <w:rsid w:val="00926FB4"/>
    <w:rsid w:val="009270E9"/>
    <w:rsid w:val="009271E3"/>
    <w:rsid w:val="009273B5"/>
    <w:rsid w:val="009274B9"/>
    <w:rsid w:val="009274DB"/>
    <w:rsid w:val="009274FA"/>
    <w:rsid w:val="009275C8"/>
    <w:rsid w:val="009277B0"/>
    <w:rsid w:val="009277D7"/>
    <w:rsid w:val="00927845"/>
    <w:rsid w:val="00927869"/>
    <w:rsid w:val="009278A2"/>
    <w:rsid w:val="00927A5B"/>
    <w:rsid w:val="00927B04"/>
    <w:rsid w:val="00927B06"/>
    <w:rsid w:val="00927C89"/>
    <w:rsid w:val="00927C95"/>
    <w:rsid w:val="00927D28"/>
    <w:rsid w:val="00927DBB"/>
    <w:rsid w:val="00927EF6"/>
    <w:rsid w:val="00927F0A"/>
    <w:rsid w:val="00927FE5"/>
    <w:rsid w:val="009300CC"/>
    <w:rsid w:val="0093035E"/>
    <w:rsid w:val="0093037B"/>
    <w:rsid w:val="00930455"/>
    <w:rsid w:val="009304D4"/>
    <w:rsid w:val="00930545"/>
    <w:rsid w:val="009305C0"/>
    <w:rsid w:val="009305C3"/>
    <w:rsid w:val="0093060A"/>
    <w:rsid w:val="00930741"/>
    <w:rsid w:val="00930ADA"/>
    <w:rsid w:val="00930AE1"/>
    <w:rsid w:val="00930BA3"/>
    <w:rsid w:val="00930C49"/>
    <w:rsid w:val="00930CBD"/>
    <w:rsid w:val="00930CF8"/>
    <w:rsid w:val="00930EC1"/>
    <w:rsid w:val="00930F29"/>
    <w:rsid w:val="00930F3C"/>
    <w:rsid w:val="00930F4F"/>
    <w:rsid w:val="00930FB2"/>
    <w:rsid w:val="009310CF"/>
    <w:rsid w:val="00931237"/>
    <w:rsid w:val="00931316"/>
    <w:rsid w:val="0093153F"/>
    <w:rsid w:val="00931692"/>
    <w:rsid w:val="009316EE"/>
    <w:rsid w:val="009318C2"/>
    <w:rsid w:val="009318C8"/>
    <w:rsid w:val="00931A0F"/>
    <w:rsid w:val="00931A76"/>
    <w:rsid w:val="00931B5D"/>
    <w:rsid w:val="00931C23"/>
    <w:rsid w:val="00931CC4"/>
    <w:rsid w:val="00931D9D"/>
    <w:rsid w:val="00931E73"/>
    <w:rsid w:val="00931FEA"/>
    <w:rsid w:val="0093208A"/>
    <w:rsid w:val="009320DB"/>
    <w:rsid w:val="0093215C"/>
    <w:rsid w:val="009321FC"/>
    <w:rsid w:val="0093227A"/>
    <w:rsid w:val="0093238A"/>
    <w:rsid w:val="00932428"/>
    <w:rsid w:val="0093246D"/>
    <w:rsid w:val="00932602"/>
    <w:rsid w:val="0093265A"/>
    <w:rsid w:val="00932767"/>
    <w:rsid w:val="00932A02"/>
    <w:rsid w:val="00932AD1"/>
    <w:rsid w:val="00932AE7"/>
    <w:rsid w:val="00932C66"/>
    <w:rsid w:val="00932DBB"/>
    <w:rsid w:val="00932E3E"/>
    <w:rsid w:val="00932EEB"/>
    <w:rsid w:val="00932FFA"/>
    <w:rsid w:val="00933068"/>
    <w:rsid w:val="009330D1"/>
    <w:rsid w:val="00933300"/>
    <w:rsid w:val="00933307"/>
    <w:rsid w:val="00933573"/>
    <w:rsid w:val="009335B2"/>
    <w:rsid w:val="00933669"/>
    <w:rsid w:val="009336C0"/>
    <w:rsid w:val="009336DD"/>
    <w:rsid w:val="00933720"/>
    <w:rsid w:val="009337CA"/>
    <w:rsid w:val="009337CD"/>
    <w:rsid w:val="00933840"/>
    <w:rsid w:val="009338BD"/>
    <w:rsid w:val="00933945"/>
    <w:rsid w:val="00933A1E"/>
    <w:rsid w:val="00933A89"/>
    <w:rsid w:val="00933AF2"/>
    <w:rsid w:val="00933C4B"/>
    <w:rsid w:val="00933CDA"/>
    <w:rsid w:val="00933EAD"/>
    <w:rsid w:val="00933EBE"/>
    <w:rsid w:val="00933F11"/>
    <w:rsid w:val="00934148"/>
    <w:rsid w:val="0093415F"/>
    <w:rsid w:val="009341A5"/>
    <w:rsid w:val="00934276"/>
    <w:rsid w:val="009342A6"/>
    <w:rsid w:val="009343F9"/>
    <w:rsid w:val="00934449"/>
    <w:rsid w:val="009344AA"/>
    <w:rsid w:val="009344EA"/>
    <w:rsid w:val="009345F7"/>
    <w:rsid w:val="0093470C"/>
    <w:rsid w:val="009348E9"/>
    <w:rsid w:val="00934A97"/>
    <w:rsid w:val="00934B6A"/>
    <w:rsid w:val="00934B76"/>
    <w:rsid w:val="00934BBA"/>
    <w:rsid w:val="00934CF0"/>
    <w:rsid w:val="00934E05"/>
    <w:rsid w:val="00934E4D"/>
    <w:rsid w:val="00934E59"/>
    <w:rsid w:val="00934EB3"/>
    <w:rsid w:val="00934FDA"/>
    <w:rsid w:val="009351A6"/>
    <w:rsid w:val="0093537C"/>
    <w:rsid w:val="009354AA"/>
    <w:rsid w:val="009354FD"/>
    <w:rsid w:val="009355BA"/>
    <w:rsid w:val="009355E6"/>
    <w:rsid w:val="0093560E"/>
    <w:rsid w:val="0093561D"/>
    <w:rsid w:val="00935680"/>
    <w:rsid w:val="00935727"/>
    <w:rsid w:val="00935738"/>
    <w:rsid w:val="00935876"/>
    <w:rsid w:val="009358AF"/>
    <w:rsid w:val="00935ADA"/>
    <w:rsid w:val="00935C2A"/>
    <w:rsid w:val="00935CDE"/>
    <w:rsid w:val="00935DF5"/>
    <w:rsid w:val="00935EA5"/>
    <w:rsid w:val="00935EE6"/>
    <w:rsid w:val="0093605F"/>
    <w:rsid w:val="00936129"/>
    <w:rsid w:val="00936182"/>
    <w:rsid w:val="00936377"/>
    <w:rsid w:val="00936623"/>
    <w:rsid w:val="00936743"/>
    <w:rsid w:val="009367C3"/>
    <w:rsid w:val="0093683E"/>
    <w:rsid w:val="0093695B"/>
    <w:rsid w:val="00936A0A"/>
    <w:rsid w:val="00936B1E"/>
    <w:rsid w:val="00936B54"/>
    <w:rsid w:val="00936BC5"/>
    <w:rsid w:val="00936BE5"/>
    <w:rsid w:val="00936D31"/>
    <w:rsid w:val="00936E7D"/>
    <w:rsid w:val="00937060"/>
    <w:rsid w:val="009371B2"/>
    <w:rsid w:val="009371BC"/>
    <w:rsid w:val="00937406"/>
    <w:rsid w:val="0093743E"/>
    <w:rsid w:val="00937507"/>
    <w:rsid w:val="0093753D"/>
    <w:rsid w:val="00937872"/>
    <w:rsid w:val="009378AD"/>
    <w:rsid w:val="00937943"/>
    <w:rsid w:val="00937A40"/>
    <w:rsid w:val="00937C41"/>
    <w:rsid w:val="00937C53"/>
    <w:rsid w:val="00937C70"/>
    <w:rsid w:val="00937D7A"/>
    <w:rsid w:val="00937DFE"/>
    <w:rsid w:val="00940094"/>
    <w:rsid w:val="0094015D"/>
    <w:rsid w:val="009401B7"/>
    <w:rsid w:val="00940202"/>
    <w:rsid w:val="009402ED"/>
    <w:rsid w:val="00940381"/>
    <w:rsid w:val="0094051D"/>
    <w:rsid w:val="00940572"/>
    <w:rsid w:val="00940586"/>
    <w:rsid w:val="00940623"/>
    <w:rsid w:val="00940790"/>
    <w:rsid w:val="009407C7"/>
    <w:rsid w:val="009407DE"/>
    <w:rsid w:val="00940A34"/>
    <w:rsid w:val="00940BD9"/>
    <w:rsid w:val="00940F5F"/>
    <w:rsid w:val="00941091"/>
    <w:rsid w:val="009410C6"/>
    <w:rsid w:val="00941194"/>
    <w:rsid w:val="0094124C"/>
    <w:rsid w:val="00941270"/>
    <w:rsid w:val="00941442"/>
    <w:rsid w:val="009414DF"/>
    <w:rsid w:val="00941531"/>
    <w:rsid w:val="00941544"/>
    <w:rsid w:val="00941797"/>
    <w:rsid w:val="00941882"/>
    <w:rsid w:val="009418A7"/>
    <w:rsid w:val="00941927"/>
    <w:rsid w:val="0094193A"/>
    <w:rsid w:val="0094194F"/>
    <w:rsid w:val="00941A4B"/>
    <w:rsid w:val="00941AB6"/>
    <w:rsid w:val="00941D86"/>
    <w:rsid w:val="00941E52"/>
    <w:rsid w:val="009420E2"/>
    <w:rsid w:val="00942267"/>
    <w:rsid w:val="0094229F"/>
    <w:rsid w:val="0094248F"/>
    <w:rsid w:val="009425A5"/>
    <w:rsid w:val="00942636"/>
    <w:rsid w:val="00942642"/>
    <w:rsid w:val="009426FD"/>
    <w:rsid w:val="009427DD"/>
    <w:rsid w:val="00942818"/>
    <w:rsid w:val="0094289D"/>
    <w:rsid w:val="00942960"/>
    <w:rsid w:val="009429ED"/>
    <w:rsid w:val="00942A7F"/>
    <w:rsid w:val="00942ACA"/>
    <w:rsid w:val="00942AD3"/>
    <w:rsid w:val="00942B7E"/>
    <w:rsid w:val="00942CDC"/>
    <w:rsid w:val="00942D49"/>
    <w:rsid w:val="00942D84"/>
    <w:rsid w:val="00942EE4"/>
    <w:rsid w:val="00942F48"/>
    <w:rsid w:val="00943003"/>
    <w:rsid w:val="009430BE"/>
    <w:rsid w:val="00943208"/>
    <w:rsid w:val="00943243"/>
    <w:rsid w:val="00943507"/>
    <w:rsid w:val="00943681"/>
    <w:rsid w:val="009436D9"/>
    <w:rsid w:val="00943830"/>
    <w:rsid w:val="00943897"/>
    <w:rsid w:val="009438FE"/>
    <w:rsid w:val="00943921"/>
    <w:rsid w:val="00943967"/>
    <w:rsid w:val="00943A4D"/>
    <w:rsid w:val="00943CEC"/>
    <w:rsid w:val="00943D2D"/>
    <w:rsid w:val="00943D34"/>
    <w:rsid w:val="00943D62"/>
    <w:rsid w:val="00943DD7"/>
    <w:rsid w:val="00943EE6"/>
    <w:rsid w:val="00943F8B"/>
    <w:rsid w:val="00943FA9"/>
    <w:rsid w:val="00943FDF"/>
    <w:rsid w:val="0094406D"/>
    <w:rsid w:val="009440D8"/>
    <w:rsid w:val="00944116"/>
    <w:rsid w:val="0094430D"/>
    <w:rsid w:val="0094435C"/>
    <w:rsid w:val="00944418"/>
    <w:rsid w:val="0094443A"/>
    <w:rsid w:val="0094443B"/>
    <w:rsid w:val="0094444F"/>
    <w:rsid w:val="00944598"/>
    <w:rsid w:val="0094466A"/>
    <w:rsid w:val="00944693"/>
    <w:rsid w:val="00944955"/>
    <w:rsid w:val="00944A68"/>
    <w:rsid w:val="00944ACD"/>
    <w:rsid w:val="00944B48"/>
    <w:rsid w:val="00944BC2"/>
    <w:rsid w:val="00944BD7"/>
    <w:rsid w:val="00944C57"/>
    <w:rsid w:val="00944C5E"/>
    <w:rsid w:val="00944CA4"/>
    <w:rsid w:val="00944D98"/>
    <w:rsid w:val="00944F19"/>
    <w:rsid w:val="0094501D"/>
    <w:rsid w:val="00945064"/>
    <w:rsid w:val="009450B9"/>
    <w:rsid w:val="0094511E"/>
    <w:rsid w:val="009452C2"/>
    <w:rsid w:val="00945358"/>
    <w:rsid w:val="009453BB"/>
    <w:rsid w:val="009456A5"/>
    <w:rsid w:val="009457ED"/>
    <w:rsid w:val="00945808"/>
    <w:rsid w:val="0094588F"/>
    <w:rsid w:val="009458F5"/>
    <w:rsid w:val="0094598E"/>
    <w:rsid w:val="00945A41"/>
    <w:rsid w:val="00945B2A"/>
    <w:rsid w:val="00945BD4"/>
    <w:rsid w:val="00945D21"/>
    <w:rsid w:val="00945D78"/>
    <w:rsid w:val="00945EAE"/>
    <w:rsid w:val="00945EEB"/>
    <w:rsid w:val="00946027"/>
    <w:rsid w:val="009462A5"/>
    <w:rsid w:val="009462C6"/>
    <w:rsid w:val="00946380"/>
    <w:rsid w:val="009463D0"/>
    <w:rsid w:val="0094645D"/>
    <w:rsid w:val="0094647F"/>
    <w:rsid w:val="009465BF"/>
    <w:rsid w:val="009468FF"/>
    <w:rsid w:val="0094690B"/>
    <w:rsid w:val="00946934"/>
    <w:rsid w:val="00946A8E"/>
    <w:rsid w:val="00946B63"/>
    <w:rsid w:val="00946C38"/>
    <w:rsid w:val="00946E38"/>
    <w:rsid w:val="00947049"/>
    <w:rsid w:val="009470BE"/>
    <w:rsid w:val="009472F4"/>
    <w:rsid w:val="009473DF"/>
    <w:rsid w:val="00947480"/>
    <w:rsid w:val="00947533"/>
    <w:rsid w:val="00947543"/>
    <w:rsid w:val="00947591"/>
    <w:rsid w:val="009475F1"/>
    <w:rsid w:val="0094763E"/>
    <w:rsid w:val="00947691"/>
    <w:rsid w:val="00947871"/>
    <w:rsid w:val="00947906"/>
    <w:rsid w:val="00947A7E"/>
    <w:rsid w:val="00947AE0"/>
    <w:rsid w:val="00947CE2"/>
    <w:rsid w:val="00947CEE"/>
    <w:rsid w:val="00947DBC"/>
    <w:rsid w:val="00947DDD"/>
    <w:rsid w:val="00947E62"/>
    <w:rsid w:val="00947E83"/>
    <w:rsid w:val="00947F04"/>
    <w:rsid w:val="00947F5D"/>
    <w:rsid w:val="00950016"/>
    <w:rsid w:val="0095002D"/>
    <w:rsid w:val="0095017A"/>
    <w:rsid w:val="00950246"/>
    <w:rsid w:val="00950453"/>
    <w:rsid w:val="009504A3"/>
    <w:rsid w:val="00950502"/>
    <w:rsid w:val="0095055B"/>
    <w:rsid w:val="009505A8"/>
    <w:rsid w:val="00950652"/>
    <w:rsid w:val="009506A5"/>
    <w:rsid w:val="009506C7"/>
    <w:rsid w:val="009507A1"/>
    <w:rsid w:val="009508F6"/>
    <w:rsid w:val="00950932"/>
    <w:rsid w:val="00950938"/>
    <w:rsid w:val="009509EA"/>
    <w:rsid w:val="00950C83"/>
    <w:rsid w:val="00950E66"/>
    <w:rsid w:val="00950F39"/>
    <w:rsid w:val="0095105C"/>
    <w:rsid w:val="0095107C"/>
    <w:rsid w:val="0095117C"/>
    <w:rsid w:val="009511ED"/>
    <w:rsid w:val="0095121C"/>
    <w:rsid w:val="0095129C"/>
    <w:rsid w:val="00951398"/>
    <w:rsid w:val="009513B0"/>
    <w:rsid w:val="00951532"/>
    <w:rsid w:val="0095160C"/>
    <w:rsid w:val="0095167B"/>
    <w:rsid w:val="00951687"/>
    <w:rsid w:val="00951703"/>
    <w:rsid w:val="00951797"/>
    <w:rsid w:val="009518F3"/>
    <w:rsid w:val="009519D2"/>
    <w:rsid w:val="00951A32"/>
    <w:rsid w:val="00951A54"/>
    <w:rsid w:val="00951B00"/>
    <w:rsid w:val="00951C5C"/>
    <w:rsid w:val="00951CC3"/>
    <w:rsid w:val="00951D2D"/>
    <w:rsid w:val="00951E94"/>
    <w:rsid w:val="00951EE1"/>
    <w:rsid w:val="00952037"/>
    <w:rsid w:val="0095206C"/>
    <w:rsid w:val="009520CA"/>
    <w:rsid w:val="009520DB"/>
    <w:rsid w:val="009522A2"/>
    <w:rsid w:val="00952412"/>
    <w:rsid w:val="0095247C"/>
    <w:rsid w:val="00952696"/>
    <w:rsid w:val="009529DA"/>
    <w:rsid w:val="00952AC1"/>
    <w:rsid w:val="00952B1B"/>
    <w:rsid w:val="00952BA3"/>
    <w:rsid w:val="00952BAD"/>
    <w:rsid w:val="00952C64"/>
    <w:rsid w:val="00952CD9"/>
    <w:rsid w:val="00952DE4"/>
    <w:rsid w:val="00952E78"/>
    <w:rsid w:val="00952E8F"/>
    <w:rsid w:val="009530F7"/>
    <w:rsid w:val="00953410"/>
    <w:rsid w:val="00953473"/>
    <w:rsid w:val="0095350B"/>
    <w:rsid w:val="00953641"/>
    <w:rsid w:val="00953654"/>
    <w:rsid w:val="009536EF"/>
    <w:rsid w:val="009537F5"/>
    <w:rsid w:val="00953877"/>
    <w:rsid w:val="00953936"/>
    <w:rsid w:val="0095395A"/>
    <w:rsid w:val="00953A1F"/>
    <w:rsid w:val="00953B23"/>
    <w:rsid w:val="00953B69"/>
    <w:rsid w:val="00953BAE"/>
    <w:rsid w:val="00953C62"/>
    <w:rsid w:val="00953F47"/>
    <w:rsid w:val="00953FE9"/>
    <w:rsid w:val="009540F5"/>
    <w:rsid w:val="00954145"/>
    <w:rsid w:val="00954351"/>
    <w:rsid w:val="009543B8"/>
    <w:rsid w:val="0095446F"/>
    <w:rsid w:val="0095448E"/>
    <w:rsid w:val="009544AC"/>
    <w:rsid w:val="009547DF"/>
    <w:rsid w:val="00954999"/>
    <w:rsid w:val="00954BEC"/>
    <w:rsid w:val="00954CE9"/>
    <w:rsid w:val="00954D21"/>
    <w:rsid w:val="00954ECC"/>
    <w:rsid w:val="00954ECD"/>
    <w:rsid w:val="00954F00"/>
    <w:rsid w:val="00954F51"/>
    <w:rsid w:val="0095504F"/>
    <w:rsid w:val="00955237"/>
    <w:rsid w:val="00955272"/>
    <w:rsid w:val="00955297"/>
    <w:rsid w:val="009552F6"/>
    <w:rsid w:val="00955453"/>
    <w:rsid w:val="009554B2"/>
    <w:rsid w:val="00955566"/>
    <w:rsid w:val="009555AD"/>
    <w:rsid w:val="00955685"/>
    <w:rsid w:val="009556CD"/>
    <w:rsid w:val="00955BDB"/>
    <w:rsid w:val="00955C3E"/>
    <w:rsid w:val="00955E1C"/>
    <w:rsid w:val="0095601D"/>
    <w:rsid w:val="00956084"/>
    <w:rsid w:val="00956278"/>
    <w:rsid w:val="00956280"/>
    <w:rsid w:val="009563CF"/>
    <w:rsid w:val="0095648C"/>
    <w:rsid w:val="0095656B"/>
    <w:rsid w:val="009565B7"/>
    <w:rsid w:val="0095662C"/>
    <w:rsid w:val="009566D7"/>
    <w:rsid w:val="009567E3"/>
    <w:rsid w:val="00956BEC"/>
    <w:rsid w:val="00956C1D"/>
    <w:rsid w:val="00956CED"/>
    <w:rsid w:val="00956D22"/>
    <w:rsid w:val="00956E23"/>
    <w:rsid w:val="00956E96"/>
    <w:rsid w:val="00956EA2"/>
    <w:rsid w:val="00956F2F"/>
    <w:rsid w:val="00956F93"/>
    <w:rsid w:val="009570C6"/>
    <w:rsid w:val="009571EB"/>
    <w:rsid w:val="009572BD"/>
    <w:rsid w:val="0095738D"/>
    <w:rsid w:val="0095755E"/>
    <w:rsid w:val="0095762E"/>
    <w:rsid w:val="0095774A"/>
    <w:rsid w:val="00957751"/>
    <w:rsid w:val="009578D8"/>
    <w:rsid w:val="009579F3"/>
    <w:rsid w:val="00957A1F"/>
    <w:rsid w:val="00957A65"/>
    <w:rsid w:val="00957B5C"/>
    <w:rsid w:val="00957C73"/>
    <w:rsid w:val="00957DA8"/>
    <w:rsid w:val="00960142"/>
    <w:rsid w:val="00960420"/>
    <w:rsid w:val="00960433"/>
    <w:rsid w:val="009605AA"/>
    <w:rsid w:val="009606DB"/>
    <w:rsid w:val="00960737"/>
    <w:rsid w:val="0096084B"/>
    <w:rsid w:val="00960ABF"/>
    <w:rsid w:val="00960B07"/>
    <w:rsid w:val="00960B68"/>
    <w:rsid w:val="00960D33"/>
    <w:rsid w:val="009610E5"/>
    <w:rsid w:val="009611AC"/>
    <w:rsid w:val="00961252"/>
    <w:rsid w:val="009612DC"/>
    <w:rsid w:val="00961444"/>
    <w:rsid w:val="009615BE"/>
    <w:rsid w:val="009616C7"/>
    <w:rsid w:val="0096184A"/>
    <w:rsid w:val="0096197B"/>
    <w:rsid w:val="0096198B"/>
    <w:rsid w:val="009619D2"/>
    <w:rsid w:val="00961A6E"/>
    <w:rsid w:val="00961B4C"/>
    <w:rsid w:val="00961BDA"/>
    <w:rsid w:val="00961EA3"/>
    <w:rsid w:val="00962167"/>
    <w:rsid w:val="00962231"/>
    <w:rsid w:val="009622A9"/>
    <w:rsid w:val="009622AD"/>
    <w:rsid w:val="009622D9"/>
    <w:rsid w:val="00962358"/>
    <w:rsid w:val="0096259C"/>
    <w:rsid w:val="0096271E"/>
    <w:rsid w:val="009627A6"/>
    <w:rsid w:val="00962951"/>
    <w:rsid w:val="0096297F"/>
    <w:rsid w:val="00962A4C"/>
    <w:rsid w:val="00962BF1"/>
    <w:rsid w:val="00962C84"/>
    <w:rsid w:val="00962C8E"/>
    <w:rsid w:val="00962C9E"/>
    <w:rsid w:val="00962DD1"/>
    <w:rsid w:val="00962FC7"/>
    <w:rsid w:val="0096316A"/>
    <w:rsid w:val="0096318C"/>
    <w:rsid w:val="009631B2"/>
    <w:rsid w:val="00963283"/>
    <w:rsid w:val="009632CD"/>
    <w:rsid w:val="00963448"/>
    <w:rsid w:val="0096345C"/>
    <w:rsid w:val="009634F5"/>
    <w:rsid w:val="00963626"/>
    <w:rsid w:val="00963657"/>
    <w:rsid w:val="00963675"/>
    <w:rsid w:val="00963773"/>
    <w:rsid w:val="009637D7"/>
    <w:rsid w:val="00963832"/>
    <w:rsid w:val="00963DA0"/>
    <w:rsid w:val="00963F2E"/>
    <w:rsid w:val="009640E1"/>
    <w:rsid w:val="00964112"/>
    <w:rsid w:val="009641BF"/>
    <w:rsid w:val="00964264"/>
    <w:rsid w:val="009642DE"/>
    <w:rsid w:val="00964383"/>
    <w:rsid w:val="00964391"/>
    <w:rsid w:val="0096449A"/>
    <w:rsid w:val="00964501"/>
    <w:rsid w:val="00964525"/>
    <w:rsid w:val="00964640"/>
    <w:rsid w:val="009646D2"/>
    <w:rsid w:val="00964718"/>
    <w:rsid w:val="0096478D"/>
    <w:rsid w:val="009647AD"/>
    <w:rsid w:val="009648AF"/>
    <w:rsid w:val="009648D7"/>
    <w:rsid w:val="009649D0"/>
    <w:rsid w:val="00964A11"/>
    <w:rsid w:val="00964BE8"/>
    <w:rsid w:val="00964C59"/>
    <w:rsid w:val="00964D22"/>
    <w:rsid w:val="00964D4A"/>
    <w:rsid w:val="00964DAB"/>
    <w:rsid w:val="00964DF1"/>
    <w:rsid w:val="00964E2D"/>
    <w:rsid w:val="00964E76"/>
    <w:rsid w:val="00964F0A"/>
    <w:rsid w:val="00964F8D"/>
    <w:rsid w:val="0096502C"/>
    <w:rsid w:val="00965056"/>
    <w:rsid w:val="009650DD"/>
    <w:rsid w:val="00965149"/>
    <w:rsid w:val="0096516A"/>
    <w:rsid w:val="00965223"/>
    <w:rsid w:val="009653AF"/>
    <w:rsid w:val="009653D9"/>
    <w:rsid w:val="00965407"/>
    <w:rsid w:val="00965501"/>
    <w:rsid w:val="009655D7"/>
    <w:rsid w:val="00965787"/>
    <w:rsid w:val="009659AE"/>
    <w:rsid w:val="00965A70"/>
    <w:rsid w:val="00965AF5"/>
    <w:rsid w:val="00965B68"/>
    <w:rsid w:val="00965DBE"/>
    <w:rsid w:val="00965E3D"/>
    <w:rsid w:val="00965EA1"/>
    <w:rsid w:val="00965F71"/>
    <w:rsid w:val="009660C5"/>
    <w:rsid w:val="00966186"/>
    <w:rsid w:val="009662C3"/>
    <w:rsid w:val="009662F3"/>
    <w:rsid w:val="00966336"/>
    <w:rsid w:val="009663A5"/>
    <w:rsid w:val="00966430"/>
    <w:rsid w:val="009664A1"/>
    <w:rsid w:val="0096653B"/>
    <w:rsid w:val="009665FE"/>
    <w:rsid w:val="00966984"/>
    <w:rsid w:val="009669B5"/>
    <w:rsid w:val="00966B62"/>
    <w:rsid w:val="00966B85"/>
    <w:rsid w:val="00966BCE"/>
    <w:rsid w:val="00966BED"/>
    <w:rsid w:val="00966D6A"/>
    <w:rsid w:val="00966D83"/>
    <w:rsid w:val="00966D98"/>
    <w:rsid w:val="00966E3A"/>
    <w:rsid w:val="00966E5C"/>
    <w:rsid w:val="00966EA8"/>
    <w:rsid w:val="00967045"/>
    <w:rsid w:val="009671A5"/>
    <w:rsid w:val="009672A2"/>
    <w:rsid w:val="00967436"/>
    <w:rsid w:val="0096754E"/>
    <w:rsid w:val="009675D2"/>
    <w:rsid w:val="00967753"/>
    <w:rsid w:val="00967984"/>
    <w:rsid w:val="00967A48"/>
    <w:rsid w:val="00967B80"/>
    <w:rsid w:val="00967BB8"/>
    <w:rsid w:val="00967C2A"/>
    <w:rsid w:val="00967C62"/>
    <w:rsid w:val="00967D3A"/>
    <w:rsid w:val="00967EB6"/>
    <w:rsid w:val="00967F36"/>
    <w:rsid w:val="0097002D"/>
    <w:rsid w:val="00970102"/>
    <w:rsid w:val="0097020C"/>
    <w:rsid w:val="009702D0"/>
    <w:rsid w:val="009703AB"/>
    <w:rsid w:val="009703C4"/>
    <w:rsid w:val="0097040F"/>
    <w:rsid w:val="00970487"/>
    <w:rsid w:val="00970529"/>
    <w:rsid w:val="0097057D"/>
    <w:rsid w:val="00970587"/>
    <w:rsid w:val="00970659"/>
    <w:rsid w:val="00970665"/>
    <w:rsid w:val="009706DE"/>
    <w:rsid w:val="0097073C"/>
    <w:rsid w:val="00970A1B"/>
    <w:rsid w:val="00970C28"/>
    <w:rsid w:val="00970C87"/>
    <w:rsid w:val="00970ED0"/>
    <w:rsid w:val="00970F47"/>
    <w:rsid w:val="00970F62"/>
    <w:rsid w:val="0097101F"/>
    <w:rsid w:val="0097102A"/>
    <w:rsid w:val="0097116A"/>
    <w:rsid w:val="00971247"/>
    <w:rsid w:val="009712CD"/>
    <w:rsid w:val="00971470"/>
    <w:rsid w:val="009714AD"/>
    <w:rsid w:val="0097150F"/>
    <w:rsid w:val="00971668"/>
    <w:rsid w:val="00971718"/>
    <w:rsid w:val="009717C4"/>
    <w:rsid w:val="00971851"/>
    <w:rsid w:val="009719D8"/>
    <w:rsid w:val="00971A7F"/>
    <w:rsid w:val="00971AE2"/>
    <w:rsid w:val="00971C04"/>
    <w:rsid w:val="00971C70"/>
    <w:rsid w:val="0097200C"/>
    <w:rsid w:val="00972094"/>
    <w:rsid w:val="00972243"/>
    <w:rsid w:val="009722F6"/>
    <w:rsid w:val="009723B7"/>
    <w:rsid w:val="009723E9"/>
    <w:rsid w:val="009723EA"/>
    <w:rsid w:val="00972419"/>
    <w:rsid w:val="00972493"/>
    <w:rsid w:val="009724E8"/>
    <w:rsid w:val="0097252C"/>
    <w:rsid w:val="00972588"/>
    <w:rsid w:val="009725E1"/>
    <w:rsid w:val="00972701"/>
    <w:rsid w:val="00972870"/>
    <w:rsid w:val="0097289D"/>
    <w:rsid w:val="0097291F"/>
    <w:rsid w:val="00972949"/>
    <w:rsid w:val="00972A58"/>
    <w:rsid w:val="00972A8B"/>
    <w:rsid w:val="00972B18"/>
    <w:rsid w:val="00972B54"/>
    <w:rsid w:val="00972DFB"/>
    <w:rsid w:val="00972EE3"/>
    <w:rsid w:val="00972EF5"/>
    <w:rsid w:val="00972F3A"/>
    <w:rsid w:val="00972F96"/>
    <w:rsid w:val="0097301A"/>
    <w:rsid w:val="00973063"/>
    <w:rsid w:val="00973090"/>
    <w:rsid w:val="009730E0"/>
    <w:rsid w:val="00973155"/>
    <w:rsid w:val="0097315C"/>
    <w:rsid w:val="00973483"/>
    <w:rsid w:val="009735AF"/>
    <w:rsid w:val="009737FE"/>
    <w:rsid w:val="009738D8"/>
    <w:rsid w:val="00973956"/>
    <w:rsid w:val="00973990"/>
    <w:rsid w:val="00973B9D"/>
    <w:rsid w:val="00973CC1"/>
    <w:rsid w:val="00973CD6"/>
    <w:rsid w:val="00973D10"/>
    <w:rsid w:val="00973EDA"/>
    <w:rsid w:val="00973F69"/>
    <w:rsid w:val="00974128"/>
    <w:rsid w:val="0097454F"/>
    <w:rsid w:val="00974600"/>
    <w:rsid w:val="00974636"/>
    <w:rsid w:val="00974701"/>
    <w:rsid w:val="0097471E"/>
    <w:rsid w:val="00974794"/>
    <w:rsid w:val="009747AB"/>
    <w:rsid w:val="00974910"/>
    <w:rsid w:val="00974916"/>
    <w:rsid w:val="009749A3"/>
    <w:rsid w:val="00974AFD"/>
    <w:rsid w:val="00974BD8"/>
    <w:rsid w:val="00974C03"/>
    <w:rsid w:val="00974CA8"/>
    <w:rsid w:val="00974CB9"/>
    <w:rsid w:val="00974CC7"/>
    <w:rsid w:val="00974E2D"/>
    <w:rsid w:val="00974E32"/>
    <w:rsid w:val="00974F04"/>
    <w:rsid w:val="00975115"/>
    <w:rsid w:val="009753BE"/>
    <w:rsid w:val="0097585A"/>
    <w:rsid w:val="00975926"/>
    <w:rsid w:val="00975965"/>
    <w:rsid w:val="00975AB3"/>
    <w:rsid w:val="00975B11"/>
    <w:rsid w:val="00975DD3"/>
    <w:rsid w:val="0097601D"/>
    <w:rsid w:val="00976039"/>
    <w:rsid w:val="009760F5"/>
    <w:rsid w:val="0097617E"/>
    <w:rsid w:val="00976268"/>
    <w:rsid w:val="009762C5"/>
    <w:rsid w:val="009762E9"/>
    <w:rsid w:val="00976323"/>
    <w:rsid w:val="0097634B"/>
    <w:rsid w:val="009763F9"/>
    <w:rsid w:val="00976440"/>
    <w:rsid w:val="00976526"/>
    <w:rsid w:val="00976534"/>
    <w:rsid w:val="00976550"/>
    <w:rsid w:val="00976623"/>
    <w:rsid w:val="0097664D"/>
    <w:rsid w:val="0097665F"/>
    <w:rsid w:val="009766B4"/>
    <w:rsid w:val="009766D7"/>
    <w:rsid w:val="009768E7"/>
    <w:rsid w:val="009769C8"/>
    <w:rsid w:val="00976B12"/>
    <w:rsid w:val="00976B2D"/>
    <w:rsid w:val="00976B4E"/>
    <w:rsid w:val="00976C04"/>
    <w:rsid w:val="00976CDB"/>
    <w:rsid w:val="00976DFE"/>
    <w:rsid w:val="00976DFF"/>
    <w:rsid w:val="00976ECD"/>
    <w:rsid w:val="00976FF5"/>
    <w:rsid w:val="00977106"/>
    <w:rsid w:val="009771B9"/>
    <w:rsid w:val="0097733D"/>
    <w:rsid w:val="009774C5"/>
    <w:rsid w:val="0097757E"/>
    <w:rsid w:val="00977634"/>
    <w:rsid w:val="009776F2"/>
    <w:rsid w:val="009777DD"/>
    <w:rsid w:val="00977913"/>
    <w:rsid w:val="00977925"/>
    <w:rsid w:val="00977A0C"/>
    <w:rsid w:val="00977B05"/>
    <w:rsid w:val="00977BF7"/>
    <w:rsid w:val="00977BFF"/>
    <w:rsid w:val="00977D6D"/>
    <w:rsid w:val="00977D96"/>
    <w:rsid w:val="00977E8F"/>
    <w:rsid w:val="00977FCD"/>
    <w:rsid w:val="0098002F"/>
    <w:rsid w:val="00980084"/>
    <w:rsid w:val="00980128"/>
    <w:rsid w:val="00980216"/>
    <w:rsid w:val="00980271"/>
    <w:rsid w:val="009802FC"/>
    <w:rsid w:val="00980365"/>
    <w:rsid w:val="0098038F"/>
    <w:rsid w:val="00980494"/>
    <w:rsid w:val="009804D1"/>
    <w:rsid w:val="009804D9"/>
    <w:rsid w:val="00980563"/>
    <w:rsid w:val="009806BE"/>
    <w:rsid w:val="009807B0"/>
    <w:rsid w:val="0098087A"/>
    <w:rsid w:val="009808FA"/>
    <w:rsid w:val="009809C2"/>
    <w:rsid w:val="009809DD"/>
    <w:rsid w:val="00980AB4"/>
    <w:rsid w:val="00980CD8"/>
    <w:rsid w:val="00980E51"/>
    <w:rsid w:val="00980F54"/>
    <w:rsid w:val="00980F76"/>
    <w:rsid w:val="00980FAF"/>
    <w:rsid w:val="0098107C"/>
    <w:rsid w:val="0098116D"/>
    <w:rsid w:val="0098132D"/>
    <w:rsid w:val="009813F6"/>
    <w:rsid w:val="009814AD"/>
    <w:rsid w:val="009814C8"/>
    <w:rsid w:val="009814EC"/>
    <w:rsid w:val="009816EA"/>
    <w:rsid w:val="00981717"/>
    <w:rsid w:val="009818A9"/>
    <w:rsid w:val="009818C0"/>
    <w:rsid w:val="009818D6"/>
    <w:rsid w:val="00981932"/>
    <w:rsid w:val="00981972"/>
    <w:rsid w:val="009819CA"/>
    <w:rsid w:val="00981A0B"/>
    <w:rsid w:val="00981AD1"/>
    <w:rsid w:val="00981AE0"/>
    <w:rsid w:val="00981BC4"/>
    <w:rsid w:val="00981C61"/>
    <w:rsid w:val="00981CC9"/>
    <w:rsid w:val="00981D12"/>
    <w:rsid w:val="00981D16"/>
    <w:rsid w:val="00981D8A"/>
    <w:rsid w:val="00981DA1"/>
    <w:rsid w:val="0098209D"/>
    <w:rsid w:val="00982130"/>
    <w:rsid w:val="00982150"/>
    <w:rsid w:val="0098241E"/>
    <w:rsid w:val="00982480"/>
    <w:rsid w:val="009825B6"/>
    <w:rsid w:val="00982754"/>
    <w:rsid w:val="00982761"/>
    <w:rsid w:val="009827C2"/>
    <w:rsid w:val="00982852"/>
    <w:rsid w:val="009828D4"/>
    <w:rsid w:val="009829C0"/>
    <w:rsid w:val="00982B0F"/>
    <w:rsid w:val="00982B35"/>
    <w:rsid w:val="00982DEC"/>
    <w:rsid w:val="00982DFE"/>
    <w:rsid w:val="00982EC8"/>
    <w:rsid w:val="00982F8B"/>
    <w:rsid w:val="00982FFB"/>
    <w:rsid w:val="0098302F"/>
    <w:rsid w:val="00983090"/>
    <w:rsid w:val="009830B7"/>
    <w:rsid w:val="0098312B"/>
    <w:rsid w:val="009831A1"/>
    <w:rsid w:val="009831E0"/>
    <w:rsid w:val="00983236"/>
    <w:rsid w:val="0098328F"/>
    <w:rsid w:val="009833F2"/>
    <w:rsid w:val="00983618"/>
    <w:rsid w:val="0098363A"/>
    <w:rsid w:val="00983651"/>
    <w:rsid w:val="009836F1"/>
    <w:rsid w:val="009837C0"/>
    <w:rsid w:val="009837E6"/>
    <w:rsid w:val="009837FC"/>
    <w:rsid w:val="009838DE"/>
    <w:rsid w:val="00983980"/>
    <w:rsid w:val="0098398B"/>
    <w:rsid w:val="009839A4"/>
    <w:rsid w:val="00983BE6"/>
    <w:rsid w:val="00983BFD"/>
    <w:rsid w:val="00983E58"/>
    <w:rsid w:val="00984183"/>
    <w:rsid w:val="00984209"/>
    <w:rsid w:val="00984388"/>
    <w:rsid w:val="009843B8"/>
    <w:rsid w:val="0098446A"/>
    <w:rsid w:val="0098446C"/>
    <w:rsid w:val="009845ED"/>
    <w:rsid w:val="00984697"/>
    <w:rsid w:val="00984722"/>
    <w:rsid w:val="00984728"/>
    <w:rsid w:val="00984907"/>
    <w:rsid w:val="009849B0"/>
    <w:rsid w:val="00984BB7"/>
    <w:rsid w:val="00984E8C"/>
    <w:rsid w:val="00984F01"/>
    <w:rsid w:val="00984F1E"/>
    <w:rsid w:val="00984F23"/>
    <w:rsid w:val="00985040"/>
    <w:rsid w:val="00985053"/>
    <w:rsid w:val="009851C9"/>
    <w:rsid w:val="009852E9"/>
    <w:rsid w:val="00985453"/>
    <w:rsid w:val="0098562E"/>
    <w:rsid w:val="00985653"/>
    <w:rsid w:val="00985674"/>
    <w:rsid w:val="0098568A"/>
    <w:rsid w:val="00985697"/>
    <w:rsid w:val="00985705"/>
    <w:rsid w:val="0098579C"/>
    <w:rsid w:val="009857C2"/>
    <w:rsid w:val="009857E6"/>
    <w:rsid w:val="009858AB"/>
    <w:rsid w:val="00985AEC"/>
    <w:rsid w:val="00985AF2"/>
    <w:rsid w:val="00985B48"/>
    <w:rsid w:val="00985C2A"/>
    <w:rsid w:val="00985C3D"/>
    <w:rsid w:val="00985D82"/>
    <w:rsid w:val="00985DF6"/>
    <w:rsid w:val="00985E42"/>
    <w:rsid w:val="009860FE"/>
    <w:rsid w:val="0098617B"/>
    <w:rsid w:val="0098619C"/>
    <w:rsid w:val="009862CA"/>
    <w:rsid w:val="00986300"/>
    <w:rsid w:val="00986321"/>
    <w:rsid w:val="00986343"/>
    <w:rsid w:val="00986576"/>
    <w:rsid w:val="009866F0"/>
    <w:rsid w:val="0098678A"/>
    <w:rsid w:val="009867E7"/>
    <w:rsid w:val="009868DA"/>
    <w:rsid w:val="009868E4"/>
    <w:rsid w:val="0098694F"/>
    <w:rsid w:val="00986B73"/>
    <w:rsid w:val="00986BFA"/>
    <w:rsid w:val="00986E1E"/>
    <w:rsid w:val="00986E85"/>
    <w:rsid w:val="00987048"/>
    <w:rsid w:val="009870C2"/>
    <w:rsid w:val="00987344"/>
    <w:rsid w:val="0098737C"/>
    <w:rsid w:val="00987389"/>
    <w:rsid w:val="0098739C"/>
    <w:rsid w:val="009873C2"/>
    <w:rsid w:val="0098773E"/>
    <w:rsid w:val="0098775C"/>
    <w:rsid w:val="00987777"/>
    <w:rsid w:val="009877A2"/>
    <w:rsid w:val="00987807"/>
    <w:rsid w:val="00987837"/>
    <w:rsid w:val="009878D5"/>
    <w:rsid w:val="00987980"/>
    <w:rsid w:val="00987B85"/>
    <w:rsid w:val="00987BB3"/>
    <w:rsid w:val="00987BD2"/>
    <w:rsid w:val="00987D03"/>
    <w:rsid w:val="00987D5A"/>
    <w:rsid w:val="00987D79"/>
    <w:rsid w:val="00987DC6"/>
    <w:rsid w:val="00987DFA"/>
    <w:rsid w:val="00987EE3"/>
    <w:rsid w:val="00987F05"/>
    <w:rsid w:val="0098DBF3"/>
    <w:rsid w:val="0099008B"/>
    <w:rsid w:val="0099026D"/>
    <w:rsid w:val="009902AD"/>
    <w:rsid w:val="00990318"/>
    <w:rsid w:val="0099036C"/>
    <w:rsid w:val="009903EF"/>
    <w:rsid w:val="009903FA"/>
    <w:rsid w:val="0099048C"/>
    <w:rsid w:val="009904B8"/>
    <w:rsid w:val="0099053D"/>
    <w:rsid w:val="009905BC"/>
    <w:rsid w:val="0099060E"/>
    <w:rsid w:val="00990752"/>
    <w:rsid w:val="00990854"/>
    <w:rsid w:val="00990917"/>
    <w:rsid w:val="00990982"/>
    <w:rsid w:val="009909DF"/>
    <w:rsid w:val="00990A42"/>
    <w:rsid w:val="00990B0E"/>
    <w:rsid w:val="00990CB1"/>
    <w:rsid w:val="00990CBF"/>
    <w:rsid w:val="00990DF7"/>
    <w:rsid w:val="00990F55"/>
    <w:rsid w:val="0099103B"/>
    <w:rsid w:val="0099115D"/>
    <w:rsid w:val="009912C6"/>
    <w:rsid w:val="009913AD"/>
    <w:rsid w:val="009913B5"/>
    <w:rsid w:val="009913F3"/>
    <w:rsid w:val="0099152D"/>
    <w:rsid w:val="0099173E"/>
    <w:rsid w:val="00991776"/>
    <w:rsid w:val="00991801"/>
    <w:rsid w:val="009918EF"/>
    <w:rsid w:val="00991BAE"/>
    <w:rsid w:val="00991E6E"/>
    <w:rsid w:val="00991EAD"/>
    <w:rsid w:val="00991FEC"/>
    <w:rsid w:val="00992017"/>
    <w:rsid w:val="009921C1"/>
    <w:rsid w:val="00992240"/>
    <w:rsid w:val="00992293"/>
    <w:rsid w:val="009922C0"/>
    <w:rsid w:val="009922C8"/>
    <w:rsid w:val="0099231C"/>
    <w:rsid w:val="00992393"/>
    <w:rsid w:val="00992442"/>
    <w:rsid w:val="009926D8"/>
    <w:rsid w:val="00992838"/>
    <w:rsid w:val="009928B6"/>
    <w:rsid w:val="0099292A"/>
    <w:rsid w:val="0099295C"/>
    <w:rsid w:val="009929D4"/>
    <w:rsid w:val="00992A3C"/>
    <w:rsid w:val="00992B0B"/>
    <w:rsid w:val="00992BE3"/>
    <w:rsid w:val="00992BEF"/>
    <w:rsid w:val="00992C94"/>
    <w:rsid w:val="00992CFC"/>
    <w:rsid w:val="00992D45"/>
    <w:rsid w:val="00992D9C"/>
    <w:rsid w:val="00992EC7"/>
    <w:rsid w:val="00992EE2"/>
    <w:rsid w:val="00993026"/>
    <w:rsid w:val="0099302B"/>
    <w:rsid w:val="009930DD"/>
    <w:rsid w:val="0099310A"/>
    <w:rsid w:val="009932EF"/>
    <w:rsid w:val="009933CD"/>
    <w:rsid w:val="00993420"/>
    <w:rsid w:val="00993560"/>
    <w:rsid w:val="009935B4"/>
    <w:rsid w:val="009935EB"/>
    <w:rsid w:val="0099371D"/>
    <w:rsid w:val="0099371E"/>
    <w:rsid w:val="00993790"/>
    <w:rsid w:val="009937B2"/>
    <w:rsid w:val="00993803"/>
    <w:rsid w:val="00993878"/>
    <w:rsid w:val="00993ADB"/>
    <w:rsid w:val="00993B4D"/>
    <w:rsid w:val="00993B80"/>
    <w:rsid w:val="00993E4B"/>
    <w:rsid w:val="00993E7A"/>
    <w:rsid w:val="00993ED0"/>
    <w:rsid w:val="00993F09"/>
    <w:rsid w:val="00994094"/>
    <w:rsid w:val="009940E2"/>
    <w:rsid w:val="009941CC"/>
    <w:rsid w:val="009941D3"/>
    <w:rsid w:val="009942E6"/>
    <w:rsid w:val="00994358"/>
    <w:rsid w:val="0099442C"/>
    <w:rsid w:val="009946A8"/>
    <w:rsid w:val="009947CD"/>
    <w:rsid w:val="009948FD"/>
    <w:rsid w:val="00994935"/>
    <w:rsid w:val="0099496C"/>
    <w:rsid w:val="00994989"/>
    <w:rsid w:val="009949AA"/>
    <w:rsid w:val="00994B0C"/>
    <w:rsid w:val="00994B64"/>
    <w:rsid w:val="00994BB1"/>
    <w:rsid w:val="00994BB7"/>
    <w:rsid w:val="00994C0C"/>
    <w:rsid w:val="00994C90"/>
    <w:rsid w:val="00994CC1"/>
    <w:rsid w:val="00994D01"/>
    <w:rsid w:val="00994D1B"/>
    <w:rsid w:val="00994D51"/>
    <w:rsid w:val="00994D90"/>
    <w:rsid w:val="00994D9A"/>
    <w:rsid w:val="00994DFF"/>
    <w:rsid w:val="00994E3E"/>
    <w:rsid w:val="00995010"/>
    <w:rsid w:val="009950CD"/>
    <w:rsid w:val="009950D9"/>
    <w:rsid w:val="009950E0"/>
    <w:rsid w:val="00995150"/>
    <w:rsid w:val="009952A5"/>
    <w:rsid w:val="00995303"/>
    <w:rsid w:val="0099534E"/>
    <w:rsid w:val="0099542F"/>
    <w:rsid w:val="00995435"/>
    <w:rsid w:val="00995513"/>
    <w:rsid w:val="0099554B"/>
    <w:rsid w:val="009956EE"/>
    <w:rsid w:val="00995736"/>
    <w:rsid w:val="00995886"/>
    <w:rsid w:val="00995899"/>
    <w:rsid w:val="009958AC"/>
    <w:rsid w:val="009958D4"/>
    <w:rsid w:val="00995948"/>
    <w:rsid w:val="0099599D"/>
    <w:rsid w:val="00995AC8"/>
    <w:rsid w:val="00995B70"/>
    <w:rsid w:val="00995C6B"/>
    <w:rsid w:val="00995E1D"/>
    <w:rsid w:val="00995F17"/>
    <w:rsid w:val="00995F34"/>
    <w:rsid w:val="00995FA4"/>
    <w:rsid w:val="009960F9"/>
    <w:rsid w:val="00996101"/>
    <w:rsid w:val="0099618E"/>
    <w:rsid w:val="009963EB"/>
    <w:rsid w:val="009964D1"/>
    <w:rsid w:val="0099651A"/>
    <w:rsid w:val="00996654"/>
    <w:rsid w:val="0099671A"/>
    <w:rsid w:val="009967DE"/>
    <w:rsid w:val="009968D9"/>
    <w:rsid w:val="00996B10"/>
    <w:rsid w:val="00996D16"/>
    <w:rsid w:val="00996D20"/>
    <w:rsid w:val="00996D98"/>
    <w:rsid w:val="00996E82"/>
    <w:rsid w:val="00996F8B"/>
    <w:rsid w:val="0099707C"/>
    <w:rsid w:val="0099709E"/>
    <w:rsid w:val="0099711B"/>
    <w:rsid w:val="009971F7"/>
    <w:rsid w:val="00997238"/>
    <w:rsid w:val="009972E2"/>
    <w:rsid w:val="0099734F"/>
    <w:rsid w:val="00997401"/>
    <w:rsid w:val="00997659"/>
    <w:rsid w:val="009976A3"/>
    <w:rsid w:val="009976E9"/>
    <w:rsid w:val="0099798C"/>
    <w:rsid w:val="00997B86"/>
    <w:rsid w:val="00997D82"/>
    <w:rsid w:val="00997D98"/>
    <w:rsid w:val="00997E00"/>
    <w:rsid w:val="009A0013"/>
    <w:rsid w:val="009A009A"/>
    <w:rsid w:val="009A00FB"/>
    <w:rsid w:val="009A01D4"/>
    <w:rsid w:val="009A037A"/>
    <w:rsid w:val="009A0415"/>
    <w:rsid w:val="009A0468"/>
    <w:rsid w:val="009A0499"/>
    <w:rsid w:val="009A0501"/>
    <w:rsid w:val="009A0516"/>
    <w:rsid w:val="009A053F"/>
    <w:rsid w:val="009A0579"/>
    <w:rsid w:val="009A08B0"/>
    <w:rsid w:val="009A08D4"/>
    <w:rsid w:val="009A08E9"/>
    <w:rsid w:val="009A0919"/>
    <w:rsid w:val="009A0A25"/>
    <w:rsid w:val="009A0A87"/>
    <w:rsid w:val="009A0ADA"/>
    <w:rsid w:val="009A0AF6"/>
    <w:rsid w:val="009A0BC4"/>
    <w:rsid w:val="009A0C20"/>
    <w:rsid w:val="009A0CC3"/>
    <w:rsid w:val="009A0CE6"/>
    <w:rsid w:val="009A0E5B"/>
    <w:rsid w:val="009A1049"/>
    <w:rsid w:val="009A111D"/>
    <w:rsid w:val="009A11C9"/>
    <w:rsid w:val="009A128D"/>
    <w:rsid w:val="009A141D"/>
    <w:rsid w:val="009A1465"/>
    <w:rsid w:val="009A1518"/>
    <w:rsid w:val="009A1580"/>
    <w:rsid w:val="009A1675"/>
    <w:rsid w:val="009A1677"/>
    <w:rsid w:val="009A1848"/>
    <w:rsid w:val="009A185C"/>
    <w:rsid w:val="009A18D3"/>
    <w:rsid w:val="009A196D"/>
    <w:rsid w:val="009A1ACA"/>
    <w:rsid w:val="009A1BC7"/>
    <w:rsid w:val="009A1C6D"/>
    <w:rsid w:val="009A1D02"/>
    <w:rsid w:val="009A1D13"/>
    <w:rsid w:val="009A1DC0"/>
    <w:rsid w:val="009A205D"/>
    <w:rsid w:val="009A2107"/>
    <w:rsid w:val="009A2155"/>
    <w:rsid w:val="009A21EF"/>
    <w:rsid w:val="009A2528"/>
    <w:rsid w:val="009A267B"/>
    <w:rsid w:val="009A26B7"/>
    <w:rsid w:val="009A27EB"/>
    <w:rsid w:val="009A299A"/>
    <w:rsid w:val="009A29E5"/>
    <w:rsid w:val="009A2C03"/>
    <w:rsid w:val="009A2E10"/>
    <w:rsid w:val="009A2E2D"/>
    <w:rsid w:val="009A2E85"/>
    <w:rsid w:val="009A307B"/>
    <w:rsid w:val="009A3082"/>
    <w:rsid w:val="009A3095"/>
    <w:rsid w:val="009A3104"/>
    <w:rsid w:val="009A31C9"/>
    <w:rsid w:val="009A31F5"/>
    <w:rsid w:val="009A3380"/>
    <w:rsid w:val="009A3402"/>
    <w:rsid w:val="009A3449"/>
    <w:rsid w:val="009A358A"/>
    <w:rsid w:val="009A36E3"/>
    <w:rsid w:val="009A371B"/>
    <w:rsid w:val="009A3775"/>
    <w:rsid w:val="009A37F3"/>
    <w:rsid w:val="009A38DF"/>
    <w:rsid w:val="009A3946"/>
    <w:rsid w:val="009A395C"/>
    <w:rsid w:val="009A3967"/>
    <w:rsid w:val="009A3994"/>
    <w:rsid w:val="009A3A56"/>
    <w:rsid w:val="009A3A7F"/>
    <w:rsid w:val="009A3B89"/>
    <w:rsid w:val="009A3BD3"/>
    <w:rsid w:val="009A3C17"/>
    <w:rsid w:val="009A3C44"/>
    <w:rsid w:val="009A3CBD"/>
    <w:rsid w:val="009A3D4B"/>
    <w:rsid w:val="009A3DE3"/>
    <w:rsid w:val="009A3E85"/>
    <w:rsid w:val="009A3F47"/>
    <w:rsid w:val="009A3F7F"/>
    <w:rsid w:val="009A4037"/>
    <w:rsid w:val="009A412E"/>
    <w:rsid w:val="009A4214"/>
    <w:rsid w:val="009A4356"/>
    <w:rsid w:val="009A43CC"/>
    <w:rsid w:val="009A43DB"/>
    <w:rsid w:val="009A44E8"/>
    <w:rsid w:val="009A453D"/>
    <w:rsid w:val="009A4620"/>
    <w:rsid w:val="009A4696"/>
    <w:rsid w:val="009A49C4"/>
    <w:rsid w:val="009A4A18"/>
    <w:rsid w:val="009A4A1B"/>
    <w:rsid w:val="009A4A9F"/>
    <w:rsid w:val="009A4AFA"/>
    <w:rsid w:val="009A4B1C"/>
    <w:rsid w:val="009A4B32"/>
    <w:rsid w:val="009A4BBD"/>
    <w:rsid w:val="009A4C20"/>
    <w:rsid w:val="009A4CCC"/>
    <w:rsid w:val="009A4CE7"/>
    <w:rsid w:val="009A4CF4"/>
    <w:rsid w:val="009A4D68"/>
    <w:rsid w:val="009A4D97"/>
    <w:rsid w:val="009A4DB1"/>
    <w:rsid w:val="009A4E25"/>
    <w:rsid w:val="009A4E47"/>
    <w:rsid w:val="009A5039"/>
    <w:rsid w:val="009A510A"/>
    <w:rsid w:val="009A5138"/>
    <w:rsid w:val="009A5376"/>
    <w:rsid w:val="009A5540"/>
    <w:rsid w:val="009A555A"/>
    <w:rsid w:val="009A55D8"/>
    <w:rsid w:val="009A56D6"/>
    <w:rsid w:val="009A5795"/>
    <w:rsid w:val="009A57B9"/>
    <w:rsid w:val="009A588A"/>
    <w:rsid w:val="009A59A7"/>
    <w:rsid w:val="009A5A32"/>
    <w:rsid w:val="009A5B2C"/>
    <w:rsid w:val="009A5B30"/>
    <w:rsid w:val="009A5B95"/>
    <w:rsid w:val="009A5B9F"/>
    <w:rsid w:val="009A5C7C"/>
    <w:rsid w:val="009A5DC5"/>
    <w:rsid w:val="009A5E89"/>
    <w:rsid w:val="009A5F29"/>
    <w:rsid w:val="009A5FFB"/>
    <w:rsid w:val="009A6095"/>
    <w:rsid w:val="009A622B"/>
    <w:rsid w:val="009A6428"/>
    <w:rsid w:val="009A6429"/>
    <w:rsid w:val="009A654E"/>
    <w:rsid w:val="009A66DF"/>
    <w:rsid w:val="009A6750"/>
    <w:rsid w:val="009A67CE"/>
    <w:rsid w:val="009A67D4"/>
    <w:rsid w:val="009A6919"/>
    <w:rsid w:val="009A6947"/>
    <w:rsid w:val="009A69A6"/>
    <w:rsid w:val="009A69F5"/>
    <w:rsid w:val="009A6A1F"/>
    <w:rsid w:val="009A6A28"/>
    <w:rsid w:val="009A6A29"/>
    <w:rsid w:val="009A6ABF"/>
    <w:rsid w:val="009A6ACF"/>
    <w:rsid w:val="009A6B66"/>
    <w:rsid w:val="009A6B9B"/>
    <w:rsid w:val="009A6D61"/>
    <w:rsid w:val="009A6DC6"/>
    <w:rsid w:val="009A6E2D"/>
    <w:rsid w:val="009A6F51"/>
    <w:rsid w:val="009A7005"/>
    <w:rsid w:val="009A7390"/>
    <w:rsid w:val="009A7522"/>
    <w:rsid w:val="009A7538"/>
    <w:rsid w:val="009A75EC"/>
    <w:rsid w:val="009A76AD"/>
    <w:rsid w:val="009A76C1"/>
    <w:rsid w:val="009A76D4"/>
    <w:rsid w:val="009A7758"/>
    <w:rsid w:val="009A779D"/>
    <w:rsid w:val="009A7914"/>
    <w:rsid w:val="009A79A8"/>
    <w:rsid w:val="009A7A80"/>
    <w:rsid w:val="009A7E6E"/>
    <w:rsid w:val="009A7E84"/>
    <w:rsid w:val="009B0132"/>
    <w:rsid w:val="009B0164"/>
    <w:rsid w:val="009B0346"/>
    <w:rsid w:val="009B0547"/>
    <w:rsid w:val="009B06B7"/>
    <w:rsid w:val="009B06EE"/>
    <w:rsid w:val="009B0705"/>
    <w:rsid w:val="009B076C"/>
    <w:rsid w:val="009B089B"/>
    <w:rsid w:val="009B08E3"/>
    <w:rsid w:val="009B097F"/>
    <w:rsid w:val="009B0A81"/>
    <w:rsid w:val="009B0AA8"/>
    <w:rsid w:val="009B0BB7"/>
    <w:rsid w:val="009B0C85"/>
    <w:rsid w:val="009B0CCC"/>
    <w:rsid w:val="009B0E88"/>
    <w:rsid w:val="009B0EDE"/>
    <w:rsid w:val="009B0EF3"/>
    <w:rsid w:val="009B0F3E"/>
    <w:rsid w:val="009B0F42"/>
    <w:rsid w:val="009B0F57"/>
    <w:rsid w:val="009B0F73"/>
    <w:rsid w:val="009B0FED"/>
    <w:rsid w:val="009B103B"/>
    <w:rsid w:val="009B1131"/>
    <w:rsid w:val="009B115A"/>
    <w:rsid w:val="009B1166"/>
    <w:rsid w:val="009B1308"/>
    <w:rsid w:val="009B1351"/>
    <w:rsid w:val="009B137C"/>
    <w:rsid w:val="009B13E4"/>
    <w:rsid w:val="009B14DA"/>
    <w:rsid w:val="009B15A9"/>
    <w:rsid w:val="009B15BB"/>
    <w:rsid w:val="009B15FD"/>
    <w:rsid w:val="009B1666"/>
    <w:rsid w:val="009B16D3"/>
    <w:rsid w:val="009B17E2"/>
    <w:rsid w:val="009B18F5"/>
    <w:rsid w:val="009B1957"/>
    <w:rsid w:val="009B1AA5"/>
    <w:rsid w:val="009B1B44"/>
    <w:rsid w:val="009B1C55"/>
    <w:rsid w:val="009B1C64"/>
    <w:rsid w:val="009B1E24"/>
    <w:rsid w:val="009B1E62"/>
    <w:rsid w:val="009B1EAA"/>
    <w:rsid w:val="009B1ED0"/>
    <w:rsid w:val="009B1F41"/>
    <w:rsid w:val="009B2004"/>
    <w:rsid w:val="009B202E"/>
    <w:rsid w:val="009B20CC"/>
    <w:rsid w:val="009B2167"/>
    <w:rsid w:val="009B225B"/>
    <w:rsid w:val="009B22D2"/>
    <w:rsid w:val="009B2474"/>
    <w:rsid w:val="009B266C"/>
    <w:rsid w:val="009B2864"/>
    <w:rsid w:val="009B29D9"/>
    <w:rsid w:val="009B2A66"/>
    <w:rsid w:val="009B2AB9"/>
    <w:rsid w:val="009B2BBA"/>
    <w:rsid w:val="009B2C85"/>
    <w:rsid w:val="009B2C94"/>
    <w:rsid w:val="009B2CD2"/>
    <w:rsid w:val="009B2DCF"/>
    <w:rsid w:val="009B2E58"/>
    <w:rsid w:val="009B2E9A"/>
    <w:rsid w:val="009B2EB5"/>
    <w:rsid w:val="009B2EE6"/>
    <w:rsid w:val="009B3012"/>
    <w:rsid w:val="009B3079"/>
    <w:rsid w:val="009B30B2"/>
    <w:rsid w:val="009B313D"/>
    <w:rsid w:val="009B323D"/>
    <w:rsid w:val="009B329E"/>
    <w:rsid w:val="009B3360"/>
    <w:rsid w:val="009B33A2"/>
    <w:rsid w:val="009B33E3"/>
    <w:rsid w:val="009B354C"/>
    <w:rsid w:val="009B367B"/>
    <w:rsid w:val="009B3736"/>
    <w:rsid w:val="009B37A6"/>
    <w:rsid w:val="009B3845"/>
    <w:rsid w:val="009B39CE"/>
    <w:rsid w:val="009B39DF"/>
    <w:rsid w:val="009B39F2"/>
    <w:rsid w:val="009B3AB1"/>
    <w:rsid w:val="009B3B2F"/>
    <w:rsid w:val="009B3B4F"/>
    <w:rsid w:val="009B3BA5"/>
    <w:rsid w:val="009B3C9A"/>
    <w:rsid w:val="009B3CDA"/>
    <w:rsid w:val="009B3D1A"/>
    <w:rsid w:val="009B3DB8"/>
    <w:rsid w:val="009B3FA7"/>
    <w:rsid w:val="009B3FE2"/>
    <w:rsid w:val="009B4222"/>
    <w:rsid w:val="009B4256"/>
    <w:rsid w:val="009B4407"/>
    <w:rsid w:val="009B461B"/>
    <w:rsid w:val="009B46BD"/>
    <w:rsid w:val="009B487E"/>
    <w:rsid w:val="009B4BCE"/>
    <w:rsid w:val="009B4DA8"/>
    <w:rsid w:val="009B4E7C"/>
    <w:rsid w:val="009B501A"/>
    <w:rsid w:val="009B5287"/>
    <w:rsid w:val="009B5441"/>
    <w:rsid w:val="009B54E1"/>
    <w:rsid w:val="009B556D"/>
    <w:rsid w:val="009B5579"/>
    <w:rsid w:val="009B56D4"/>
    <w:rsid w:val="009B58C6"/>
    <w:rsid w:val="009B5995"/>
    <w:rsid w:val="009B5A1B"/>
    <w:rsid w:val="009B5CAC"/>
    <w:rsid w:val="009B5CF9"/>
    <w:rsid w:val="009B5D1C"/>
    <w:rsid w:val="009B5D5A"/>
    <w:rsid w:val="009B5F67"/>
    <w:rsid w:val="009B5FDC"/>
    <w:rsid w:val="009B619B"/>
    <w:rsid w:val="009B61A1"/>
    <w:rsid w:val="009B62C2"/>
    <w:rsid w:val="009B63BE"/>
    <w:rsid w:val="009B63D2"/>
    <w:rsid w:val="009B63E4"/>
    <w:rsid w:val="009B644D"/>
    <w:rsid w:val="009B64D1"/>
    <w:rsid w:val="009B664A"/>
    <w:rsid w:val="009B67DE"/>
    <w:rsid w:val="009B6C57"/>
    <w:rsid w:val="009B6C85"/>
    <w:rsid w:val="009B6D22"/>
    <w:rsid w:val="009B6E28"/>
    <w:rsid w:val="009B6F86"/>
    <w:rsid w:val="009B6F88"/>
    <w:rsid w:val="009B705B"/>
    <w:rsid w:val="009B716C"/>
    <w:rsid w:val="009B71AC"/>
    <w:rsid w:val="009B7228"/>
    <w:rsid w:val="009B724C"/>
    <w:rsid w:val="009B726B"/>
    <w:rsid w:val="009B73B2"/>
    <w:rsid w:val="009B7683"/>
    <w:rsid w:val="009B76DA"/>
    <w:rsid w:val="009B7701"/>
    <w:rsid w:val="009B7744"/>
    <w:rsid w:val="009B791A"/>
    <w:rsid w:val="009B7942"/>
    <w:rsid w:val="009B79DA"/>
    <w:rsid w:val="009B7A20"/>
    <w:rsid w:val="009B7B53"/>
    <w:rsid w:val="009B7B95"/>
    <w:rsid w:val="009B7C12"/>
    <w:rsid w:val="009B7DF7"/>
    <w:rsid w:val="009B7E9A"/>
    <w:rsid w:val="009B7F0D"/>
    <w:rsid w:val="009B7F37"/>
    <w:rsid w:val="009B7F56"/>
    <w:rsid w:val="009B7FC4"/>
    <w:rsid w:val="009C01A7"/>
    <w:rsid w:val="009C0229"/>
    <w:rsid w:val="009C022E"/>
    <w:rsid w:val="009C0266"/>
    <w:rsid w:val="009C02A6"/>
    <w:rsid w:val="009C041A"/>
    <w:rsid w:val="009C0566"/>
    <w:rsid w:val="009C0693"/>
    <w:rsid w:val="009C08B1"/>
    <w:rsid w:val="009C0AE5"/>
    <w:rsid w:val="009C0B2D"/>
    <w:rsid w:val="009C0B44"/>
    <w:rsid w:val="009C0B4C"/>
    <w:rsid w:val="009C0BD1"/>
    <w:rsid w:val="009C0CA6"/>
    <w:rsid w:val="009C0CD7"/>
    <w:rsid w:val="009C0E7F"/>
    <w:rsid w:val="009C1062"/>
    <w:rsid w:val="009C112B"/>
    <w:rsid w:val="009C1165"/>
    <w:rsid w:val="009C11AE"/>
    <w:rsid w:val="009C140C"/>
    <w:rsid w:val="009C143E"/>
    <w:rsid w:val="009C1445"/>
    <w:rsid w:val="009C145B"/>
    <w:rsid w:val="009C148D"/>
    <w:rsid w:val="009C14E0"/>
    <w:rsid w:val="009C170F"/>
    <w:rsid w:val="009C1741"/>
    <w:rsid w:val="009C174E"/>
    <w:rsid w:val="009C1806"/>
    <w:rsid w:val="009C18AF"/>
    <w:rsid w:val="009C1BEB"/>
    <w:rsid w:val="009C1DFE"/>
    <w:rsid w:val="009C21D1"/>
    <w:rsid w:val="009C2204"/>
    <w:rsid w:val="009C226E"/>
    <w:rsid w:val="009C2295"/>
    <w:rsid w:val="009C22AF"/>
    <w:rsid w:val="009C2371"/>
    <w:rsid w:val="009C24CE"/>
    <w:rsid w:val="009C266E"/>
    <w:rsid w:val="009C26C3"/>
    <w:rsid w:val="009C27E3"/>
    <w:rsid w:val="009C2885"/>
    <w:rsid w:val="009C2951"/>
    <w:rsid w:val="009C2989"/>
    <w:rsid w:val="009C2997"/>
    <w:rsid w:val="009C2AB4"/>
    <w:rsid w:val="009C2BD1"/>
    <w:rsid w:val="009C2D09"/>
    <w:rsid w:val="009C2D22"/>
    <w:rsid w:val="009C2D60"/>
    <w:rsid w:val="009C2D64"/>
    <w:rsid w:val="009C2DA5"/>
    <w:rsid w:val="009C2DDA"/>
    <w:rsid w:val="009C2E95"/>
    <w:rsid w:val="009C30D8"/>
    <w:rsid w:val="009C3181"/>
    <w:rsid w:val="009C323C"/>
    <w:rsid w:val="009C3692"/>
    <w:rsid w:val="009C36BF"/>
    <w:rsid w:val="009C3771"/>
    <w:rsid w:val="009C37D5"/>
    <w:rsid w:val="009C38E4"/>
    <w:rsid w:val="009C3A2E"/>
    <w:rsid w:val="009C3A33"/>
    <w:rsid w:val="009C3B3A"/>
    <w:rsid w:val="009C3B50"/>
    <w:rsid w:val="009C3BA5"/>
    <w:rsid w:val="009C3EBF"/>
    <w:rsid w:val="009C3F3C"/>
    <w:rsid w:val="009C401B"/>
    <w:rsid w:val="009C40F7"/>
    <w:rsid w:val="009C41E4"/>
    <w:rsid w:val="009C4277"/>
    <w:rsid w:val="009C4332"/>
    <w:rsid w:val="009C43AA"/>
    <w:rsid w:val="009C4463"/>
    <w:rsid w:val="009C446A"/>
    <w:rsid w:val="009C4483"/>
    <w:rsid w:val="009C4562"/>
    <w:rsid w:val="009C45A1"/>
    <w:rsid w:val="009C4715"/>
    <w:rsid w:val="009C4831"/>
    <w:rsid w:val="009C4866"/>
    <w:rsid w:val="009C4898"/>
    <w:rsid w:val="009C48DA"/>
    <w:rsid w:val="009C497F"/>
    <w:rsid w:val="009C49D6"/>
    <w:rsid w:val="009C4A50"/>
    <w:rsid w:val="009C4AE4"/>
    <w:rsid w:val="009C4B52"/>
    <w:rsid w:val="009C4DF9"/>
    <w:rsid w:val="009C4E69"/>
    <w:rsid w:val="009C4EF6"/>
    <w:rsid w:val="009C4F79"/>
    <w:rsid w:val="009C4FE4"/>
    <w:rsid w:val="009C5119"/>
    <w:rsid w:val="009C518A"/>
    <w:rsid w:val="009C5239"/>
    <w:rsid w:val="009C5252"/>
    <w:rsid w:val="009C52C7"/>
    <w:rsid w:val="009C5319"/>
    <w:rsid w:val="009C534D"/>
    <w:rsid w:val="009C5468"/>
    <w:rsid w:val="009C54CD"/>
    <w:rsid w:val="009C5655"/>
    <w:rsid w:val="009C5689"/>
    <w:rsid w:val="009C56F9"/>
    <w:rsid w:val="009C58BD"/>
    <w:rsid w:val="009C5935"/>
    <w:rsid w:val="009C59B1"/>
    <w:rsid w:val="009C5B5C"/>
    <w:rsid w:val="009C5B6C"/>
    <w:rsid w:val="009C5B9B"/>
    <w:rsid w:val="009C5CBD"/>
    <w:rsid w:val="009C5D00"/>
    <w:rsid w:val="009C5DA4"/>
    <w:rsid w:val="009C5EFE"/>
    <w:rsid w:val="009C5F7A"/>
    <w:rsid w:val="009C5FF7"/>
    <w:rsid w:val="009C6025"/>
    <w:rsid w:val="009C634B"/>
    <w:rsid w:val="009C638E"/>
    <w:rsid w:val="009C63AB"/>
    <w:rsid w:val="009C6429"/>
    <w:rsid w:val="009C6439"/>
    <w:rsid w:val="009C6464"/>
    <w:rsid w:val="009C6477"/>
    <w:rsid w:val="009C6611"/>
    <w:rsid w:val="009C677E"/>
    <w:rsid w:val="009C692B"/>
    <w:rsid w:val="009C6A1B"/>
    <w:rsid w:val="009C6A59"/>
    <w:rsid w:val="009C6A9B"/>
    <w:rsid w:val="009C6BA0"/>
    <w:rsid w:val="009C6BC7"/>
    <w:rsid w:val="009C6C1A"/>
    <w:rsid w:val="009C6D1A"/>
    <w:rsid w:val="009C6D77"/>
    <w:rsid w:val="009C6DF0"/>
    <w:rsid w:val="009C6DF1"/>
    <w:rsid w:val="009C6F29"/>
    <w:rsid w:val="009C7273"/>
    <w:rsid w:val="009C73DE"/>
    <w:rsid w:val="009C73F7"/>
    <w:rsid w:val="009C752C"/>
    <w:rsid w:val="009C7600"/>
    <w:rsid w:val="009C764C"/>
    <w:rsid w:val="009C7660"/>
    <w:rsid w:val="009C76D1"/>
    <w:rsid w:val="009C7710"/>
    <w:rsid w:val="009C7739"/>
    <w:rsid w:val="009C782C"/>
    <w:rsid w:val="009C78E0"/>
    <w:rsid w:val="009C78FB"/>
    <w:rsid w:val="009C7978"/>
    <w:rsid w:val="009C79C5"/>
    <w:rsid w:val="009C7A3B"/>
    <w:rsid w:val="009C7A5B"/>
    <w:rsid w:val="009C7AEE"/>
    <w:rsid w:val="009C7C06"/>
    <w:rsid w:val="009C7CC7"/>
    <w:rsid w:val="009C7F9A"/>
    <w:rsid w:val="009D00E8"/>
    <w:rsid w:val="009D0184"/>
    <w:rsid w:val="009D01EE"/>
    <w:rsid w:val="009D026A"/>
    <w:rsid w:val="009D02BC"/>
    <w:rsid w:val="009D0325"/>
    <w:rsid w:val="009D034D"/>
    <w:rsid w:val="009D03CC"/>
    <w:rsid w:val="009D0408"/>
    <w:rsid w:val="009D043A"/>
    <w:rsid w:val="009D0501"/>
    <w:rsid w:val="009D057A"/>
    <w:rsid w:val="009D05AC"/>
    <w:rsid w:val="009D065F"/>
    <w:rsid w:val="009D068F"/>
    <w:rsid w:val="009D07AC"/>
    <w:rsid w:val="009D087C"/>
    <w:rsid w:val="009D08FB"/>
    <w:rsid w:val="009D091F"/>
    <w:rsid w:val="009D0A2C"/>
    <w:rsid w:val="009D0A61"/>
    <w:rsid w:val="009D0AE2"/>
    <w:rsid w:val="009D0B66"/>
    <w:rsid w:val="009D0B90"/>
    <w:rsid w:val="009D0BE8"/>
    <w:rsid w:val="009D0C0C"/>
    <w:rsid w:val="009D0C13"/>
    <w:rsid w:val="009D0D32"/>
    <w:rsid w:val="009D0E08"/>
    <w:rsid w:val="009D0E0D"/>
    <w:rsid w:val="009D0F4D"/>
    <w:rsid w:val="009D0F62"/>
    <w:rsid w:val="009D0FBE"/>
    <w:rsid w:val="009D1005"/>
    <w:rsid w:val="009D1049"/>
    <w:rsid w:val="009D1226"/>
    <w:rsid w:val="009D124A"/>
    <w:rsid w:val="009D1263"/>
    <w:rsid w:val="009D127E"/>
    <w:rsid w:val="009D1409"/>
    <w:rsid w:val="009D1430"/>
    <w:rsid w:val="009D15F8"/>
    <w:rsid w:val="009D1620"/>
    <w:rsid w:val="009D16EF"/>
    <w:rsid w:val="009D17A6"/>
    <w:rsid w:val="009D17D0"/>
    <w:rsid w:val="009D1855"/>
    <w:rsid w:val="009D186D"/>
    <w:rsid w:val="009D1874"/>
    <w:rsid w:val="009D18C2"/>
    <w:rsid w:val="009D1AFC"/>
    <w:rsid w:val="009D1D16"/>
    <w:rsid w:val="009D1EA5"/>
    <w:rsid w:val="009D1FCB"/>
    <w:rsid w:val="009D2046"/>
    <w:rsid w:val="009D2170"/>
    <w:rsid w:val="009D2180"/>
    <w:rsid w:val="009D21C1"/>
    <w:rsid w:val="009D21F2"/>
    <w:rsid w:val="009D2216"/>
    <w:rsid w:val="009D22A3"/>
    <w:rsid w:val="009D23B8"/>
    <w:rsid w:val="009D2408"/>
    <w:rsid w:val="009D2472"/>
    <w:rsid w:val="009D24B6"/>
    <w:rsid w:val="009D2615"/>
    <w:rsid w:val="009D26CA"/>
    <w:rsid w:val="009D2763"/>
    <w:rsid w:val="009D2836"/>
    <w:rsid w:val="009D28C7"/>
    <w:rsid w:val="009D2946"/>
    <w:rsid w:val="009D29E4"/>
    <w:rsid w:val="009D29E8"/>
    <w:rsid w:val="009D2A6A"/>
    <w:rsid w:val="009D2A8F"/>
    <w:rsid w:val="009D2B3D"/>
    <w:rsid w:val="009D2E3F"/>
    <w:rsid w:val="009D2F36"/>
    <w:rsid w:val="009D2F4E"/>
    <w:rsid w:val="009D2F96"/>
    <w:rsid w:val="009D30C5"/>
    <w:rsid w:val="009D3232"/>
    <w:rsid w:val="009D32AE"/>
    <w:rsid w:val="009D3371"/>
    <w:rsid w:val="009D341C"/>
    <w:rsid w:val="009D343D"/>
    <w:rsid w:val="009D34F4"/>
    <w:rsid w:val="009D3505"/>
    <w:rsid w:val="009D352A"/>
    <w:rsid w:val="009D35FC"/>
    <w:rsid w:val="009D36B2"/>
    <w:rsid w:val="009D36C4"/>
    <w:rsid w:val="009D36CA"/>
    <w:rsid w:val="009D36CC"/>
    <w:rsid w:val="009D3758"/>
    <w:rsid w:val="009D3770"/>
    <w:rsid w:val="009D377F"/>
    <w:rsid w:val="009D37D6"/>
    <w:rsid w:val="009D387C"/>
    <w:rsid w:val="009D38B4"/>
    <w:rsid w:val="009D38C0"/>
    <w:rsid w:val="009D391E"/>
    <w:rsid w:val="009D3936"/>
    <w:rsid w:val="009D395A"/>
    <w:rsid w:val="009D3980"/>
    <w:rsid w:val="009D3ACE"/>
    <w:rsid w:val="009D3C97"/>
    <w:rsid w:val="009D3CB1"/>
    <w:rsid w:val="009D3E8B"/>
    <w:rsid w:val="009D3F7D"/>
    <w:rsid w:val="009D3F97"/>
    <w:rsid w:val="009D3FD0"/>
    <w:rsid w:val="009D407A"/>
    <w:rsid w:val="009D40FB"/>
    <w:rsid w:val="009D4148"/>
    <w:rsid w:val="009D41B3"/>
    <w:rsid w:val="009D43D7"/>
    <w:rsid w:val="009D45DB"/>
    <w:rsid w:val="009D45FD"/>
    <w:rsid w:val="009D4635"/>
    <w:rsid w:val="009D46F4"/>
    <w:rsid w:val="009D47A3"/>
    <w:rsid w:val="009D47F8"/>
    <w:rsid w:val="009D49BC"/>
    <w:rsid w:val="009D4B12"/>
    <w:rsid w:val="009D4B17"/>
    <w:rsid w:val="009D4C76"/>
    <w:rsid w:val="009D4DE2"/>
    <w:rsid w:val="009D4E5B"/>
    <w:rsid w:val="009D4FA2"/>
    <w:rsid w:val="009D506B"/>
    <w:rsid w:val="009D50ED"/>
    <w:rsid w:val="009D514D"/>
    <w:rsid w:val="009D51D2"/>
    <w:rsid w:val="009D52A6"/>
    <w:rsid w:val="009D52F1"/>
    <w:rsid w:val="009D536B"/>
    <w:rsid w:val="009D53AB"/>
    <w:rsid w:val="009D558C"/>
    <w:rsid w:val="009D55EA"/>
    <w:rsid w:val="009D5626"/>
    <w:rsid w:val="009D5660"/>
    <w:rsid w:val="009D569E"/>
    <w:rsid w:val="009D56BB"/>
    <w:rsid w:val="009D5760"/>
    <w:rsid w:val="009D57FF"/>
    <w:rsid w:val="009D5856"/>
    <w:rsid w:val="009D590E"/>
    <w:rsid w:val="009D5A4E"/>
    <w:rsid w:val="009D5CD4"/>
    <w:rsid w:val="009D605A"/>
    <w:rsid w:val="009D629E"/>
    <w:rsid w:val="009D62A1"/>
    <w:rsid w:val="009D635F"/>
    <w:rsid w:val="009D64A0"/>
    <w:rsid w:val="009D64BE"/>
    <w:rsid w:val="009D64EA"/>
    <w:rsid w:val="009D6546"/>
    <w:rsid w:val="009D6568"/>
    <w:rsid w:val="009D6597"/>
    <w:rsid w:val="009D65A3"/>
    <w:rsid w:val="009D6717"/>
    <w:rsid w:val="009D6738"/>
    <w:rsid w:val="009D67FB"/>
    <w:rsid w:val="009D681B"/>
    <w:rsid w:val="009D68DC"/>
    <w:rsid w:val="009D6A1A"/>
    <w:rsid w:val="009D6A71"/>
    <w:rsid w:val="009D6C3E"/>
    <w:rsid w:val="009D6C8A"/>
    <w:rsid w:val="009D6C9D"/>
    <w:rsid w:val="009D6F55"/>
    <w:rsid w:val="009D6FA7"/>
    <w:rsid w:val="009D6FBF"/>
    <w:rsid w:val="009D710A"/>
    <w:rsid w:val="009D711A"/>
    <w:rsid w:val="009D725D"/>
    <w:rsid w:val="009D7342"/>
    <w:rsid w:val="009D7430"/>
    <w:rsid w:val="009D74C3"/>
    <w:rsid w:val="009D750C"/>
    <w:rsid w:val="009D7641"/>
    <w:rsid w:val="009D7896"/>
    <w:rsid w:val="009D78AA"/>
    <w:rsid w:val="009D798E"/>
    <w:rsid w:val="009D7B43"/>
    <w:rsid w:val="009D7C65"/>
    <w:rsid w:val="009D7E2C"/>
    <w:rsid w:val="009D7EFF"/>
    <w:rsid w:val="009DD0BE"/>
    <w:rsid w:val="009DDDD2"/>
    <w:rsid w:val="009E01CE"/>
    <w:rsid w:val="009E02FD"/>
    <w:rsid w:val="009E039C"/>
    <w:rsid w:val="009E0477"/>
    <w:rsid w:val="009E051B"/>
    <w:rsid w:val="009E059D"/>
    <w:rsid w:val="009E0695"/>
    <w:rsid w:val="009E070A"/>
    <w:rsid w:val="009E071B"/>
    <w:rsid w:val="009E0737"/>
    <w:rsid w:val="009E07FA"/>
    <w:rsid w:val="009E0837"/>
    <w:rsid w:val="009E0892"/>
    <w:rsid w:val="009E0969"/>
    <w:rsid w:val="009E0973"/>
    <w:rsid w:val="009E09AE"/>
    <w:rsid w:val="009E0A95"/>
    <w:rsid w:val="009E0AC3"/>
    <w:rsid w:val="009E0B25"/>
    <w:rsid w:val="009E0B28"/>
    <w:rsid w:val="009E0C4F"/>
    <w:rsid w:val="009E0D47"/>
    <w:rsid w:val="009E0D53"/>
    <w:rsid w:val="009E0ED3"/>
    <w:rsid w:val="009E0F68"/>
    <w:rsid w:val="009E1230"/>
    <w:rsid w:val="009E1400"/>
    <w:rsid w:val="009E1595"/>
    <w:rsid w:val="009E162C"/>
    <w:rsid w:val="009E16FA"/>
    <w:rsid w:val="009E17D1"/>
    <w:rsid w:val="009E183B"/>
    <w:rsid w:val="009E18C5"/>
    <w:rsid w:val="009E1930"/>
    <w:rsid w:val="009E1D10"/>
    <w:rsid w:val="009E1E96"/>
    <w:rsid w:val="009E20DE"/>
    <w:rsid w:val="009E22C1"/>
    <w:rsid w:val="009E2463"/>
    <w:rsid w:val="009E24A1"/>
    <w:rsid w:val="009E274F"/>
    <w:rsid w:val="009E28B5"/>
    <w:rsid w:val="009E28FD"/>
    <w:rsid w:val="009E29DB"/>
    <w:rsid w:val="009E29E4"/>
    <w:rsid w:val="009E2B26"/>
    <w:rsid w:val="009E2B65"/>
    <w:rsid w:val="009E2C39"/>
    <w:rsid w:val="009E2CAF"/>
    <w:rsid w:val="009E2DD4"/>
    <w:rsid w:val="009E2DEE"/>
    <w:rsid w:val="009E2F29"/>
    <w:rsid w:val="009E2FC6"/>
    <w:rsid w:val="009E2FD9"/>
    <w:rsid w:val="009E2FFB"/>
    <w:rsid w:val="009E301F"/>
    <w:rsid w:val="009E30F7"/>
    <w:rsid w:val="009E3203"/>
    <w:rsid w:val="009E3267"/>
    <w:rsid w:val="009E3336"/>
    <w:rsid w:val="009E33EC"/>
    <w:rsid w:val="009E344D"/>
    <w:rsid w:val="009E34B4"/>
    <w:rsid w:val="009E34C2"/>
    <w:rsid w:val="009E3595"/>
    <w:rsid w:val="009E37BD"/>
    <w:rsid w:val="009E37F5"/>
    <w:rsid w:val="009E3912"/>
    <w:rsid w:val="009E3A21"/>
    <w:rsid w:val="009E3A93"/>
    <w:rsid w:val="009E3AF2"/>
    <w:rsid w:val="009E3AFA"/>
    <w:rsid w:val="009E3CB9"/>
    <w:rsid w:val="009E3D9C"/>
    <w:rsid w:val="009E3DA6"/>
    <w:rsid w:val="009E3DAD"/>
    <w:rsid w:val="009E3E20"/>
    <w:rsid w:val="009E3E6F"/>
    <w:rsid w:val="009E3F8A"/>
    <w:rsid w:val="009E3F95"/>
    <w:rsid w:val="009E4066"/>
    <w:rsid w:val="009E40E5"/>
    <w:rsid w:val="009E4332"/>
    <w:rsid w:val="009E43E4"/>
    <w:rsid w:val="009E44B1"/>
    <w:rsid w:val="009E4576"/>
    <w:rsid w:val="009E458B"/>
    <w:rsid w:val="009E4639"/>
    <w:rsid w:val="009E468E"/>
    <w:rsid w:val="009E4727"/>
    <w:rsid w:val="009E4784"/>
    <w:rsid w:val="009E4A42"/>
    <w:rsid w:val="009E4EC2"/>
    <w:rsid w:val="009E4F30"/>
    <w:rsid w:val="009E4F65"/>
    <w:rsid w:val="009E5164"/>
    <w:rsid w:val="009E51E3"/>
    <w:rsid w:val="009E521E"/>
    <w:rsid w:val="009E5302"/>
    <w:rsid w:val="009E54D4"/>
    <w:rsid w:val="009E555C"/>
    <w:rsid w:val="009E55A5"/>
    <w:rsid w:val="009E56DD"/>
    <w:rsid w:val="009E5767"/>
    <w:rsid w:val="009E5937"/>
    <w:rsid w:val="009E59A1"/>
    <w:rsid w:val="009E5A66"/>
    <w:rsid w:val="009E5B0A"/>
    <w:rsid w:val="009E5CFF"/>
    <w:rsid w:val="009E5E03"/>
    <w:rsid w:val="009E5E61"/>
    <w:rsid w:val="009E5E85"/>
    <w:rsid w:val="009E5F25"/>
    <w:rsid w:val="009E5FE5"/>
    <w:rsid w:val="009E5FF4"/>
    <w:rsid w:val="009E5FF6"/>
    <w:rsid w:val="009E604D"/>
    <w:rsid w:val="009E606B"/>
    <w:rsid w:val="009E6149"/>
    <w:rsid w:val="009E61DC"/>
    <w:rsid w:val="009E6343"/>
    <w:rsid w:val="009E6374"/>
    <w:rsid w:val="009E63CA"/>
    <w:rsid w:val="009E645B"/>
    <w:rsid w:val="009E65C7"/>
    <w:rsid w:val="009E65D2"/>
    <w:rsid w:val="009E6667"/>
    <w:rsid w:val="009E67CA"/>
    <w:rsid w:val="009E6A07"/>
    <w:rsid w:val="009E6A4B"/>
    <w:rsid w:val="009E6AA3"/>
    <w:rsid w:val="009E6AC3"/>
    <w:rsid w:val="009E6AFB"/>
    <w:rsid w:val="009E6BCD"/>
    <w:rsid w:val="009E6BD9"/>
    <w:rsid w:val="009E6D7F"/>
    <w:rsid w:val="009E6E0C"/>
    <w:rsid w:val="009E6E28"/>
    <w:rsid w:val="009E6E74"/>
    <w:rsid w:val="009E6E7D"/>
    <w:rsid w:val="009E6F2A"/>
    <w:rsid w:val="009E6F35"/>
    <w:rsid w:val="009E71A1"/>
    <w:rsid w:val="009E7286"/>
    <w:rsid w:val="009E733B"/>
    <w:rsid w:val="009E7356"/>
    <w:rsid w:val="009E73F2"/>
    <w:rsid w:val="009E74F2"/>
    <w:rsid w:val="009E7516"/>
    <w:rsid w:val="009E7655"/>
    <w:rsid w:val="009E7684"/>
    <w:rsid w:val="009E7688"/>
    <w:rsid w:val="009E779D"/>
    <w:rsid w:val="009E78C8"/>
    <w:rsid w:val="009E78EB"/>
    <w:rsid w:val="009E799F"/>
    <w:rsid w:val="009E7A04"/>
    <w:rsid w:val="009E7A54"/>
    <w:rsid w:val="009E7AC3"/>
    <w:rsid w:val="009E7B36"/>
    <w:rsid w:val="009E7BBA"/>
    <w:rsid w:val="009E7DF0"/>
    <w:rsid w:val="009E7EF5"/>
    <w:rsid w:val="009E7F8D"/>
    <w:rsid w:val="009EB3A0"/>
    <w:rsid w:val="009F00D9"/>
    <w:rsid w:val="009F017B"/>
    <w:rsid w:val="009F0182"/>
    <w:rsid w:val="009F0214"/>
    <w:rsid w:val="009F0220"/>
    <w:rsid w:val="009F026E"/>
    <w:rsid w:val="009F030D"/>
    <w:rsid w:val="009F03D4"/>
    <w:rsid w:val="009F0408"/>
    <w:rsid w:val="009F0453"/>
    <w:rsid w:val="009F04D3"/>
    <w:rsid w:val="009F0593"/>
    <w:rsid w:val="009F05D3"/>
    <w:rsid w:val="009F06D9"/>
    <w:rsid w:val="009F06F0"/>
    <w:rsid w:val="009F0820"/>
    <w:rsid w:val="009F082F"/>
    <w:rsid w:val="009F08A3"/>
    <w:rsid w:val="009F08B9"/>
    <w:rsid w:val="009F0A79"/>
    <w:rsid w:val="009F0B0B"/>
    <w:rsid w:val="009F0E01"/>
    <w:rsid w:val="009F0E9C"/>
    <w:rsid w:val="009F109E"/>
    <w:rsid w:val="009F10AB"/>
    <w:rsid w:val="009F125F"/>
    <w:rsid w:val="009F135E"/>
    <w:rsid w:val="009F13F6"/>
    <w:rsid w:val="009F141A"/>
    <w:rsid w:val="009F1426"/>
    <w:rsid w:val="009F1602"/>
    <w:rsid w:val="009F16F4"/>
    <w:rsid w:val="009F176D"/>
    <w:rsid w:val="009F18E2"/>
    <w:rsid w:val="009F19B3"/>
    <w:rsid w:val="009F1A02"/>
    <w:rsid w:val="009F1B3C"/>
    <w:rsid w:val="009F1B5D"/>
    <w:rsid w:val="009F1B61"/>
    <w:rsid w:val="009F1C93"/>
    <w:rsid w:val="009F1DA3"/>
    <w:rsid w:val="009F1DF0"/>
    <w:rsid w:val="009F1EBD"/>
    <w:rsid w:val="009F1F5F"/>
    <w:rsid w:val="009F1FD7"/>
    <w:rsid w:val="009F1FE6"/>
    <w:rsid w:val="009F20F1"/>
    <w:rsid w:val="009F2140"/>
    <w:rsid w:val="009F21C7"/>
    <w:rsid w:val="009F21DC"/>
    <w:rsid w:val="009F222F"/>
    <w:rsid w:val="009F2231"/>
    <w:rsid w:val="009F227D"/>
    <w:rsid w:val="009F22A8"/>
    <w:rsid w:val="009F23C4"/>
    <w:rsid w:val="009F240A"/>
    <w:rsid w:val="009F2411"/>
    <w:rsid w:val="009F2617"/>
    <w:rsid w:val="009F2730"/>
    <w:rsid w:val="009F2759"/>
    <w:rsid w:val="009F2827"/>
    <w:rsid w:val="009F286D"/>
    <w:rsid w:val="009F29A4"/>
    <w:rsid w:val="009F29D9"/>
    <w:rsid w:val="009F2A35"/>
    <w:rsid w:val="009F2A83"/>
    <w:rsid w:val="009F2A99"/>
    <w:rsid w:val="009F2D25"/>
    <w:rsid w:val="009F2D9C"/>
    <w:rsid w:val="009F2F37"/>
    <w:rsid w:val="009F3031"/>
    <w:rsid w:val="009F3097"/>
    <w:rsid w:val="009F30A4"/>
    <w:rsid w:val="009F30EE"/>
    <w:rsid w:val="009F3355"/>
    <w:rsid w:val="009F33E7"/>
    <w:rsid w:val="009F3418"/>
    <w:rsid w:val="009F3432"/>
    <w:rsid w:val="009F3440"/>
    <w:rsid w:val="009F344F"/>
    <w:rsid w:val="009F348F"/>
    <w:rsid w:val="009F34B9"/>
    <w:rsid w:val="009F3576"/>
    <w:rsid w:val="009F366A"/>
    <w:rsid w:val="009F371B"/>
    <w:rsid w:val="009F3754"/>
    <w:rsid w:val="009F3761"/>
    <w:rsid w:val="009F37DD"/>
    <w:rsid w:val="009F3963"/>
    <w:rsid w:val="009F3A42"/>
    <w:rsid w:val="009F3A44"/>
    <w:rsid w:val="009F3AFE"/>
    <w:rsid w:val="009F3B62"/>
    <w:rsid w:val="009F3BE5"/>
    <w:rsid w:val="009F3C0B"/>
    <w:rsid w:val="009F3C42"/>
    <w:rsid w:val="009F3C8A"/>
    <w:rsid w:val="009F3DCA"/>
    <w:rsid w:val="009F3ED8"/>
    <w:rsid w:val="009F3F27"/>
    <w:rsid w:val="009F4081"/>
    <w:rsid w:val="009F411F"/>
    <w:rsid w:val="009F4121"/>
    <w:rsid w:val="009F4168"/>
    <w:rsid w:val="009F41EB"/>
    <w:rsid w:val="009F42B9"/>
    <w:rsid w:val="009F446F"/>
    <w:rsid w:val="009F4539"/>
    <w:rsid w:val="009F4719"/>
    <w:rsid w:val="009F4A65"/>
    <w:rsid w:val="009F4AC6"/>
    <w:rsid w:val="009F4BCF"/>
    <w:rsid w:val="009F4C2B"/>
    <w:rsid w:val="009F4CA9"/>
    <w:rsid w:val="009F4CCC"/>
    <w:rsid w:val="009F4DF1"/>
    <w:rsid w:val="009F503D"/>
    <w:rsid w:val="009F5054"/>
    <w:rsid w:val="009F5074"/>
    <w:rsid w:val="009F50A0"/>
    <w:rsid w:val="009F50CF"/>
    <w:rsid w:val="009F50E7"/>
    <w:rsid w:val="009F511F"/>
    <w:rsid w:val="009F51B0"/>
    <w:rsid w:val="009F52F3"/>
    <w:rsid w:val="009F532E"/>
    <w:rsid w:val="009F5359"/>
    <w:rsid w:val="009F53B3"/>
    <w:rsid w:val="009F5404"/>
    <w:rsid w:val="009F5553"/>
    <w:rsid w:val="009F55BE"/>
    <w:rsid w:val="009F55DF"/>
    <w:rsid w:val="009F5647"/>
    <w:rsid w:val="009F5648"/>
    <w:rsid w:val="009F567C"/>
    <w:rsid w:val="009F56EF"/>
    <w:rsid w:val="009F57CB"/>
    <w:rsid w:val="009F57EF"/>
    <w:rsid w:val="009F5828"/>
    <w:rsid w:val="009F58F6"/>
    <w:rsid w:val="009F59F1"/>
    <w:rsid w:val="009F5A60"/>
    <w:rsid w:val="009F5ACF"/>
    <w:rsid w:val="009F5C7F"/>
    <w:rsid w:val="009F5D05"/>
    <w:rsid w:val="009F5D31"/>
    <w:rsid w:val="009F5F17"/>
    <w:rsid w:val="009F5F51"/>
    <w:rsid w:val="009F5F82"/>
    <w:rsid w:val="009F5FBB"/>
    <w:rsid w:val="009F6004"/>
    <w:rsid w:val="009F6135"/>
    <w:rsid w:val="009F6210"/>
    <w:rsid w:val="009F62BE"/>
    <w:rsid w:val="009F6327"/>
    <w:rsid w:val="009F639A"/>
    <w:rsid w:val="009F63B3"/>
    <w:rsid w:val="009F63EA"/>
    <w:rsid w:val="009F659A"/>
    <w:rsid w:val="009F673A"/>
    <w:rsid w:val="009F6787"/>
    <w:rsid w:val="009F6798"/>
    <w:rsid w:val="009F67A1"/>
    <w:rsid w:val="009F682E"/>
    <w:rsid w:val="009F6A08"/>
    <w:rsid w:val="009F6A1F"/>
    <w:rsid w:val="009F6C94"/>
    <w:rsid w:val="009F6D97"/>
    <w:rsid w:val="009F6EDE"/>
    <w:rsid w:val="009F6EFC"/>
    <w:rsid w:val="009F6F21"/>
    <w:rsid w:val="009F6F73"/>
    <w:rsid w:val="009F7031"/>
    <w:rsid w:val="009F7095"/>
    <w:rsid w:val="009F7131"/>
    <w:rsid w:val="009F718D"/>
    <w:rsid w:val="009F721D"/>
    <w:rsid w:val="009F722C"/>
    <w:rsid w:val="009F728E"/>
    <w:rsid w:val="009F7346"/>
    <w:rsid w:val="009F7408"/>
    <w:rsid w:val="009F747B"/>
    <w:rsid w:val="009F7543"/>
    <w:rsid w:val="009F755F"/>
    <w:rsid w:val="009F76F5"/>
    <w:rsid w:val="009F781F"/>
    <w:rsid w:val="009F78E8"/>
    <w:rsid w:val="009F79C9"/>
    <w:rsid w:val="009F7A43"/>
    <w:rsid w:val="009F7A86"/>
    <w:rsid w:val="009F7B85"/>
    <w:rsid w:val="009F7D6A"/>
    <w:rsid w:val="009F7D88"/>
    <w:rsid w:val="009F7E63"/>
    <w:rsid w:val="009F7F24"/>
    <w:rsid w:val="00A00031"/>
    <w:rsid w:val="00A0003B"/>
    <w:rsid w:val="00A00391"/>
    <w:rsid w:val="00A004AE"/>
    <w:rsid w:val="00A004EE"/>
    <w:rsid w:val="00A006EA"/>
    <w:rsid w:val="00A007F8"/>
    <w:rsid w:val="00A0095E"/>
    <w:rsid w:val="00A009CB"/>
    <w:rsid w:val="00A00A67"/>
    <w:rsid w:val="00A00B88"/>
    <w:rsid w:val="00A00BB6"/>
    <w:rsid w:val="00A00C22"/>
    <w:rsid w:val="00A00C36"/>
    <w:rsid w:val="00A00C92"/>
    <w:rsid w:val="00A00E5B"/>
    <w:rsid w:val="00A00E62"/>
    <w:rsid w:val="00A00F08"/>
    <w:rsid w:val="00A00FAE"/>
    <w:rsid w:val="00A01122"/>
    <w:rsid w:val="00A013A2"/>
    <w:rsid w:val="00A013B5"/>
    <w:rsid w:val="00A0143A"/>
    <w:rsid w:val="00A014EF"/>
    <w:rsid w:val="00A015DA"/>
    <w:rsid w:val="00A0163B"/>
    <w:rsid w:val="00A01684"/>
    <w:rsid w:val="00A01A13"/>
    <w:rsid w:val="00A01AA2"/>
    <w:rsid w:val="00A01B49"/>
    <w:rsid w:val="00A01C76"/>
    <w:rsid w:val="00A01E93"/>
    <w:rsid w:val="00A01EB9"/>
    <w:rsid w:val="00A01F33"/>
    <w:rsid w:val="00A01FA3"/>
    <w:rsid w:val="00A02194"/>
    <w:rsid w:val="00A021B4"/>
    <w:rsid w:val="00A021BA"/>
    <w:rsid w:val="00A023ED"/>
    <w:rsid w:val="00A024D2"/>
    <w:rsid w:val="00A02602"/>
    <w:rsid w:val="00A0266C"/>
    <w:rsid w:val="00A02819"/>
    <w:rsid w:val="00A02863"/>
    <w:rsid w:val="00A0288D"/>
    <w:rsid w:val="00A028C9"/>
    <w:rsid w:val="00A0290C"/>
    <w:rsid w:val="00A02A44"/>
    <w:rsid w:val="00A02A92"/>
    <w:rsid w:val="00A02C21"/>
    <w:rsid w:val="00A02D70"/>
    <w:rsid w:val="00A02DEE"/>
    <w:rsid w:val="00A02EA5"/>
    <w:rsid w:val="00A02ECF"/>
    <w:rsid w:val="00A02F10"/>
    <w:rsid w:val="00A03136"/>
    <w:rsid w:val="00A032E6"/>
    <w:rsid w:val="00A0331C"/>
    <w:rsid w:val="00A03379"/>
    <w:rsid w:val="00A034DF"/>
    <w:rsid w:val="00A035DE"/>
    <w:rsid w:val="00A035EF"/>
    <w:rsid w:val="00A0372B"/>
    <w:rsid w:val="00A037C9"/>
    <w:rsid w:val="00A0385C"/>
    <w:rsid w:val="00A03BA5"/>
    <w:rsid w:val="00A03CDF"/>
    <w:rsid w:val="00A03DE1"/>
    <w:rsid w:val="00A03DF0"/>
    <w:rsid w:val="00A0405D"/>
    <w:rsid w:val="00A040D9"/>
    <w:rsid w:val="00A04335"/>
    <w:rsid w:val="00A043B8"/>
    <w:rsid w:val="00A043BF"/>
    <w:rsid w:val="00A0442E"/>
    <w:rsid w:val="00A04473"/>
    <w:rsid w:val="00A0456C"/>
    <w:rsid w:val="00A04593"/>
    <w:rsid w:val="00A04594"/>
    <w:rsid w:val="00A045AA"/>
    <w:rsid w:val="00A04600"/>
    <w:rsid w:val="00A0462E"/>
    <w:rsid w:val="00A0469C"/>
    <w:rsid w:val="00A04760"/>
    <w:rsid w:val="00A049B3"/>
    <w:rsid w:val="00A04AFC"/>
    <w:rsid w:val="00A04B9B"/>
    <w:rsid w:val="00A04CE3"/>
    <w:rsid w:val="00A04D7E"/>
    <w:rsid w:val="00A04E51"/>
    <w:rsid w:val="00A05046"/>
    <w:rsid w:val="00A0516F"/>
    <w:rsid w:val="00A05263"/>
    <w:rsid w:val="00A052B1"/>
    <w:rsid w:val="00A05301"/>
    <w:rsid w:val="00A05309"/>
    <w:rsid w:val="00A05360"/>
    <w:rsid w:val="00A053C9"/>
    <w:rsid w:val="00A05481"/>
    <w:rsid w:val="00A05523"/>
    <w:rsid w:val="00A05721"/>
    <w:rsid w:val="00A0572C"/>
    <w:rsid w:val="00A05735"/>
    <w:rsid w:val="00A057B7"/>
    <w:rsid w:val="00A05909"/>
    <w:rsid w:val="00A05ABF"/>
    <w:rsid w:val="00A05CB1"/>
    <w:rsid w:val="00A05E5C"/>
    <w:rsid w:val="00A05FA6"/>
    <w:rsid w:val="00A05FE1"/>
    <w:rsid w:val="00A0600B"/>
    <w:rsid w:val="00A0605A"/>
    <w:rsid w:val="00A060FA"/>
    <w:rsid w:val="00A06215"/>
    <w:rsid w:val="00A06242"/>
    <w:rsid w:val="00A062AD"/>
    <w:rsid w:val="00A062CA"/>
    <w:rsid w:val="00A0635A"/>
    <w:rsid w:val="00A0641E"/>
    <w:rsid w:val="00A06429"/>
    <w:rsid w:val="00A0649A"/>
    <w:rsid w:val="00A06523"/>
    <w:rsid w:val="00A065B1"/>
    <w:rsid w:val="00A0664A"/>
    <w:rsid w:val="00A066C6"/>
    <w:rsid w:val="00A066D5"/>
    <w:rsid w:val="00A06788"/>
    <w:rsid w:val="00A067B8"/>
    <w:rsid w:val="00A0682E"/>
    <w:rsid w:val="00A0690E"/>
    <w:rsid w:val="00A0694B"/>
    <w:rsid w:val="00A069F2"/>
    <w:rsid w:val="00A06A65"/>
    <w:rsid w:val="00A06A92"/>
    <w:rsid w:val="00A06AF9"/>
    <w:rsid w:val="00A06B4B"/>
    <w:rsid w:val="00A06CAE"/>
    <w:rsid w:val="00A06CBA"/>
    <w:rsid w:val="00A06CD3"/>
    <w:rsid w:val="00A06D2C"/>
    <w:rsid w:val="00A06DE7"/>
    <w:rsid w:val="00A06E16"/>
    <w:rsid w:val="00A06EC4"/>
    <w:rsid w:val="00A06FB3"/>
    <w:rsid w:val="00A0703B"/>
    <w:rsid w:val="00A070E3"/>
    <w:rsid w:val="00A07121"/>
    <w:rsid w:val="00A072E9"/>
    <w:rsid w:val="00A07345"/>
    <w:rsid w:val="00A07373"/>
    <w:rsid w:val="00A0743E"/>
    <w:rsid w:val="00A07460"/>
    <w:rsid w:val="00A07547"/>
    <w:rsid w:val="00A07556"/>
    <w:rsid w:val="00A07768"/>
    <w:rsid w:val="00A0794C"/>
    <w:rsid w:val="00A07A4D"/>
    <w:rsid w:val="00A07A7C"/>
    <w:rsid w:val="00A07B19"/>
    <w:rsid w:val="00A07C10"/>
    <w:rsid w:val="00A07C5F"/>
    <w:rsid w:val="00A07E96"/>
    <w:rsid w:val="00A07EA3"/>
    <w:rsid w:val="00A07FDB"/>
    <w:rsid w:val="00A10059"/>
    <w:rsid w:val="00A10151"/>
    <w:rsid w:val="00A101FA"/>
    <w:rsid w:val="00A1022C"/>
    <w:rsid w:val="00A10349"/>
    <w:rsid w:val="00A103DC"/>
    <w:rsid w:val="00A10434"/>
    <w:rsid w:val="00A105E1"/>
    <w:rsid w:val="00A105EB"/>
    <w:rsid w:val="00A10670"/>
    <w:rsid w:val="00A10793"/>
    <w:rsid w:val="00A10844"/>
    <w:rsid w:val="00A108E6"/>
    <w:rsid w:val="00A1099A"/>
    <w:rsid w:val="00A10A55"/>
    <w:rsid w:val="00A10AA1"/>
    <w:rsid w:val="00A10B90"/>
    <w:rsid w:val="00A10C0A"/>
    <w:rsid w:val="00A10CC3"/>
    <w:rsid w:val="00A10DB5"/>
    <w:rsid w:val="00A10E33"/>
    <w:rsid w:val="00A110E4"/>
    <w:rsid w:val="00A111D3"/>
    <w:rsid w:val="00A1120A"/>
    <w:rsid w:val="00A11344"/>
    <w:rsid w:val="00A113B9"/>
    <w:rsid w:val="00A113E7"/>
    <w:rsid w:val="00A11476"/>
    <w:rsid w:val="00A114CF"/>
    <w:rsid w:val="00A11581"/>
    <w:rsid w:val="00A115F4"/>
    <w:rsid w:val="00A1162B"/>
    <w:rsid w:val="00A11676"/>
    <w:rsid w:val="00A117FE"/>
    <w:rsid w:val="00A118B2"/>
    <w:rsid w:val="00A11924"/>
    <w:rsid w:val="00A11945"/>
    <w:rsid w:val="00A11982"/>
    <w:rsid w:val="00A119FB"/>
    <w:rsid w:val="00A11A54"/>
    <w:rsid w:val="00A11DF9"/>
    <w:rsid w:val="00A11EB2"/>
    <w:rsid w:val="00A11F49"/>
    <w:rsid w:val="00A11F5B"/>
    <w:rsid w:val="00A120E5"/>
    <w:rsid w:val="00A12290"/>
    <w:rsid w:val="00A1230A"/>
    <w:rsid w:val="00A1240A"/>
    <w:rsid w:val="00A124CC"/>
    <w:rsid w:val="00A124E4"/>
    <w:rsid w:val="00A124E8"/>
    <w:rsid w:val="00A12686"/>
    <w:rsid w:val="00A12714"/>
    <w:rsid w:val="00A12775"/>
    <w:rsid w:val="00A129F8"/>
    <w:rsid w:val="00A12AE9"/>
    <w:rsid w:val="00A12B02"/>
    <w:rsid w:val="00A12B64"/>
    <w:rsid w:val="00A12C1F"/>
    <w:rsid w:val="00A12C3B"/>
    <w:rsid w:val="00A12C95"/>
    <w:rsid w:val="00A12DA4"/>
    <w:rsid w:val="00A12DAA"/>
    <w:rsid w:val="00A12E10"/>
    <w:rsid w:val="00A12E20"/>
    <w:rsid w:val="00A12E9C"/>
    <w:rsid w:val="00A1307A"/>
    <w:rsid w:val="00A13099"/>
    <w:rsid w:val="00A1321E"/>
    <w:rsid w:val="00A1322E"/>
    <w:rsid w:val="00A13380"/>
    <w:rsid w:val="00A134F5"/>
    <w:rsid w:val="00A13716"/>
    <w:rsid w:val="00A13775"/>
    <w:rsid w:val="00A137BF"/>
    <w:rsid w:val="00A137E7"/>
    <w:rsid w:val="00A1387C"/>
    <w:rsid w:val="00A138B7"/>
    <w:rsid w:val="00A13950"/>
    <w:rsid w:val="00A13B4E"/>
    <w:rsid w:val="00A13B58"/>
    <w:rsid w:val="00A13DCF"/>
    <w:rsid w:val="00A13F27"/>
    <w:rsid w:val="00A1401F"/>
    <w:rsid w:val="00A14054"/>
    <w:rsid w:val="00A141DF"/>
    <w:rsid w:val="00A1425C"/>
    <w:rsid w:val="00A14334"/>
    <w:rsid w:val="00A1435A"/>
    <w:rsid w:val="00A14375"/>
    <w:rsid w:val="00A14419"/>
    <w:rsid w:val="00A14455"/>
    <w:rsid w:val="00A14536"/>
    <w:rsid w:val="00A1467A"/>
    <w:rsid w:val="00A146AC"/>
    <w:rsid w:val="00A1479E"/>
    <w:rsid w:val="00A147CD"/>
    <w:rsid w:val="00A1485B"/>
    <w:rsid w:val="00A148EB"/>
    <w:rsid w:val="00A14918"/>
    <w:rsid w:val="00A149F1"/>
    <w:rsid w:val="00A14C4D"/>
    <w:rsid w:val="00A14C71"/>
    <w:rsid w:val="00A14CF7"/>
    <w:rsid w:val="00A14D45"/>
    <w:rsid w:val="00A15041"/>
    <w:rsid w:val="00A150B3"/>
    <w:rsid w:val="00A15136"/>
    <w:rsid w:val="00A15281"/>
    <w:rsid w:val="00A153C4"/>
    <w:rsid w:val="00A1543C"/>
    <w:rsid w:val="00A1555A"/>
    <w:rsid w:val="00A15570"/>
    <w:rsid w:val="00A15608"/>
    <w:rsid w:val="00A1574B"/>
    <w:rsid w:val="00A157ED"/>
    <w:rsid w:val="00A1588B"/>
    <w:rsid w:val="00A158DB"/>
    <w:rsid w:val="00A15A2B"/>
    <w:rsid w:val="00A15AFA"/>
    <w:rsid w:val="00A15BE9"/>
    <w:rsid w:val="00A15DB9"/>
    <w:rsid w:val="00A15E4C"/>
    <w:rsid w:val="00A15F04"/>
    <w:rsid w:val="00A15F36"/>
    <w:rsid w:val="00A15F72"/>
    <w:rsid w:val="00A15F9C"/>
    <w:rsid w:val="00A16078"/>
    <w:rsid w:val="00A1610E"/>
    <w:rsid w:val="00A161AB"/>
    <w:rsid w:val="00A161D5"/>
    <w:rsid w:val="00A162F5"/>
    <w:rsid w:val="00A163B9"/>
    <w:rsid w:val="00A1644B"/>
    <w:rsid w:val="00A164D2"/>
    <w:rsid w:val="00A16676"/>
    <w:rsid w:val="00A16701"/>
    <w:rsid w:val="00A168A5"/>
    <w:rsid w:val="00A168AD"/>
    <w:rsid w:val="00A16939"/>
    <w:rsid w:val="00A1696B"/>
    <w:rsid w:val="00A16BBA"/>
    <w:rsid w:val="00A16C00"/>
    <w:rsid w:val="00A16C3B"/>
    <w:rsid w:val="00A16C40"/>
    <w:rsid w:val="00A16CA2"/>
    <w:rsid w:val="00A16E3A"/>
    <w:rsid w:val="00A16E54"/>
    <w:rsid w:val="00A17205"/>
    <w:rsid w:val="00A1726B"/>
    <w:rsid w:val="00A1729F"/>
    <w:rsid w:val="00A172BC"/>
    <w:rsid w:val="00A172DF"/>
    <w:rsid w:val="00A17358"/>
    <w:rsid w:val="00A17366"/>
    <w:rsid w:val="00A1736B"/>
    <w:rsid w:val="00A173B0"/>
    <w:rsid w:val="00A173B9"/>
    <w:rsid w:val="00A173C6"/>
    <w:rsid w:val="00A173DF"/>
    <w:rsid w:val="00A17429"/>
    <w:rsid w:val="00A174EB"/>
    <w:rsid w:val="00A17594"/>
    <w:rsid w:val="00A17760"/>
    <w:rsid w:val="00A17798"/>
    <w:rsid w:val="00A1786D"/>
    <w:rsid w:val="00A17952"/>
    <w:rsid w:val="00A17A03"/>
    <w:rsid w:val="00A17A57"/>
    <w:rsid w:val="00A17A81"/>
    <w:rsid w:val="00A17B81"/>
    <w:rsid w:val="00A17BA6"/>
    <w:rsid w:val="00A17D0F"/>
    <w:rsid w:val="00A17E20"/>
    <w:rsid w:val="00A17E6D"/>
    <w:rsid w:val="00A17E9F"/>
    <w:rsid w:val="00A17EDB"/>
    <w:rsid w:val="00A17F73"/>
    <w:rsid w:val="00A17FC9"/>
    <w:rsid w:val="00A17FD0"/>
    <w:rsid w:val="00A20060"/>
    <w:rsid w:val="00A201AE"/>
    <w:rsid w:val="00A2027A"/>
    <w:rsid w:val="00A202A5"/>
    <w:rsid w:val="00A202A7"/>
    <w:rsid w:val="00A20320"/>
    <w:rsid w:val="00A203F6"/>
    <w:rsid w:val="00A203FD"/>
    <w:rsid w:val="00A204A1"/>
    <w:rsid w:val="00A204D2"/>
    <w:rsid w:val="00A2053D"/>
    <w:rsid w:val="00A2054D"/>
    <w:rsid w:val="00A20553"/>
    <w:rsid w:val="00A206A2"/>
    <w:rsid w:val="00A206E6"/>
    <w:rsid w:val="00A2088A"/>
    <w:rsid w:val="00A2098C"/>
    <w:rsid w:val="00A20A35"/>
    <w:rsid w:val="00A20A6A"/>
    <w:rsid w:val="00A20A71"/>
    <w:rsid w:val="00A20B00"/>
    <w:rsid w:val="00A20BE3"/>
    <w:rsid w:val="00A20E0E"/>
    <w:rsid w:val="00A20E7E"/>
    <w:rsid w:val="00A20F1E"/>
    <w:rsid w:val="00A20FC2"/>
    <w:rsid w:val="00A20FE8"/>
    <w:rsid w:val="00A21027"/>
    <w:rsid w:val="00A21159"/>
    <w:rsid w:val="00A21231"/>
    <w:rsid w:val="00A2132D"/>
    <w:rsid w:val="00A21339"/>
    <w:rsid w:val="00A21342"/>
    <w:rsid w:val="00A21365"/>
    <w:rsid w:val="00A2140C"/>
    <w:rsid w:val="00A214FF"/>
    <w:rsid w:val="00A21527"/>
    <w:rsid w:val="00A21537"/>
    <w:rsid w:val="00A2154C"/>
    <w:rsid w:val="00A21665"/>
    <w:rsid w:val="00A21688"/>
    <w:rsid w:val="00A217A8"/>
    <w:rsid w:val="00A217FB"/>
    <w:rsid w:val="00A219E3"/>
    <w:rsid w:val="00A219ED"/>
    <w:rsid w:val="00A219F3"/>
    <w:rsid w:val="00A21A02"/>
    <w:rsid w:val="00A21A05"/>
    <w:rsid w:val="00A21A2F"/>
    <w:rsid w:val="00A21AB6"/>
    <w:rsid w:val="00A21AFA"/>
    <w:rsid w:val="00A21BFB"/>
    <w:rsid w:val="00A21C6E"/>
    <w:rsid w:val="00A21CB1"/>
    <w:rsid w:val="00A21CEE"/>
    <w:rsid w:val="00A21DC0"/>
    <w:rsid w:val="00A21DED"/>
    <w:rsid w:val="00A21DFE"/>
    <w:rsid w:val="00A21EC3"/>
    <w:rsid w:val="00A21EE3"/>
    <w:rsid w:val="00A2202F"/>
    <w:rsid w:val="00A2208D"/>
    <w:rsid w:val="00A221C0"/>
    <w:rsid w:val="00A2221D"/>
    <w:rsid w:val="00A22264"/>
    <w:rsid w:val="00A22384"/>
    <w:rsid w:val="00A223B4"/>
    <w:rsid w:val="00A224CA"/>
    <w:rsid w:val="00A2252B"/>
    <w:rsid w:val="00A226B3"/>
    <w:rsid w:val="00A227F8"/>
    <w:rsid w:val="00A22836"/>
    <w:rsid w:val="00A22B3D"/>
    <w:rsid w:val="00A22BF1"/>
    <w:rsid w:val="00A22D34"/>
    <w:rsid w:val="00A22D57"/>
    <w:rsid w:val="00A22D82"/>
    <w:rsid w:val="00A22DDA"/>
    <w:rsid w:val="00A22F23"/>
    <w:rsid w:val="00A23070"/>
    <w:rsid w:val="00A23072"/>
    <w:rsid w:val="00A2312B"/>
    <w:rsid w:val="00A23207"/>
    <w:rsid w:val="00A23242"/>
    <w:rsid w:val="00A232D9"/>
    <w:rsid w:val="00A2347D"/>
    <w:rsid w:val="00A2363B"/>
    <w:rsid w:val="00A23722"/>
    <w:rsid w:val="00A23774"/>
    <w:rsid w:val="00A238CF"/>
    <w:rsid w:val="00A239E6"/>
    <w:rsid w:val="00A23BA6"/>
    <w:rsid w:val="00A23BB3"/>
    <w:rsid w:val="00A23CA6"/>
    <w:rsid w:val="00A23CE9"/>
    <w:rsid w:val="00A23D12"/>
    <w:rsid w:val="00A23D8D"/>
    <w:rsid w:val="00A23E82"/>
    <w:rsid w:val="00A23E93"/>
    <w:rsid w:val="00A23E96"/>
    <w:rsid w:val="00A24031"/>
    <w:rsid w:val="00A24062"/>
    <w:rsid w:val="00A24068"/>
    <w:rsid w:val="00A24199"/>
    <w:rsid w:val="00A2419F"/>
    <w:rsid w:val="00A2430D"/>
    <w:rsid w:val="00A2431D"/>
    <w:rsid w:val="00A24351"/>
    <w:rsid w:val="00A24471"/>
    <w:rsid w:val="00A244C5"/>
    <w:rsid w:val="00A244FA"/>
    <w:rsid w:val="00A246D2"/>
    <w:rsid w:val="00A246EE"/>
    <w:rsid w:val="00A2478E"/>
    <w:rsid w:val="00A24847"/>
    <w:rsid w:val="00A248DE"/>
    <w:rsid w:val="00A24B4F"/>
    <w:rsid w:val="00A24C5E"/>
    <w:rsid w:val="00A24CC2"/>
    <w:rsid w:val="00A24D68"/>
    <w:rsid w:val="00A24E11"/>
    <w:rsid w:val="00A24E15"/>
    <w:rsid w:val="00A24EE6"/>
    <w:rsid w:val="00A24FF9"/>
    <w:rsid w:val="00A25011"/>
    <w:rsid w:val="00A251A6"/>
    <w:rsid w:val="00A25291"/>
    <w:rsid w:val="00A252AB"/>
    <w:rsid w:val="00A252D7"/>
    <w:rsid w:val="00A2536E"/>
    <w:rsid w:val="00A25439"/>
    <w:rsid w:val="00A25538"/>
    <w:rsid w:val="00A255F8"/>
    <w:rsid w:val="00A2583A"/>
    <w:rsid w:val="00A25881"/>
    <w:rsid w:val="00A2589F"/>
    <w:rsid w:val="00A25944"/>
    <w:rsid w:val="00A25963"/>
    <w:rsid w:val="00A2599B"/>
    <w:rsid w:val="00A25A01"/>
    <w:rsid w:val="00A25A70"/>
    <w:rsid w:val="00A25A7B"/>
    <w:rsid w:val="00A25AEF"/>
    <w:rsid w:val="00A25B4F"/>
    <w:rsid w:val="00A25BA8"/>
    <w:rsid w:val="00A25C92"/>
    <w:rsid w:val="00A25D2C"/>
    <w:rsid w:val="00A25D9A"/>
    <w:rsid w:val="00A25E14"/>
    <w:rsid w:val="00A25E91"/>
    <w:rsid w:val="00A25F13"/>
    <w:rsid w:val="00A2603E"/>
    <w:rsid w:val="00A2619E"/>
    <w:rsid w:val="00A26238"/>
    <w:rsid w:val="00A262E8"/>
    <w:rsid w:val="00A262F5"/>
    <w:rsid w:val="00A2632D"/>
    <w:rsid w:val="00A26331"/>
    <w:rsid w:val="00A263F8"/>
    <w:rsid w:val="00A26477"/>
    <w:rsid w:val="00A26505"/>
    <w:rsid w:val="00A2662E"/>
    <w:rsid w:val="00A26655"/>
    <w:rsid w:val="00A26672"/>
    <w:rsid w:val="00A26674"/>
    <w:rsid w:val="00A266A8"/>
    <w:rsid w:val="00A266FB"/>
    <w:rsid w:val="00A26775"/>
    <w:rsid w:val="00A2680B"/>
    <w:rsid w:val="00A26872"/>
    <w:rsid w:val="00A26874"/>
    <w:rsid w:val="00A269D8"/>
    <w:rsid w:val="00A26A21"/>
    <w:rsid w:val="00A26C86"/>
    <w:rsid w:val="00A26DC6"/>
    <w:rsid w:val="00A26E41"/>
    <w:rsid w:val="00A26F75"/>
    <w:rsid w:val="00A27130"/>
    <w:rsid w:val="00A27154"/>
    <w:rsid w:val="00A2722C"/>
    <w:rsid w:val="00A272B7"/>
    <w:rsid w:val="00A272F9"/>
    <w:rsid w:val="00A27338"/>
    <w:rsid w:val="00A273FC"/>
    <w:rsid w:val="00A27463"/>
    <w:rsid w:val="00A2750E"/>
    <w:rsid w:val="00A27535"/>
    <w:rsid w:val="00A275A9"/>
    <w:rsid w:val="00A277A0"/>
    <w:rsid w:val="00A277EB"/>
    <w:rsid w:val="00A2789B"/>
    <w:rsid w:val="00A2791A"/>
    <w:rsid w:val="00A27924"/>
    <w:rsid w:val="00A27A67"/>
    <w:rsid w:val="00A27BCE"/>
    <w:rsid w:val="00A27BD0"/>
    <w:rsid w:val="00A27C3B"/>
    <w:rsid w:val="00A27C73"/>
    <w:rsid w:val="00A27CA7"/>
    <w:rsid w:val="00A27D62"/>
    <w:rsid w:val="00A27DDA"/>
    <w:rsid w:val="00A27E02"/>
    <w:rsid w:val="00A27F4D"/>
    <w:rsid w:val="00A30079"/>
    <w:rsid w:val="00A30088"/>
    <w:rsid w:val="00A300F6"/>
    <w:rsid w:val="00A3016D"/>
    <w:rsid w:val="00A302AE"/>
    <w:rsid w:val="00A302D0"/>
    <w:rsid w:val="00A30333"/>
    <w:rsid w:val="00A30350"/>
    <w:rsid w:val="00A30371"/>
    <w:rsid w:val="00A3038E"/>
    <w:rsid w:val="00A3049A"/>
    <w:rsid w:val="00A304CC"/>
    <w:rsid w:val="00A3063A"/>
    <w:rsid w:val="00A30794"/>
    <w:rsid w:val="00A30797"/>
    <w:rsid w:val="00A307A0"/>
    <w:rsid w:val="00A307C7"/>
    <w:rsid w:val="00A30827"/>
    <w:rsid w:val="00A3089B"/>
    <w:rsid w:val="00A30A4B"/>
    <w:rsid w:val="00A30B37"/>
    <w:rsid w:val="00A30BDF"/>
    <w:rsid w:val="00A30C20"/>
    <w:rsid w:val="00A30D5C"/>
    <w:rsid w:val="00A30DF8"/>
    <w:rsid w:val="00A30E3A"/>
    <w:rsid w:val="00A30EA4"/>
    <w:rsid w:val="00A30FD9"/>
    <w:rsid w:val="00A31049"/>
    <w:rsid w:val="00A31159"/>
    <w:rsid w:val="00A3118E"/>
    <w:rsid w:val="00A31236"/>
    <w:rsid w:val="00A31256"/>
    <w:rsid w:val="00A313CB"/>
    <w:rsid w:val="00A31417"/>
    <w:rsid w:val="00A31425"/>
    <w:rsid w:val="00A31459"/>
    <w:rsid w:val="00A31746"/>
    <w:rsid w:val="00A31788"/>
    <w:rsid w:val="00A3185D"/>
    <w:rsid w:val="00A3185F"/>
    <w:rsid w:val="00A318A5"/>
    <w:rsid w:val="00A31BB2"/>
    <w:rsid w:val="00A31C0A"/>
    <w:rsid w:val="00A31CDA"/>
    <w:rsid w:val="00A31DE2"/>
    <w:rsid w:val="00A31EE9"/>
    <w:rsid w:val="00A31FC2"/>
    <w:rsid w:val="00A3204C"/>
    <w:rsid w:val="00A32067"/>
    <w:rsid w:val="00A321F1"/>
    <w:rsid w:val="00A32297"/>
    <w:rsid w:val="00A322B5"/>
    <w:rsid w:val="00A322E0"/>
    <w:rsid w:val="00A32314"/>
    <w:rsid w:val="00A32494"/>
    <w:rsid w:val="00A326C3"/>
    <w:rsid w:val="00A326DF"/>
    <w:rsid w:val="00A32705"/>
    <w:rsid w:val="00A328C3"/>
    <w:rsid w:val="00A328DB"/>
    <w:rsid w:val="00A329E9"/>
    <w:rsid w:val="00A32C88"/>
    <w:rsid w:val="00A32CF0"/>
    <w:rsid w:val="00A32DB0"/>
    <w:rsid w:val="00A32E51"/>
    <w:rsid w:val="00A32EC9"/>
    <w:rsid w:val="00A32F32"/>
    <w:rsid w:val="00A32FDC"/>
    <w:rsid w:val="00A32FEF"/>
    <w:rsid w:val="00A32FF8"/>
    <w:rsid w:val="00A3303E"/>
    <w:rsid w:val="00A3335E"/>
    <w:rsid w:val="00A3342D"/>
    <w:rsid w:val="00A33437"/>
    <w:rsid w:val="00A3344F"/>
    <w:rsid w:val="00A3349E"/>
    <w:rsid w:val="00A33586"/>
    <w:rsid w:val="00A3361A"/>
    <w:rsid w:val="00A33657"/>
    <w:rsid w:val="00A336CF"/>
    <w:rsid w:val="00A33736"/>
    <w:rsid w:val="00A337B0"/>
    <w:rsid w:val="00A3380F"/>
    <w:rsid w:val="00A338FF"/>
    <w:rsid w:val="00A33AC9"/>
    <w:rsid w:val="00A33BC2"/>
    <w:rsid w:val="00A33DCF"/>
    <w:rsid w:val="00A33DDC"/>
    <w:rsid w:val="00A33E9E"/>
    <w:rsid w:val="00A33F52"/>
    <w:rsid w:val="00A33FCC"/>
    <w:rsid w:val="00A341A4"/>
    <w:rsid w:val="00A34345"/>
    <w:rsid w:val="00A3440A"/>
    <w:rsid w:val="00A34411"/>
    <w:rsid w:val="00A345FA"/>
    <w:rsid w:val="00A34625"/>
    <w:rsid w:val="00A346DE"/>
    <w:rsid w:val="00A346EE"/>
    <w:rsid w:val="00A3478E"/>
    <w:rsid w:val="00A347E3"/>
    <w:rsid w:val="00A347F4"/>
    <w:rsid w:val="00A34944"/>
    <w:rsid w:val="00A34976"/>
    <w:rsid w:val="00A34C95"/>
    <w:rsid w:val="00A34E74"/>
    <w:rsid w:val="00A34F09"/>
    <w:rsid w:val="00A34F47"/>
    <w:rsid w:val="00A34FA4"/>
    <w:rsid w:val="00A350FE"/>
    <w:rsid w:val="00A351BD"/>
    <w:rsid w:val="00A35210"/>
    <w:rsid w:val="00A352EB"/>
    <w:rsid w:val="00A3535A"/>
    <w:rsid w:val="00A3535F"/>
    <w:rsid w:val="00A3541C"/>
    <w:rsid w:val="00A3555D"/>
    <w:rsid w:val="00A3559C"/>
    <w:rsid w:val="00A35701"/>
    <w:rsid w:val="00A3570D"/>
    <w:rsid w:val="00A357C0"/>
    <w:rsid w:val="00A3588E"/>
    <w:rsid w:val="00A35936"/>
    <w:rsid w:val="00A359CC"/>
    <w:rsid w:val="00A359E2"/>
    <w:rsid w:val="00A35A3D"/>
    <w:rsid w:val="00A35B70"/>
    <w:rsid w:val="00A35B7E"/>
    <w:rsid w:val="00A35C4E"/>
    <w:rsid w:val="00A35C7F"/>
    <w:rsid w:val="00A35D46"/>
    <w:rsid w:val="00A35D5A"/>
    <w:rsid w:val="00A35DFC"/>
    <w:rsid w:val="00A35E3C"/>
    <w:rsid w:val="00A35F6F"/>
    <w:rsid w:val="00A361BA"/>
    <w:rsid w:val="00A362C2"/>
    <w:rsid w:val="00A363BD"/>
    <w:rsid w:val="00A36404"/>
    <w:rsid w:val="00A3664C"/>
    <w:rsid w:val="00A3665C"/>
    <w:rsid w:val="00A36810"/>
    <w:rsid w:val="00A36856"/>
    <w:rsid w:val="00A368C9"/>
    <w:rsid w:val="00A36924"/>
    <w:rsid w:val="00A36CA7"/>
    <w:rsid w:val="00A36CB2"/>
    <w:rsid w:val="00A36D12"/>
    <w:rsid w:val="00A36F4D"/>
    <w:rsid w:val="00A3700A"/>
    <w:rsid w:val="00A37043"/>
    <w:rsid w:val="00A37059"/>
    <w:rsid w:val="00A37111"/>
    <w:rsid w:val="00A371F1"/>
    <w:rsid w:val="00A3720B"/>
    <w:rsid w:val="00A3723F"/>
    <w:rsid w:val="00A37422"/>
    <w:rsid w:val="00A37447"/>
    <w:rsid w:val="00A37499"/>
    <w:rsid w:val="00A37649"/>
    <w:rsid w:val="00A37659"/>
    <w:rsid w:val="00A37783"/>
    <w:rsid w:val="00A3780F"/>
    <w:rsid w:val="00A37858"/>
    <w:rsid w:val="00A3798D"/>
    <w:rsid w:val="00A37A8D"/>
    <w:rsid w:val="00A37B6B"/>
    <w:rsid w:val="00A37C54"/>
    <w:rsid w:val="00A37CA4"/>
    <w:rsid w:val="00A37EFC"/>
    <w:rsid w:val="00A37F2F"/>
    <w:rsid w:val="00A37F41"/>
    <w:rsid w:val="00A40047"/>
    <w:rsid w:val="00A4007F"/>
    <w:rsid w:val="00A400B3"/>
    <w:rsid w:val="00A400D1"/>
    <w:rsid w:val="00A400E4"/>
    <w:rsid w:val="00A402B9"/>
    <w:rsid w:val="00A402CA"/>
    <w:rsid w:val="00A40326"/>
    <w:rsid w:val="00A40452"/>
    <w:rsid w:val="00A4072C"/>
    <w:rsid w:val="00A4084D"/>
    <w:rsid w:val="00A40882"/>
    <w:rsid w:val="00A408DC"/>
    <w:rsid w:val="00A409BE"/>
    <w:rsid w:val="00A409DA"/>
    <w:rsid w:val="00A40A93"/>
    <w:rsid w:val="00A40B90"/>
    <w:rsid w:val="00A40BFE"/>
    <w:rsid w:val="00A40CC3"/>
    <w:rsid w:val="00A40DBA"/>
    <w:rsid w:val="00A40E56"/>
    <w:rsid w:val="00A40E75"/>
    <w:rsid w:val="00A40EF9"/>
    <w:rsid w:val="00A41061"/>
    <w:rsid w:val="00A4106E"/>
    <w:rsid w:val="00A41079"/>
    <w:rsid w:val="00A410D4"/>
    <w:rsid w:val="00A411B0"/>
    <w:rsid w:val="00A411FF"/>
    <w:rsid w:val="00A4121E"/>
    <w:rsid w:val="00A4137F"/>
    <w:rsid w:val="00A41437"/>
    <w:rsid w:val="00A41458"/>
    <w:rsid w:val="00A414D1"/>
    <w:rsid w:val="00A41583"/>
    <w:rsid w:val="00A415CB"/>
    <w:rsid w:val="00A41629"/>
    <w:rsid w:val="00A4167F"/>
    <w:rsid w:val="00A416D0"/>
    <w:rsid w:val="00A41754"/>
    <w:rsid w:val="00A41AB3"/>
    <w:rsid w:val="00A41B75"/>
    <w:rsid w:val="00A41BCC"/>
    <w:rsid w:val="00A41BD0"/>
    <w:rsid w:val="00A41BF9"/>
    <w:rsid w:val="00A41CD1"/>
    <w:rsid w:val="00A41CE1"/>
    <w:rsid w:val="00A41F3B"/>
    <w:rsid w:val="00A4208F"/>
    <w:rsid w:val="00A42093"/>
    <w:rsid w:val="00A4218F"/>
    <w:rsid w:val="00A421D5"/>
    <w:rsid w:val="00A42236"/>
    <w:rsid w:val="00A4224C"/>
    <w:rsid w:val="00A423B6"/>
    <w:rsid w:val="00A423B9"/>
    <w:rsid w:val="00A42488"/>
    <w:rsid w:val="00A425A4"/>
    <w:rsid w:val="00A4272A"/>
    <w:rsid w:val="00A427C4"/>
    <w:rsid w:val="00A42890"/>
    <w:rsid w:val="00A42915"/>
    <w:rsid w:val="00A42948"/>
    <w:rsid w:val="00A429B1"/>
    <w:rsid w:val="00A42A18"/>
    <w:rsid w:val="00A42A39"/>
    <w:rsid w:val="00A42AA1"/>
    <w:rsid w:val="00A42C07"/>
    <w:rsid w:val="00A42DF1"/>
    <w:rsid w:val="00A42E61"/>
    <w:rsid w:val="00A42EAC"/>
    <w:rsid w:val="00A42FCE"/>
    <w:rsid w:val="00A43104"/>
    <w:rsid w:val="00A4316D"/>
    <w:rsid w:val="00A431AF"/>
    <w:rsid w:val="00A432E1"/>
    <w:rsid w:val="00A43410"/>
    <w:rsid w:val="00A434D2"/>
    <w:rsid w:val="00A4350C"/>
    <w:rsid w:val="00A4353F"/>
    <w:rsid w:val="00A43555"/>
    <w:rsid w:val="00A43661"/>
    <w:rsid w:val="00A438FD"/>
    <w:rsid w:val="00A439C5"/>
    <w:rsid w:val="00A43BCE"/>
    <w:rsid w:val="00A43CAF"/>
    <w:rsid w:val="00A43E14"/>
    <w:rsid w:val="00A43E6D"/>
    <w:rsid w:val="00A43FB1"/>
    <w:rsid w:val="00A43FE1"/>
    <w:rsid w:val="00A44034"/>
    <w:rsid w:val="00A44084"/>
    <w:rsid w:val="00A44129"/>
    <w:rsid w:val="00A441CD"/>
    <w:rsid w:val="00A442CC"/>
    <w:rsid w:val="00A4438F"/>
    <w:rsid w:val="00A443A2"/>
    <w:rsid w:val="00A44400"/>
    <w:rsid w:val="00A44457"/>
    <w:rsid w:val="00A4477C"/>
    <w:rsid w:val="00A4478E"/>
    <w:rsid w:val="00A4488D"/>
    <w:rsid w:val="00A449D4"/>
    <w:rsid w:val="00A44A06"/>
    <w:rsid w:val="00A44AD6"/>
    <w:rsid w:val="00A44B0A"/>
    <w:rsid w:val="00A44B84"/>
    <w:rsid w:val="00A44B93"/>
    <w:rsid w:val="00A44C27"/>
    <w:rsid w:val="00A44DD7"/>
    <w:rsid w:val="00A44E4A"/>
    <w:rsid w:val="00A44E4C"/>
    <w:rsid w:val="00A44E59"/>
    <w:rsid w:val="00A44ED6"/>
    <w:rsid w:val="00A44F1B"/>
    <w:rsid w:val="00A44F3E"/>
    <w:rsid w:val="00A44F4F"/>
    <w:rsid w:val="00A44F87"/>
    <w:rsid w:val="00A44FE9"/>
    <w:rsid w:val="00A45036"/>
    <w:rsid w:val="00A45135"/>
    <w:rsid w:val="00A45188"/>
    <w:rsid w:val="00A45194"/>
    <w:rsid w:val="00A4524D"/>
    <w:rsid w:val="00A45262"/>
    <w:rsid w:val="00A45292"/>
    <w:rsid w:val="00A45298"/>
    <w:rsid w:val="00A452B0"/>
    <w:rsid w:val="00A452D7"/>
    <w:rsid w:val="00A452DE"/>
    <w:rsid w:val="00A45386"/>
    <w:rsid w:val="00A45425"/>
    <w:rsid w:val="00A45431"/>
    <w:rsid w:val="00A45503"/>
    <w:rsid w:val="00A45588"/>
    <w:rsid w:val="00A45725"/>
    <w:rsid w:val="00A4572C"/>
    <w:rsid w:val="00A457D4"/>
    <w:rsid w:val="00A459E3"/>
    <w:rsid w:val="00A45A8D"/>
    <w:rsid w:val="00A45A97"/>
    <w:rsid w:val="00A45B40"/>
    <w:rsid w:val="00A45DE7"/>
    <w:rsid w:val="00A45E49"/>
    <w:rsid w:val="00A45F6C"/>
    <w:rsid w:val="00A4607B"/>
    <w:rsid w:val="00A460F0"/>
    <w:rsid w:val="00A460FB"/>
    <w:rsid w:val="00A4621B"/>
    <w:rsid w:val="00A46582"/>
    <w:rsid w:val="00A46845"/>
    <w:rsid w:val="00A46894"/>
    <w:rsid w:val="00A46BDC"/>
    <w:rsid w:val="00A46C44"/>
    <w:rsid w:val="00A46D10"/>
    <w:rsid w:val="00A46DA1"/>
    <w:rsid w:val="00A46F46"/>
    <w:rsid w:val="00A46F5C"/>
    <w:rsid w:val="00A46F74"/>
    <w:rsid w:val="00A46F77"/>
    <w:rsid w:val="00A46FB0"/>
    <w:rsid w:val="00A47086"/>
    <w:rsid w:val="00A47097"/>
    <w:rsid w:val="00A471AA"/>
    <w:rsid w:val="00A47256"/>
    <w:rsid w:val="00A4727A"/>
    <w:rsid w:val="00A472A7"/>
    <w:rsid w:val="00A4737E"/>
    <w:rsid w:val="00A47413"/>
    <w:rsid w:val="00A475F0"/>
    <w:rsid w:val="00A476DD"/>
    <w:rsid w:val="00A47781"/>
    <w:rsid w:val="00A47861"/>
    <w:rsid w:val="00A47937"/>
    <w:rsid w:val="00A479BF"/>
    <w:rsid w:val="00A47A2E"/>
    <w:rsid w:val="00A47A84"/>
    <w:rsid w:val="00A47ABF"/>
    <w:rsid w:val="00A47BA0"/>
    <w:rsid w:val="00A47C48"/>
    <w:rsid w:val="00A47C97"/>
    <w:rsid w:val="00A47DD5"/>
    <w:rsid w:val="00A47DDE"/>
    <w:rsid w:val="00A47E31"/>
    <w:rsid w:val="00A47E32"/>
    <w:rsid w:val="00A47ED6"/>
    <w:rsid w:val="00A47EDE"/>
    <w:rsid w:val="00A47F19"/>
    <w:rsid w:val="00A47FFB"/>
    <w:rsid w:val="00A502F9"/>
    <w:rsid w:val="00A50371"/>
    <w:rsid w:val="00A50404"/>
    <w:rsid w:val="00A50473"/>
    <w:rsid w:val="00A50542"/>
    <w:rsid w:val="00A5068D"/>
    <w:rsid w:val="00A508CA"/>
    <w:rsid w:val="00A50A08"/>
    <w:rsid w:val="00A50A8F"/>
    <w:rsid w:val="00A50B1A"/>
    <w:rsid w:val="00A50B58"/>
    <w:rsid w:val="00A50BB2"/>
    <w:rsid w:val="00A50C13"/>
    <w:rsid w:val="00A50DD9"/>
    <w:rsid w:val="00A50ECA"/>
    <w:rsid w:val="00A50F20"/>
    <w:rsid w:val="00A50F63"/>
    <w:rsid w:val="00A50F8F"/>
    <w:rsid w:val="00A51191"/>
    <w:rsid w:val="00A512B0"/>
    <w:rsid w:val="00A512DD"/>
    <w:rsid w:val="00A512F2"/>
    <w:rsid w:val="00A51356"/>
    <w:rsid w:val="00A5140B"/>
    <w:rsid w:val="00A514E4"/>
    <w:rsid w:val="00A51568"/>
    <w:rsid w:val="00A517C4"/>
    <w:rsid w:val="00A5187D"/>
    <w:rsid w:val="00A518FE"/>
    <w:rsid w:val="00A5195D"/>
    <w:rsid w:val="00A51A0D"/>
    <w:rsid w:val="00A51AC9"/>
    <w:rsid w:val="00A51AD1"/>
    <w:rsid w:val="00A51B26"/>
    <w:rsid w:val="00A51CB2"/>
    <w:rsid w:val="00A51CE9"/>
    <w:rsid w:val="00A51D5F"/>
    <w:rsid w:val="00A51E04"/>
    <w:rsid w:val="00A51E05"/>
    <w:rsid w:val="00A51F79"/>
    <w:rsid w:val="00A52106"/>
    <w:rsid w:val="00A5211A"/>
    <w:rsid w:val="00A52200"/>
    <w:rsid w:val="00A52319"/>
    <w:rsid w:val="00A52446"/>
    <w:rsid w:val="00A52471"/>
    <w:rsid w:val="00A524CD"/>
    <w:rsid w:val="00A524CF"/>
    <w:rsid w:val="00A5256A"/>
    <w:rsid w:val="00A525BE"/>
    <w:rsid w:val="00A525EA"/>
    <w:rsid w:val="00A5264B"/>
    <w:rsid w:val="00A5273B"/>
    <w:rsid w:val="00A527DF"/>
    <w:rsid w:val="00A5290C"/>
    <w:rsid w:val="00A52940"/>
    <w:rsid w:val="00A5296E"/>
    <w:rsid w:val="00A529B1"/>
    <w:rsid w:val="00A52A39"/>
    <w:rsid w:val="00A52BE1"/>
    <w:rsid w:val="00A52C17"/>
    <w:rsid w:val="00A52DC2"/>
    <w:rsid w:val="00A52E90"/>
    <w:rsid w:val="00A52F22"/>
    <w:rsid w:val="00A52F68"/>
    <w:rsid w:val="00A52FBB"/>
    <w:rsid w:val="00A52FCE"/>
    <w:rsid w:val="00A5304C"/>
    <w:rsid w:val="00A530A5"/>
    <w:rsid w:val="00A530B0"/>
    <w:rsid w:val="00A533AA"/>
    <w:rsid w:val="00A535ED"/>
    <w:rsid w:val="00A53675"/>
    <w:rsid w:val="00A5369B"/>
    <w:rsid w:val="00A536D3"/>
    <w:rsid w:val="00A53754"/>
    <w:rsid w:val="00A537B8"/>
    <w:rsid w:val="00A537E1"/>
    <w:rsid w:val="00A53837"/>
    <w:rsid w:val="00A5385A"/>
    <w:rsid w:val="00A53915"/>
    <w:rsid w:val="00A5397C"/>
    <w:rsid w:val="00A53A9B"/>
    <w:rsid w:val="00A53DAD"/>
    <w:rsid w:val="00A53EB9"/>
    <w:rsid w:val="00A53F02"/>
    <w:rsid w:val="00A53F15"/>
    <w:rsid w:val="00A53F40"/>
    <w:rsid w:val="00A53F7B"/>
    <w:rsid w:val="00A54003"/>
    <w:rsid w:val="00A54126"/>
    <w:rsid w:val="00A54274"/>
    <w:rsid w:val="00A5433B"/>
    <w:rsid w:val="00A543DA"/>
    <w:rsid w:val="00A54454"/>
    <w:rsid w:val="00A54519"/>
    <w:rsid w:val="00A545C1"/>
    <w:rsid w:val="00A5460C"/>
    <w:rsid w:val="00A5464E"/>
    <w:rsid w:val="00A546E7"/>
    <w:rsid w:val="00A54759"/>
    <w:rsid w:val="00A54799"/>
    <w:rsid w:val="00A54855"/>
    <w:rsid w:val="00A54886"/>
    <w:rsid w:val="00A5489D"/>
    <w:rsid w:val="00A54981"/>
    <w:rsid w:val="00A549FE"/>
    <w:rsid w:val="00A54A0E"/>
    <w:rsid w:val="00A54E59"/>
    <w:rsid w:val="00A54E63"/>
    <w:rsid w:val="00A54ED0"/>
    <w:rsid w:val="00A54F06"/>
    <w:rsid w:val="00A54F36"/>
    <w:rsid w:val="00A5508C"/>
    <w:rsid w:val="00A550FF"/>
    <w:rsid w:val="00A55135"/>
    <w:rsid w:val="00A552F0"/>
    <w:rsid w:val="00A55348"/>
    <w:rsid w:val="00A55463"/>
    <w:rsid w:val="00A554FE"/>
    <w:rsid w:val="00A554FF"/>
    <w:rsid w:val="00A55506"/>
    <w:rsid w:val="00A55549"/>
    <w:rsid w:val="00A55669"/>
    <w:rsid w:val="00A556A5"/>
    <w:rsid w:val="00A557E8"/>
    <w:rsid w:val="00A55852"/>
    <w:rsid w:val="00A55A42"/>
    <w:rsid w:val="00A55ACF"/>
    <w:rsid w:val="00A55B1C"/>
    <w:rsid w:val="00A55B43"/>
    <w:rsid w:val="00A55B46"/>
    <w:rsid w:val="00A55B8B"/>
    <w:rsid w:val="00A55E30"/>
    <w:rsid w:val="00A55EBD"/>
    <w:rsid w:val="00A55FD4"/>
    <w:rsid w:val="00A56086"/>
    <w:rsid w:val="00A560D7"/>
    <w:rsid w:val="00A560E8"/>
    <w:rsid w:val="00A5620D"/>
    <w:rsid w:val="00A564AF"/>
    <w:rsid w:val="00A564BD"/>
    <w:rsid w:val="00A565FA"/>
    <w:rsid w:val="00A566E8"/>
    <w:rsid w:val="00A56772"/>
    <w:rsid w:val="00A567E9"/>
    <w:rsid w:val="00A56900"/>
    <w:rsid w:val="00A56B1A"/>
    <w:rsid w:val="00A56B1F"/>
    <w:rsid w:val="00A56C74"/>
    <w:rsid w:val="00A56DB4"/>
    <w:rsid w:val="00A56F8D"/>
    <w:rsid w:val="00A56FF2"/>
    <w:rsid w:val="00A56FFC"/>
    <w:rsid w:val="00A57002"/>
    <w:rsid w:val="00A5724E"/>
    <w:rsid w:val="00A5724F"/>
    <w:rsid w:val="00A572A7"/>
    <w:rsid w:val="00A5746F"/>
    <w:rsid w:val="00A57555"/>
    <w:rsid w:val="00A5758F"/>
    <w:rsid w:val="00A575B2"/>
    <w:rsid w:val="00A575D9"/>
    <w:rsid w:val="00A577C9"/>
    <w:rsid w:val="00A577DD"/>
    <w:rsid w:val="00A578AA"/>
    <w:rsid w:val="00A5792A"/>
    <w:rsid w:val="00A57935"/>
    <w:rsid w:val="00A57989"/>
    <w:rsid w:val="00A57A2F"/>
    <w:rsid w:val="00A57A6D"/>
    <w:rsid w:val="00A57ADB"/>
    <w:rsid w:val="00A57C6F"/>
    <w:rsid w:val="00A57DCC"/>
    <w:rsid w:val="00A57E87"/>
    <w:rsid w:val="00A57FDB"/>
    <w:rsid w:val="00A601BE"/>
    <w:rsid w:val="00A603D8"/>
    <w:rsid w:val="00A60444"/>
    <w:rsid w:val="00A6047D"/>
    <w:rsid w:val="00A605BD"/>
    <w:rsid w:val="00A6067A"/>
    <w:rsid w:val="00A6069A"/>
    <w:rsid w:val="00A606DC"/>
    <w:rsid w:val="00A60A90"/>
    <w:rsid w:val="00A60AF7"/>
    <w:rsid w:val="00A60B83"/>
    <w:rsid w:val="00A60C07"/>
    <w:rsid w:val="00A60D33"/>
    <w:rsid w:val="00A60F26"/>
    <w:rsid w:val="00A60F8C"/>
    <w:rsid w:val="00A60FFC"/>
    <w:rsid w:val="00A61113"/>
    <w:rsid w:val="00A61118"/>
    <w:rsid w:val="00A61137"/>
    <w:rsid w:val="00A612C0"/>
    <w:rsid w:val="00A6143B"/>
    <w:rsid w:val="00A614F5"/>
    <w:rsid w:val="00A615D2"/>
    <w:rsid w:val="00A615EA"/>
    <w:rsid w:val="00A615EE"/>
    <w:rsid w:val="00A6164A"/>
    <w:rsid w:val="00A616DE"/>
    <w:rsid w:val="00A6172A"/>
    <w:rsid w:val="00A61748"/>
    <w:rsid w:val="00A61759"/>
    <w:rsid w:val="00A6179C"/>
    <w:rsid w:val="00A619BB"/>
    <w:rsid w:val="00A619E2"/>
    <w:rsid w:val="00A61B50"/>
    <w:rsid w:val="00A61B5B"/>
    <w:rsid w:val="00A61BF1"/>
    <w:rsid w:val="00A61C05"/>
    <w:rsid w:val="00A61C5C"/>
    <w:rsid w:val="00A61C75"/>
    <w:rsid w:val="00A61F4A"/>
    <w:rsid w:val="00A61FBE"/>
    <w:rsid w:val="00A6205E"/>
    <w:rsid w:val="00A620A3"/>
    <w:rsid w:val="00A620EA"/>
    <w:rsid w:val="00A6215C"/>
    <w:rsid w:val="00A62262"/>
    <w:rsid w:val="00A62366"/>
    <w:rsid w:val="00A6239E"/>
    <w:rsid w:val="00A62571"/>
    <w:rsid w:val="00A62596"/>
    <w:rsid w:val="00A6264C"/>
    <w:rsid w:val="00A62678"/>
    <w:rsid w:val="00A62710"/>
    <w:rsid w:val="00A627AA"/>
    <w:rsid w:val="00A628B9"/>
    <w:rsid w:val="00A62937"/>
    <w:rsid w:val="00A62A68"/>
    <w:rsid w:val="00A62AB1"/>
    <w:rsid w:val="00A62BF8"/>
    <w:rsid w:val="00A62D4D"/>
    <w:rsid w:val="00A62DAD"/>
    <w:rsid w:val="00A62E0A"/>
    <w:rsid w:val="00A62E3C"/>
    <w:rsid w:val="00A62F10"/>
    <w:rsid w:val="00A6306E"/>
    <w:rsid w:val="00A63086"/>
    <w:rsid w:val="00A63173"/>
    <w:rsid w:val="00A63181"/>
    <w:rsid w:val="00A63193"/>
    <w:rsid w:val="00A6328B"/>
    <w:rsid w:val="00A632D7"/>
    <w:rsid w:val="00A633E5"/>
    <w:rsid w:val="00A63536"/>
    <w:rsid w:val="00A635A9"/>
    <w:rsid w:val="00A635EA"/>
    <w:rsid w:val="00A6367D"/>
    <w:rsid w:val="00A63697"/>
    <w:rsid w:val="00A63850"/>
    <w:rsid w:val="00A639C9"/>
    <w:rsid w:val="00A63AD4"/>
    <w:rsid w:val="00A63B63"/>
    <w:rsid w:val="00A63C31"/>
    <w:rsid w:val="00A63C3E"/>
    <w:rsid w:val="00A63D8A"/>
    <w:rsid w:val="00A640F2"/>
    <w:rsid w:val="00A641C1"/>
    <w:rsid w:val="00A64271"/>
    <w:rsid w:val="00A642C6"/>
    <w:rsid w:val="00A64403"/>
    <w:rsid w:val="00A64456"/>
    <w:rsid w:val="00A644FA"/>
    <w:rsid w:val="00A64642"/>
    <w:rsid w:val="00A6464C"/>
    <w:rsid w:val="00A646D7"/>
    <w:rsid w:val="00A64767"/>
    <w:rsid w:val="00A6494C"/>
    <w:rsid w:val="00A64993"/>
    <w:rsid w:val="00A64A74"/>
    <w:rsid w:val="00A64AAE"/>
    <w:rsid w:val="00A64B32"/>
    <w:rsid w:val="00A64BE6"/>
    <w:rsid w:val="00A6501E"/>
    <w:rsid w:val="00A650B7"/>
    <w:rsid w:val="00A651C9"/>
    <w:rsid w:val="00A6527D"/>
    <w:rsid w:val="00A65363"/>
    <w:rsid w:val="00A65373"/>
    <w:rsid w:val="00A65700"/>
    <w:rsid w:val="00A65720"/>
    <w:rsid w:val="00A65894"/>
    <w:rsid w:val="00A658C9"/>
    <w:rsid w:val="00A65A71"/>
    <w:rsid w:val="00A65AC7"/>
    <w:rsid w:val="00A65BE4"/>
    <w:rsid w:val="00A65CEE"/>
    <w:rsid w:val="00A65E07"/>
    <w:rsid w:val="00A66007"/>
    <w:rsid w:val="00A66025"/>
    <w:rsid w:val="00A66129"/>
    <w:rsid w:val="00A6612F"/>
    <w:rsid w:val="00A66174"/>
    <w:rsid w:val="00A66203"/>
    <w:rsid w:val="00A662A4"/>
    <w:rsid w:val="00A663B2"/>
    <w:rsid w:val="00A663FF"/>
    <w:rsid w:val="00A6655A"/>
    <w:rsid w:val="00A665D3"/>
    <w:rsid w:val="00A66637"/>
    <w:rsid w:val="00A6667A"/>
    <w:rsid w:val="00A666E1"/>
    <w:rsid w:val="00A666E7"/>
    <w:rsid w:val="00A6684B"/>
    <w:rsid w:val="00A669BB"/>
    <w:rsid w:val="00A66A20"/>
    <w:rsid w:val="00A66B8C"/>
    <w:rsid w:val="00A66BF2"/>
    <w:rsid w:val="00A66C69"/>
    <w:rsid w:val="00A66C81"/>
    <w:rsid w:val="00A66CC1"/>
    <w:rsid w:val="00A6700D"/>
    <w:rsid w:val="00A6723D"/>
    <w:rsid w:val="00A6744E"/>
    <w:rsid w:val="00A67583"/>
    <w:rsid w:val="00A6761D"/>
    <w:rsid w:val="00A6781F"/>
    <w:rsid w:val="00A6799A"/>
    <w:rsid w:val="00A67AB8"/>
    <w:rsid w:val="00A67BE4"/>
    <w:rsid w:val="00A67CA3"/>
    <w:rsid w:val="00A67CE1"/>
    <w:rsid w:val="00A67CF4"/>
    <w:rsid w:val="00A67D4D"/>
    <w:rsid w:val="00A67D88"/>
    <w:rsid w:val="00A67DEB"/>
    <w:rsid w:val="00A67E24"/>
    <w:rsid w:val="00A67FA4"/>
    <w:rsid w:val="00A67FDB"/>
    <w:rsid w:val="00A70094"/>
    <w:rsid w:val="00A70121"/>
    <w:rsid w:val="00A70191"/>
    <w:rsid w:val="00A701CA"/>
    <w:rsid w:val="00A70227"/>
    <w:rsid w:val="00A70277"/>
    <w:rsid w:val="00A7027F"/>
    <w:rsid w:val="00A70300"/>
    <w:rsid w:val="00A70302"/>
    <w:rsid w:val="00A70393"/>
    <w:rsid w:val="00A703FA"/>
    <w:rsid w:val="00A704CA"/>
    <w:rsid w:val="00A70536"/>
    <w:rsid w:val="00A70604"/>
    <w:rsid w:val="00A70689"/>
    <w:rsid w:val="00A70789"/>
    <w:rsid w:val="00A7078F"/>
    <w:rsid w:val="00A707C0"/>
    <w:rsid w:val="00A70862"/>
    <w:rsid w:val="00A708B4"/>
    <w:rsid w:val="00A708D0"/>
    <w:rsid w:val="00A70908"/>
    <w:rsid w:val="00A70A75"/>
    <w:rsid w:val="00A70AB1"/>
    <w:rsid w:val="00A70C05"/>
    <w:rsid w:val="00A70D5F"/>
    <w:rsid w:val="00A70E30"/>
    <w:rsid w:val="00A70E50"/>
    <w:rsid w:val="00A70FA0"/>
    <w:rsid w:val="00A70FA3"/>
    <w:rsid w:val="00A71041"/>
    <w:rsid w:val="00A71047"/>
    <w:rsid w:val="00A7122D"/>
    <w:rsid w:val="00A712CE"/>
    <w:rsid w:val="00A712E9"/>
    <w:rsid w:val="00A71333"/>
    <w:rsid w:val="00A713EA"/>
    <w:rsid w:val="00A714F1"/>
    <w:rsid w:val="00A7150F"/>
    <w:rsid w:val="00A7156A"/>
    <w:rsid w:val="00A715A9"/>
    <w:rsid w:val="00A71647"/>
    <w:rsid w:val="00A716A3"/>
    <w:rsid w:val="00A7188F"/>
    <w:rsid w:val="00A718AE"/>
    <w:rsid w:val="00A71952"/>
    <w:rsid w:val="00A7199F"/>
    <w:rsid w:val="00A719FE"/>
    <w:rsid w:val="00A71ACF"/>
    <w:rsid w:val="00A71BF3"/>
    <w:rsid w:val="00A71C07"/>
    <w:rsid w:val="00A71E11"/>
    <w:rsid w:val="00A71E5A"/>
    <w:rsid w:val="00A71F2A"/>
    <w:rsid w:val="00A71FC3"/>
    <w:rsid w:val="00A72015"/>
    <w:rsid w:val="00A72017"/>
    <w:rsid w:val="00A7202C"/>
    <w:rsid w:val="00A7208D"/>
    <w:rsid w:val="00A72105"/>
    <w:rsid w:val="00A72209"/>
    <w:rsid w:val="00A722A9"/>
    <w:rsid w:val="00A722E5"/>
    <w:rsid w:val="00A72357"/>
    <w:rsid w:val="00A72401"/>
    <w:rsid w:val="00A72458"/>
    <w:rsid w:val="00A724DD"/>
    <w:rsid w:val="00A72584"/>
    <w:rsid w:val="00A727D7"/>
    <w:rsid w:val="00A72841"/>
    <w:rsid w:val="00A72908"/>
    <w:rsid w:val="00A7294F"/>
    <w:rsid w:val="00A72959"/>
    <w:rsid w:val="00A7299B"/>
    <w:rsid w:val="00A729E3"/>
    <w:rsid w:val="00A72A46"/>
    <w:rsid w:val="00A72A6C"/>
    <w:rsid w:val="00A72AE2"/>
    <w:rsid w:val="00A72B71"/>
    <w:rsid w:val="00A72BB8"/>
    <w:rsid w:val="00A72C91"/>
    <w:rsid w:val="00A72D07"/>
    <w:rsid w:val="00A72D3D"/>
    <w:rsid w:val="00A72E97"/>
    <w:rsid w:val="00A72EC4"/>
    <w:rsid w:val="00A72F14"/>
    <w:rsid w:val="00A73046"/>
    <w:rsid w:val="00A7307D"/>
    <w:rsid w:val="00A730F4"/>
    <w:rsid w:val="00A73159"/>
    <w:rsid w:val="00A7318B"/>
    <w:rsid w:val="00A731C2"/>
    <w:rsid w:val="00A731EF"/>
    <w:rsid w:val="00A7322B"/>
    <w:rsid w:val="00A733DD"/>
    <w:rsid w:val="00A73437"/>
    <w:rsid w:val="00A7349D"/>
    <w:rsid w:val="00A734E6"/>
    <w:rsid w:val="00A73522"/>
    <w:rsid w:val="00A73524"/>
    <w:rsid w:val="00A735B2"/>
    <w:rsid w:val="00A735F2"/>
    <w:rsid w:val="00A73763"/>
    <w:rsid w:val="00A7376F"/>
    <w:rsid w:val="00A73872"/>
    <w:rsid w:val="00A7388B"/>
    <w:rsid w:val="00A73B39"/>
    <w:rsid w:val="00A73B3D"/>
    <w:rsid w:val="00A73BFA"/>
    <w:rsid w:val="00A73C2C"/>
    <w:rsid w:val="00A73C40"/>
    <w:rsid w:val="00A73D28"/>
    <w:rsid w:val="00A73D47"/>
    <w:rsid w:val="00A73DB5"/>
    <w:rsid w:val="00A73F39"/>
    <w:rsid w:val="00A73F73"/>
    <w:rsid w:val="00A74037"/>
    <w:rsid w:val="00A7414E"/>
    <w:rsid w:val="00A742D4"/>
    <w:rsid w:val="00A74333"/>
    <w:rsid w:val="00A7436B"/>
    <w:rsid w:val="00A7442A"/>
    <w:rsid w:val="00A74478"/>
    <w:rsid w:val="00A744CE"/>
    <w:rsid w:val="00A745B7"/>
    <w:rsid w:val="00A74636"/>
    <w:rsid w:val="00A7468F"/>
    <w:rsid w:val="00A74752"/>
    <w:rsid w:val="00A7479C"/>
    <w:rsid w:val="00A74808"/>
    <w:rsid w:val="00A7499A"/>
    <w:rsid w:val="00A74B6C"/>
    <w:rsid w:val="00A74C59"/>
    <w:rsid w:val="00A74C98"/>
    <w:rsid w:val="00A74CBF"/>
    <w:rsid w:val="00A74CC8"/>
    <w:rsid w:val="00A74D74"/>
    <w:rsid w:val="00A74FC8"/>
    <w:rsid w:val="00A74FCF"/>
    <w:rsid w:val="00A74FE0"/>
    <w:rsid w:val="00A750BE"/>
    <w:rsid w:val="00A750EC"/>
    <w:rsid w:val="00A75239"/>
    <w:rsid w:val="00A7532B"/>
    <w:rsid w:val="00A75492"/>
    <w:rsid w:val="00A754F6"/>
    <w:rsid w:val="00A754FD"/>
    <w:rsid w:val="00A75517"/>
    <w:rsid w:val="00A7554A"/>
    <w:rsid w:val="00A755AB"/>
    <w:rsid w:val="00A75618"/>
    <w:rsid w:val="00A75771"/>
    <w:rsid w:val="00A757C4"/>
    <w:rsid w:val="00A75850"/>
    <w:rsid w:val="00A75978"/>
    <w:rsid w:val="00A75A7F"/>
    <w:rsid w:val="00A75C0F"/>
    <w:rsid w:val="00A75DA9"/>
    <w:rsid w:val="00A75E2C"/>
    <w:rsid w:val="00A76131"/>
    <w:rsid w:val="00A761AF"/>
    <w:rsid w:val="00A7624E"/>
    <w:rsid w:val="00A762EB"/>
    <w:rsid w:val="00A762EE"/>
    <w:rsid w:val="00A7630A"/>
    <w:rsid w:val="00A763C7"/>
    <w:rsid w:val="00A763E7"/>
    <w:rsid w:val="00A76439"/>
    <w:rsid w:val="00A76593"/>
    <w:rsid w:val="00A765C1"/>
    <w:rsid w:val="00A765C6"/>
    <w:rsid w:val="00A7680A"/>
    <w:rsid w:val="00A76833"/>
    <w:rsid w:val="00A768C0"/>
    <w:rsid w:val="00A76961"/>
    <w:rsid w:val="00A76B09"/>
    <w:rsid w:val="00A76BD8"/>
    <w:rsid w:val="00A76BDD"/>
    <w:rsid w:val="00A76CF2"/>
    <w:rsid w:val="00A76E47"/>
    <w:rsid w:val="00A76FEA"/>
    <w:rsid w:val="00A76FFD"/>
    <w:rsid w:val="00A770F5"/>
    <w:rsid w:val="00A7710B"/>
    <w:rsid w:val="00A7719B"/>
    <w:rsid w:val="00A77217"/>
    <w:rsid w:val="00A772B4"/>
    <w:rsid w:val="00A772C7"/>
    <w:rsid w:val="00A773A0"/>
    <w:rsid w:val="00A773E4"/>
    <w:rsid w:val="00A774FA"/>
    <w:rsid w:val="00A77561"/>
    <w:rsid w:val="00A775DD"/>
    <w:rsid w:val="00A775FE"/>
    <w:rsid w:val="00A77850"/>
    <w:rsid w:val="00A778C6"/>
    <w:rsid w:val="00A77935"/>
    <w:rsid w:val="00A77955"/>
    <w:rsid w:val="00A77AAA"/>
    <w:rsid w:val="00A77B55"/>
    <w:rsid w:val="00A77CE2"/>
    <w:rsid w:val="00A77F2C"/>
    <w:rsid w:val="00A77FC4"/>
    <w:rsid w:val="00A8001E"/>
    <w:rsid w:val="00A800BD"/>
    <w:rsid w:val="00A80129"/>
    <w:rsid w:val="00A8057D"/>
    <w:rsid w:val="00A80603"/>
    <w:rsid w:val="00A80727"/>
    <w:rsid w:val="00A8074F"/>
    <w:rsid w:val="00A8076E"/>
    <w:rsid w:val="00A80985"/>
    <w:rsid w:val="00A80988"/>
    <w:rsid w:val="00A80B1D"/>
    <w:rsid w:val="00A80BD7"/>
    <w:rsid w:val="00A80BEF"/>
    <w:rsid w:val="00A80C27"/>
    <w:rsid w:val="00A80C70"/>
    <w:rsid w:val="00A80D7F"/>
    <w:rsid w:val="00A80E15"/>
    <w:rsid w:val="00A80E8B"/>
    <w:rsid w:val="00A80F4B"/>
    <w:rsid w:val="00A810C9"/>
    <w:rsid w:val="00A810F6"/>
    <w:rsid w:val="00A81181"/>
    <w:rsid w:val="00A81215"/>
    <w:rsid w:val="00A81282"/>
    <w:rsid w:val="00A812BF"/>
    <w:rsid w:val="00A8136A"/>
    <w:rsid w:val="00A813D7"/>
    <w:rsid w:val="00A813EA"/>
    <w:rsid w:val="00A81411"/>
    <w:rsid w:val="00A81451"/>
    <w:rsid w:val="00A81543"/>
    <w:rsid w:val="00A815CB"/>
    <w:rsid w:val="00A815D9"/>
    <w:rsid w:val="00A816DC"/>
    <w:rsid w:val="00A817F7"/>
    <w:rsid w:val="00A818BD"/>
    <w:rsid w:val="00A81A96"/>
    <w:rsid w:val="00A81AB1"/>
    <w:rsid w:val="00A81CD1"/>
    <w:rsid w:val="00A81E4E"/>
    <w:rsid w:val="00A82033"/>
    <w:rsid w:val="00A82136"/>
    <w:rsid w:val="00A82195"/>
    <w:rsid w:val="00A821A3"/>
    <w:rsid w:val="00A821BB"/>
    <w:rsid w:val="00A82293"/>
    <w:rsid w:val="00A822B1"/>
    <w:rsid w:val="00A822F0"/>
    <w:rsid w:val="00A823EF"/>
    <w:rsid w:val="00A8242E"/>
    <w:rsid w:val="00A8255E"/>
    <w:rsid w:val="00A82614"/>
    <w:rsid w:val="00A826F3"/>
    <w:rsid w:val="00A8284B"/>
    <w:rsid w:val="00A828DD"/>
    <w:rsid w:val="00A82939"/>
    <w:rsid w:val="00A8294A"/>
    <w:rsid w:val="00A82AC3"/>
    <w:rsid w:val="00A82B69"/>
    <w:rsid w:val="00A82BA0"/>
    <w:rsid w:val="00A82C08"/>
    <w:rsid w:val="00A82CFF"/>
    <w:rsid w:val="00A82D4B"/>
    <w:rsid w:val="00A82D4C"/>
    <w:rsid w:val="00A82D5F"/>
    <w:rsid w:val="00A82DBD"/>
    <w:rsid w:val="00A83084"/>
    <w:rsid w:val="00A8313F"/>
    <w:rsid w:val="00A83184"/>
    <w:rsid w:val="00A831E0"/>
    <w:rsid w:val="00A8339E"/>
    <w:rsid w:val="00A83457"/>
    <w:rsid w:val="00A834CA"/>
    <w:rsid w:val="00A83513"/>
    <w:rsid w:val="00A83536"/>
    <w:rsid w:val="00A83606"/>
    <w:rsid w:val="00A83661"/>
    <w:rsid w:val="00A8375A"/>
    <w:rsid w:val="00A83823"/>
    <w:rsid w:val="00A83AB5"/>
    <w:rsid w:val="00A83ACD"/>
    <w:rsid w:val="00A83AD6"/>
    <w:rsid w:val="00A83C27"/>
    <w:rsid w:val="00A83D18"/>
    <w:rsid w:val="00A83D36"/>
    <w:rsid w:val="00A83E1A"/>
    <w:rsid w:val="00A83E25"/>
    <w:rsid w:val="00A83E44"/>
    <w:rsid w:val="00A83EAA"/>
    <w:rsid w:val="00A83ECC"/>
    <w:rsid w:val="00A83F1C"/>
    <w:rsid w:val="00A83F9A"/>
    <w:rsid w:val="00A840FE"/>
    <w:rsid w:val="00A8411C"/>
    <w:rsid w:val="00A841E0"/>
    <w:rsid w:val="00A8429C"/>
    <w:rsid w:val="00A842CD"/>
    <w:rsid w:val="00A8442F"/>
    <w:rsid w:val="00A84713"/>
    <w:rsid w:val="00A84733"/>
    <w:rsid w:val="00A84741"/>
    <w:rsid w:val="00A848E5"/>
    <w:rsid w:val="00A84A25"/>
    <w:rsid w:val="00A84A3F"/>
    <w:rsid w:val="00A84B99"/>
    <w:rsid w:val="00A84C4C"/>
    <w:rsid w:val="00A84C87"/>
    <w:rsid w:val="00A84C89"/>
    <w:rsid w:val="00A84D63"/>
    <w:rsid w:val="00A84DD8"/>
    <w:rsid w:val="00A84DDD"/>
    <w:rsid w:val="00A84DE3"/>
    <w:rsid w:val="00A84E26"/>
    <w:rsid w:val="00A84E71"/>
    <w:rsid w:val="00A84F3F"/>
    <w:rsid w:val="00A84F77"/>
    <w:rsid w:val="00A84FF1"/>
    <w:rsid w:val="00A8503D"/>
    <w:rsid w:val="00A851D5"/>
    <w:rsid w:val="00A85201"/>
    <w:rsid w:val="00A8542C"/>
    <w:rsid w:val="00A8554D"/>
    <w:rsid w:val="00A855DA"/>
    <w:rsid w:val="00A856B8"/>
    <w:rsid w:val="00A857E5"/>
    <w:rsid w:val="00A85837"/>
    <w:rsid w:val="00A85843"/>
    <w:rsid w:val="00A85881"/>
    <w:rsid w:val="00A8597A"/>
    <w:rsid w:val="00A859BD"/>
    <w:rsid w:val="00A85B89"/>
    <w:rsid w:val="00A85CB9"/>
    <w:rsid w:val="00A85CFA"/>
    <w:rsid w:val="00A85D8F"/>
    <w:rsid w:val="00A85EE4"/>
    <w:rsid w:val="00A85F2A"/>
    <w:rsid w:val="00A85F8E"/>
    <w:rsid w:val="00A86004"/>
    <w:rsid w:val="00A860BB"/>
    <w:rsid w:val="00A86151"/>
    <w:rsid w:val="00A8618D"/>
    <w:rsid w:val="00A8630F"/>
    <w:rsid w:val="00A86335"/>
    <w:rsid w:val="00A86382"/>
    <w:rsid w:val="00A86536"/>
    <w:rsid w:val="00A8656F"/>
    <w:rsid w:val="00A8659F"/>
    <w:rsid w:val="00A86722"/>
    <w:rsid w:val="00A86774"/>
    <w:rsid w:val="00A86788"/>
    <w:rsid w:val="00A86874"/>
    <w:rsid w:val="00A8687E"/>
    <w:rsid w:val="00A86941"/>
    <w:rsid w:val="00A8694C"/>
    <w:rsid w:val="00A86B02"/>
    <w:rsid w:val="00A86BFD"/>
    <w:rsid w:val="00A86C7E"/>
    <w:rsid w:val="00A86D4E"/>
    <w:rsid w:val="00A86EA4"/>
    <w:rsid w:val="00A86F19"/>
    <w:rsid w:val="00A86F29"/>
    <w:rsid w:val="00A86F41"/>
    <w:rsid w:val="00A87043"/>
    <w:rsid w:val="00A870CE"/>
    <w:rsid w:val="00A870FD"/>
    <w:rsid w:val="00A8715A"/>
    <w:rsid w:val="00A871C4"/>
    <w:rsid w:val="00A8732A"/>
    <w:rsid w:val="00A8743A"/>
    <w:rsid w:val="00A874A3"/>
    <w:rsid w:val="00A875E1"/>
    <w:rsid w:val="00A876A7"/>
    <w:rsid w:val="00A87724"/>
    <w:rsid w:val="00A87792"/>
    <w:rsid w:val="00A878E8"/>
    <w:rsid w:val="00A879BC"/>
    <w:rsid w:val="00A87A83"/>
    <w:rsid w:val="00A87AFD"/>
    <w:rsid w:val="00A87B4F"/>
    <w:rsid w:val="00A87BA4"/>
    <w:rsid w:val="00A87C7A"/>
    <w:rsid w:val="00A87CAE"/>
    <w:rsid w:val="00A87CD1"/>
    <w:rsid w:val="00A87CFD"/>
    <w:rsid w:val="00A87F1C"/>
    <w:rsid w:val="00A900A0"/>
    <w:rsid w:val="00A901A1"/>
    <w:rsid w:val="00A901B1"/>
    <w:rsid w:val="00A9027D"/>
    <w:rsid w:val="00A903D4"/>
    <w:rsid w:val="00A9042A"/>
    <w:rsid w:val="00A90470"/>
    <w:rsid w:val="00A90614"/>
    <w:rsid w:val="00A90626"/>
    <w:rsid w:val="00A906D0"/>
    <w:rsid w:val="00A90784"/>
    <w:rsid w:val="00A90857"/>
    <w:rsid w:val="00A90877"/>
    <w:rsid w:val="00A90952"/>
    <w:rsid w:val="00A9097B"/>
    <w:rsid w:val="00A90AE0"/>
    <w:rsid w:val="00A90B6B"/>
    <w:rsid w:val="00A90BEC"/>
    <w:rsid w:val="00A90C6A"/>
    <w:rsid w:val="00A90CE5"/>
    <w:rsid w:val="00A90D4A"/>
    <w:rsid w:val="00A90D4E"/>
    <w:rsid w:val="00A90D53"/>
    <w:rsid w:val="00A90D84"/>
    <w:rsid w:val="00A90DAE"/>
    <w:rsid w:val="00A9106B"/>
    <w:rsid w:val="00A911A6"/>
    <w:rsid w:val="00A911F2"/>
    <w:rsid w:val="00A912A9"/>
    <w:rsid w:val="00A91379"/>
    <w:rsid w:val="00A9137A"/>
    <w:rsid w:val="00A9138C"/>
    <w:rsid w:val="00A913E9"/>
    <w:rsid w:val="00A91448"/>
    <w:rsid w:val="00A9150C"/>
    <w:rsid w:val="00A915A3"/>
    <w:rsid w:val="00A915BF"/>
    <w:rsid w:val="00A916DA"/>
    <w:rsid w:val="00A917DF"/>
    <w:rsid w:val="00A91942"/>
    <w:rsid w:val="00A919E1"/>
    <w:rsid w:val="00A91A7B"/>
    <w:rsid w:val="00A91A7C"/>
    <w:rsid w:val="00A91D9A"/>
    <w:rsid w:val="00A91DE6"/>
    <w:rsid w:val="00A91DFE"/>
    <w:rsid w:val="00A91EA6"/>
    <w:rsid w:val="00A91ED0"/>
    <w:rsid w:val="00A92060"/>
    <w:rsid w:val="00A921C9"/>
    <w:rsid w:val="00A921FB"/>
    <w:rsid w:val="00A924A0"/>
    <w:rsid w:val="00A92622"/>
    <w:rsid w:val="00A9265F"/>
    <w:rsid w:val="00A92690"/>
    <w:rsid w:val="00A92760"/>
    <w:rsid w:val="00A927D0"/>
    <w:rsid w:val="00A927FF"/>
    <w:rsid w:val="00A9283F"/>
    <w:rsid w:val="00A92894"/>
    <w:rsid w:val="00A9290A"/>
    <w:rsid w:val="00A92917"/>
    <w:rsid w:val="00A9291E"/>
    <w:rsid w:val="00A9295A"/>
    <w:rsid w:val="00A92995"/>
    <w:rsid w:val="00A929CB"/>
    <w:rsid w:val="00A92A68"/>
    <w:rsid w:val="00A92A98"/>
    <w:rsid w:val="00A92C7E"/>
    <w:rsid w:val="00A92D7F"/>
    <w:rsid w:val="00A92DAD"/>
    <w:rsid w:val="00A92DBF"/>
    <w:rsid w:val="00A92EB9"/>
    <w:rsid w:val="00A93004"/>
    <w:rsid w:val="00A93070"/>
    <w:rsid w:val="00A9313A"/>
    <w:rsid w:val="00A93215"/>
    <w:rsid w:val="00A93255"/>
    <w:rsid w:val="00A9378C"/>
    <w:rsid w:val="00A93850"/>
    <w:rsid w:val="00A938BE"/>
    <w:rsid w:val="00A93952"/>
    <w:rsid w:val="00A93961"/>
    <w:rsid w:val="00A939C7"/>
    <w:rsid w:val="00A93AC7"/>
    <w:rsid w:val="00A93B6E"/>
    <w:rsid w:val="00A93BE1"/>
    <w:rsid w:val="00A93C08"/>
    <w:rsid w:val="00A93DC7"/>
    <w:rsid w:val="00A93F13"/>
    <w:rsid w:val="00A93F4E"/>
    <w:rsid w:val="00A93F7F"/>
    <w:rsid w:val="00A94099"/>
    <w:rsid w:val="00A9414D"/>
    <w:rsid w:val="00A94212"/>
    <w:rsid w:val="00A943AF"/>
    <w:rsid w:val="00A943D0"/>
    <w:rsid w:val="00A94459"/>
    <w:rsid w:val="00A94523"/>
    <w:rsid w:val="00A94526"/>
    <w:rsid w:val="00A94533"/>
    <w:rsid w:val="00A9457D"/>
    <w:rsid w:val="00A94697"/>
    <w:rsid w:val="00A94741"/>
    <w:rsid w:val="00A9475B"/>
    <w:rsid w:val="00A94850"/>
    <w:rsid w:val="00A94864"/>
    <w:rsid w:val="00A948FD"/>
    <w:rsid w:val="00A9498F"/>
    <w:rsid w:val="00A94B63"/>
    <w:rsid w:val="00A94B8F"/>
    <w:rsid w:val="00A94BE8"/>
    <w:rsid w:val="00A94DC2"/>
    <w:rsid w:val="00A94DF1"/>
    <w:rsid w:val="00A94F3D"/>
    <w:rsid w:val="00A94FAB"/>
    <w:rsid w:val="00A9511D"/>
    <w:rsid w:val="00A95123"/>
    <w:rsid w:val="00A9517D"/>
    <w:rsid w:val="00A951AD"/>
    <w:rsid w:val="00A951B7"/>
    <w:rsid w:val="00A9543A"/>
    <w:rsid w:val="00A95551"/>
    <w:rsid w:val="00A955BA"/>
    <w:rsid w:val="00A955C5"/>
    <w:rsid w:val="00A957EA"/>
    <w:rsid w:val="00A957FB"/>
    <w:rsid w:val="00A95800"/>
    <w:rsid w:val="00A95A14"/>
    <w:rsid w:val="00A95C04"/>
    <w:rsid w:val="00A95C19"/>
    <w:rsid w:val="00A95ED7"/>
    <w:rsid w:val="00A95F0E"/>
    <w:rsid w:val="00A95F1A"/>
    <w:rsid w:val="00A95F42"/>
    <w:rsid w:val="00A95F4A"/>
    <w:rsid w:val="00A960AA"/>
    <w:rsid w:val="00A9610C"/>
    <w:rsid w:val="00A961E9"/>
    <w:rsid w:val="00A96209"/>
    <w:rsid w:val="00A96333"/>
    <w:rsid w:val="00A963BE"/>
    <w:rsid w:val="00A964D8"/>
    <w:rsid w:val="00A96522"/>
    <w:rsid w:val="00A966CD"/>
    <w:rsid w:val="00A968C1"/>
    <w:rsid w:val="00A9694A"/>
    <w:rsid w:val="00A96981"/>
    <w:rsid w:val="00A969E8"/>
    <w:rsid w:val="00A96A5E"/>
    <w:rsid w:val="00A96ACC"/>
    <w:rsid w:val="00A96BDC"/>
    <w:rsid w:val="00A96C31"/>
    <w:rsid w:val="00A96C9A"/>
    <w:rsid w:val="00A96F0E"/>
    <w:rsid w:val="00A96F81"/>
    <w:rsid w:val="00A9701D"/>
    <w:rsid w:val="00A97127"/>
    <w:rsid w:val="00A971FD"/>
    <w:rsid w:val="00A97339"/>
    <w:rsid w:val="00A97347"/>
    <w:rsid w:val="00A9734D"/>
    <w:rsid w:val="00A9742B"/>
    <w:rsid w:val="00A97484"/>
    <w:rsid w:val="00A974EB"/>
    <w:rsid w:val="00A9758D"/>
    <w:rsid w:val="00A9759E"/>
    <w:rsid w:val="00A975A1"/>
    <w:rsid w:val="00A975C3"/>
    <w:rsid w:val="00A9772C"/>
    <w:rsid w:val="00A97767"/>
    <w:rsid w:val="00A977E6"/>
    <w:rsid w:val="00A977FB"/>
    <w:rsid w:val="00A9782E"/>
    <w:rsid w:val="00A978C3"/>
    <w:rsid w:val="00A978D3"/>
    <w:rsid w:val="00A9791E"/>
    <w:rsid w:val="00A97A28"/>
    <w:rsid w:val="00A97A82"/>
    <w:rsid w:val="00A97B94"/>
    <w:rsid w:val="00A97BFA"/>
    <w:rsid w:val="00A97E24"/>
    <w:rsid w:val="00A97E4A"/>
    <w:rsid w:val="00A97F86"/>
    <w:rsid w:val="00AA0013"/>
    <w:rsid w:val="00AA00A8"/>
    <w:rsid w:val="00AA012F"/>
    <w:rsid w:val="00AA0234"/>
    <w:rsid w:val="00AA0289"/>
    <w:rsid w:val="00AA0334"/>
    <w:rsid w:val="00AA03D9"/>
    <w:rsid w:val="00AA0444"/>
    <w:rsid w:val="00AA0465"/>
    <w:rsid w:val="00AA05B0"/>
    <w:rsid w:val="00AA060A"/>
    <w:rsid w:val="00AA06C2"/>
    <w:rsid w:val="00AA0778"/>
    <w:rsid w:val="00AA0829"/>
    <w:rsid w:val="00AA08CA"/>
    <w:rsid w:val="00AA0966"/>
    <w:rsid w:val="00AA0968"/>
    <w:rsid w:val="00AA09CA"/>
    <w:rsid w:val="00AA09DE"/>
    <w:rsid w:val="00AA0A83"/>
    <w:rsid w:val="00AA0ACA"/>
    <w:rsid w:val="00AA0B17"/>
    <w:rsid w:val="00AA0B24"/>
    <w:rsid w:val="00AA0BF6"/>
    <w:rsid w:val="00AA0C91"/>
    <w:rsid w:val="00AA0E04"/>
    <w:rsid w:val="00AA0E74"/>
    <w:rsid w:val="00AA0E89"/>
    <w:rsid w:val="00AA0E8D"/>
    <w:rsid w:val="00AA0F40"/>
    <w:rsid w:val="00AA105E"/>
    <w:rsid w:val="00AA1180"/>
    <w:rsid w:val="00AA1209"/>
    <w:rsid w:val="00AA12BF"/>
    <w:rsid w:val="00AA13D2"/>
    <w:rsid w:val="00AA152F"/>
    <w:rsid w:val="00AA157D"/>
    <w:rsid w:val="00AA15BE"/>
    <w:rsid w:val="00AA184B"/>
    <w:rsid w:val="00AA18D6"/>
    <w:rsid w:val="00AA1A5B"/>
    <w:rsid w:val="00AA1BF4"/>
    <w:rsid w:val="00AA1C02"/>
    <w:rsid w:val="00AA1C3D"/>
    <w:rsid w:val="00AA1E69"/>
    <w:rsid w:val="00AA1E7D"/>
    <w:rsid w:val="00AA1F1D"/>
    <w:rsid w:val="00AA1F30"/>
    <w:rsid w:val="00AA1F62"/>
    <w:rsid w:val="00AA1FC7"/>
    <w:rsid w:val="00AA219B"/>
    <w:rsid w:val="00AA21D6"/>
    <w:rsid w:val="00AA21FE"/>
    <w:rsid w:val="00AA225D"/>
    <w:rsid w:val="00AA2291"/>
    <w:rsid w:val="00AA2306"/>
    <w:rsid w:val="00AA2331"/>
    <w:rsid w:val="00AA2404"/>
    <w:rsid w:val="00AA2464"/>
    <w:rsid w:val="00AA2476"/>
    <w:rsid w:val="00AA24AC"/>
    <w:rsid w:val="00AA24BD"/>
    <w:rsid w:val="00AA251B"/>
    <w:rsid w:val="00AA25D6"/>
    <w:rsid w:val="00AA287E"/>
    <w:rsid w:val="00AA28B3"/>
    <w:rsid w:val="00AA28C3"/>
    <w:rsid w:val="00AA298F"/>
    <w:rsid w:val="00AA2994"/>
    <w:rsid w:val="00AA29E8"/>
    <w:rsid w:val="00AA2A66"/>
    <w:rsid w:val="00AA2ABD"/>
    <w:rsid w:val="00AA2B09"/>
    <w:rsid w:val="00AA2B55"/>
    <w:rsid w:val="00AA2BAC"/>
    <w:rsid w:val="00AA2C98"/>
    <w:rsid w:val="00AA2DDA"/>
    <w:rsid w:val="00AA2EF1"/>
    <w:rsid w:val="00AA2F3B"/>
    <w:rsid w:val="00AA2F56"/>
    <w:rsid w:val="00AA300C"/>
    <w:rsid w:val="00AA302B"/>
    <w:rsid w:val="00AA3064"/>
    <w:rsid w:val="00AA30C7"/>
    <w:rsid w:val="00AA31FB"/>
    <w:rsid w:val="00AA3252"/>
    <w:rsid w:val="00AA325D"/>
    <w:rsid w:val="00AA32CF"/>
    <w:rsid w:val="00AA3361"/>
    <w:rsid w:val="00AA339A"/>
    <w:rsid w:val="00AA342E"/>
    <w:rsid w:val="00AA35E2"/>
    <w:rsid w:val="00AA3684"/>
    <w:rsid w:val="00AA36E4"/>
    <w:rsid w:val="00AA3705"/>
    <w:rsid w:val="00AA3716"/>
    <w:rsid w:val="00AA375F"/>
    <w:rsid w:val="00AA37D0"/>
    <w:rsid w:val="00AA38BA"/>
    <w:rsid w:val="00AA3958"/>
    <w:rsid w:val="00AA3975"/>
    <w:rsid w:val="00AA3A15"/>
    <w:rsid w:val="00AA3ADF"/>
    <w:rsid w:val="00AA3C44"/>
    <w:rsid w:val="00AA3CB0"/>
    <w:rsid w:val="00AA3D6D"/>
    <w:rsid w:val="00AA3DED"/>
    <w:rsid w:val="00AA3EE7"/>
    <w:rsid w:val="00AA3F33"/>
    <w:rsid w:val="00AA3F4E"/>
    <w:rsid w:val="00AA3FC9"/>
    <w:rsid w:val="00AA40B7"/>
    <w:rsid w:val="00AA4129"/>
    <w:rsid w:val="00AA4131"/>
    <w:rsid w:val="00AA420E"/>
    <w:rsid w:val="00AA4236"/>
    <w:rsid w:val="00AA434C"/>
    <w:rsid w:val="00AA457A"/>
    <w:rsid w:val="00AA46A2"/>
    <w:rsid w:val="00AA4809"/>
    <w:rsid w:val="00AA493A"/>
    <w:rsid w:val="00AA4ADF"/>
    <w:rsid w:val="00AA4BCF"/>
    <w:rsid w:val="00AA4C4A"/>
    <w:rsid w:val="00AA4C76"/>
    <w:rsid w:val="00AA4CF9"/>
    <w:rsid w:val="00AA4D7C"/>
    <w:rsid w:val="00AA4DDD"/>
    <w:rsid w:val="00AA4F82"/>
    <w:rsid w:val="00AA503C"/>
    <w:rsid w:val="00AA50D7"/>
    <w:rsid w:val="00AA5100"/>
    <w:rsid w:val="00AA51CB"/>
    <w:rsid w:val="00AA51E7"/>
    <w:rsid w:val="00AA5229"/>
    <w:rsid w:val="00AA54C6"/>
    <w:rsid w:val="00AA568A"/>
    <w:rsid w:val="00AA5783"/>
    <w:rsid w:val="00AA5B3F"/>
    <w:rsid w:val="00AA5C88"/>
    <w:rsid w:val="00AA5F98"/>
    <w:rsid w:val="00AA6052"/>
    <w:rsid w:val="00AA611D"/>
    <w:rsid w:val="00AA616D"/>
    <w:rsid w:val="00AA6223"/>
    <w:rsid w:val="00AA6229"/>
    <w:rsid w:val="00AA625D"/>
    <w:rsid w:val="00AA64CC"/>
    <w:rsid w:val="00AA64DB"/>
    <w:rsid w:val="00AA64E1"/>
    <w:rsid w:val="00AA677C"/>
    <w:rsid w:val="00AA691A"/>
    <w:rsid w:val="00AA6AF8"/>
    <w:rsid w:val="00AA6C56"/>
    <w:rsid w:val="00AA6C75"/>
    <w:rsid w:val="00AA6C93"/>
    <w:rsid w:val="00AA6EAD"/>
    <w:rsid w:val="00AA6F4A"/>
    <w:rsid w:val="00AA7080"/>
    <w:rsid w:val="00AA7153"/>
    <w:rsid w:val="00AA722F"/>
    <w:rsid w:val="00AA7265"/>
    <w:rsid w:val="00AA733E"/>
    <w:rsid w:val="00AA73CE"/>
    <w:rsid w:val="00AA772B"/>
    <w:rsid w:val="00AA77DC"/>
    <w:rsid w:val="00AA786F"/>
    <w:rsid w:val="00AA7894"/>
    <w:rsid w:val="00AA79D9"/>
    <w:rsid w:val="00AA79F7"/>
    <w:rsid w:val="00AA7A78"/>
    <w:rsid w:val="00AA7A96"/>
    <w:rsid w:val="00AA7AFF"/>
    <w:rsid w:val="00AA7B06"/>
    <w:rsid w:val="00AA7B8B"/>
    <w:rsid w:val="00AA7E5F"/>
    <w:rsid w:val="00AA7EA5"/>
    <w:rsid w:val="00AA7F74"/>
    <w:rsid w:val="00AA7FB5"/>
    <w:rsid w:val="00AA96BC"/>
    <w:rsid w:val="00AB00BD"/>
    <w:rsid w:val="00AB00D1"/>
    <w:rsid w:val="00AB043C"/>
    <w:rsid w:val="00AB0481"/>
    <w:rsid w:val="00AB05F0"/>
    <w:rsid w:val="00AB0605"/>
    <w:rsid w:val="00AB090A"/>
    <w:rsid w:val="00AB091E"/>
    <w:rsid w:val="00AB09EE"/>
    <w:rsid w:val="00AB0B63"/>
    <w:rsid w:val="00AB0C41"/>
    <w:rsid w:val="00AB0C79"/>
    <w:rsid w:val="00AB0D0C"/>
    <w:rsid w:val="00AB0DF9"/>
    <w:rsid w:val="00AB1012"/>
    <w:rsid w:val="00AB1145"/>
    <w:rsid w:val="00AB1251"/>
    <w:rsid w:val="00AB1263"/>
    <w:rsid w:val="00AB12ED"/>
    <w:rsid w:val="00AB1340"/>
    <w:rsid w:val="00AB1362"/>
    <w:rsid w:val="00AB13C2"/>
    <w:rsid w:val="00AB1524"/>
    <w:rsid w:val="00AB15AB"/>
    <w:rsid w:val="00AB15C4"/>
    <w:rsid w:val="00AB16C6"/>
    <w:rsid w:val="00AB171E"/>
    <w:rsid w:val="00AB17D0"/>
    <w:rsid w:val="00AB1999"/>
    <w:rsid w:val="00AB1A89"/>
    <w:rsid w:val="00AB1AA8"/>
    <w:rsid w:val="00AB1B39"/>
    <w:rsid w:val="00AB1B87"/>
    <w:rsid w:val="00AB1BF9"/>
    <w:rsid w:val="00AB1C1E"/>
    <w:rsid w:val="00AB1C1F"/>
    <w:rsid w:val="00AB1C26"/>
    <w:rsid w:val="00AB1C8B"/>
    <w:rsid w:val="00AB1E6D"/>
    <w:rsid w:val="00AB2024"/>
    <w:rsid w:val="00AB2077"/>
    <w:rsid w:val="00AB21B5"/>
    <w:rsid w:val="00AB2365"/>
    <w:rsid w:val="00AB2366"/>
    <w:rsid w:val="00AB2388"/>
    <w:rsid w:val="00AB2399"/>
    <w:rsid w:val="00AB25BD"/>
    <w:rsid w:val="00AB267B"/>
    <w:rsid w:val="00AB2715"/>
    <w:rsid w:val="00AB27FE"/>
    <w:rsid w:val="00AB292A"/>
    <w:rsid w:val="00AB2B5B"/>
    <w:rsid w:val="00AB2E2D"/>
    <w:rsid w:val="00AB2E55"/>
    <w:rsid w:val="00AB2F32"/>
    <w:rsid w:val="00AB2F3D"/>
    <w:rsid w:val="00AB3238"/>
    <w:rsid w:val="00AB333F"/>
    <w:rsid w:val="00AB3461"/>
    <w:rsid w:val="00AB3607"/>
    <w:rsid w:val="00AB37D5"/>
    <w:rsid w:val="00AB39E2"/>
    <w:rsid w:val="00AB3B80"/>
    <w:rsid w:val="00AB3B8B"/>
    <w:rsid w:val="00AB3B95"/>
    <w:rsid w:val="00AB3C91"/>
    <w:rsid w:val="00AB3CDD"/>
    <w:rsid w:val="00AB3CFD"/>
    <w:rsid w:val="00AB3E8A"/>
    <w:rsid w:val="00AB3EB7"/>
    <w:rsid w:val="00AB3F83"/>
    <w:rsid w:val="00AB3FC6"/>
    <w:rsid w:val="00AB420D"/>
    <w:rsid w:val="00AB436F"/>
    <w:rsid w:val="00AB43F0"/>
    <w:rsid w:val="00AB447D"/>
    <w:rsid w:val="00AB453A"/>
    <w:rsid w:val="00AB4587"/>
    <w:rsid w:val="00AB45C9"/>
    <w:rsid w:val="00AB46F4"/>
    <w:rsid w:val="00AB4760"/>
    <w:rsid w:val="00AB490D"/>
    <w:rsid w:val="00AB4B8C"/>
    <w:rsid w:val="00AB4BF3"/>
    <w:rsid w:val="00AB4EDC"/>
    <w:rsid w:val="00AB4F40"/>
    <w:rsid w:val="00AB5175"/>
    <w:rsid w:val="00AB51B5"/>
    <w:rsid w:val="00AB53D6"/>
    <w:rsid w:val="00AB54A4"/>
    <w:rsid w:val="00AB55FD"/>
    <w:rsid w:val="00AB5680"/>
    <w:rsid w:val="00AB57A3"/>
    <w:rsid w:val="00AB57D5"/>
    <w:rsid w:val="00AB582C"/>
    <w:rsid w:val="00AB58B9"/>
    <w:rsid w:val="00AB594C"/>
    <w:rsid w:val="00AB5B23"/>
    <w:rsid w:val="00AB5B76"/>
    <w:rsid w:val="00AB5B9D"/>
    <w:rsid w:val="00AB5BCF"/>
    <w:rsid w:val="00AB5C5E"/>
    <w:rsid w:val="00AB5C78"/>
    <w:rsid w:val="00AB5CD2"/>
    <w:rsid w:val="00AB5CF3"/>
    <w:rsid w:val="00AB5DBD"/>
    <w:rsid w:val="00AB5DF8"/>
    <w:rsid w:val="00AB5DFA"/>
    <w:rsid w:val="00AB5E17"/>
    <w:rsid w:val="00AB5E65"/>
    <w:rsid w:val="00AB5E97"/>
    <w:rsid w:val="00AB6002"/>
    <w:rsid w:val="00AB617B"/>
    <w:rsid w:val="00AB630C"/>
    <w:rsid w:val="00AB63C4"/>
    <w:rsid w:val="00AB63FE"/>
    <w:rsid w:val="00AB6402"/>
    <w:rsid w:val="00AB655B"/>
    <w:rsid w:val="00AB6649"/>
    <w:rsid w:val="00AB668D"/>
    <w:rsid w:val="00AB670D"/>
    <w:rsid w:val="00AB6772"/>
    <w:rsid w:val="00AB678F"/>
    <w:rsid w:val="00AB67DE"/>
    <w:rsid w:val="00AB685A"/>
    <w:rsid w:val="00AB68AF"/>
    <w:rsid w:val="00AB68B9"/>
    <w:rsid w:val="00AB69E7"/>
    <w:rsid w:val="00AB6AA1"/>
    <w:rsid w:val="00AB6C72"/>
    <w:rsid w:val="00AB6C87"/>
    <w:rsid w:val="00AB6DD3"/>
    <w:rsid w:val="00AB6F5C"/>
    <w:rsid w:val="00AB709F"/>
    <w:rsid w:val="00AB717E"/>
    <w:rsid w:val="00AB7188"/>
    <w:rsid w:val="00AB723D"/>
    <w:rsid w:val="00AB725A"/>
    <w:rsid w:val="00AB7287"/>
    <w:rsid w:val="00AB729B"/>
    <w:rsid w:val="00AB72F7"/>
    <w:rsid w:val="00AB758C"/>
    <w:rsid w:val="00AB75F9"/>
    <w:rsid w:val="00AB760E"/>
    <w:rsid w:val="00AB7772"/>
    <w:rsid w:val="00AB778C"/>
    <w:rsid w:val="00AB7800"/>
    <w:rsid w:val="00AB7C82"/>
    <w:rsid w:val="00AB7D2D"/>
    <w:rsid w:val="00AB7D30"/>
    <w:rsid w:val="00AB7DDB"/>
    <w:rsid w:val="00AB7E02"/>
    <w:rsid w:val="00AB7F97"/>
    <w:rsid w:val="00AB7FC3"/>
    <w:rsid w:val="00AC0026"/>
    <w:rsid w:val="00AC011A"/>
    <w:rsid w:val="00AC011B"/>
    <w:rsid w:val="00AC01D9"/>
    <w:rsid w:val="00AC01F6"/>
    <w:rsid w:val="00AC01FA"/>
    <w:rsid w:val="00AC029D"/>
    <w:rsid w:val="00AC02D3"/>
    <w:rsid w:val="00AC0305"/>
    <w:rsid w:val="00AC03B6"/>
    <w:rsid w:val="00AC052C"/>
    <w:rsid w:val="00AC072E"/>
    <w:rsid w:val="00AC0732"/>
    <w:rsid w:val="00AC0784"/>
    <w:rsid w:val="00AC0C8A"/>
    <w:rsid w:val="00AC0D0E"/>
    <w:rsid w:val="00AC0D40"/>
    <w:rsid w:val="00AC0DC2"/>
    <w:rsid w:val="00AC0EDF"/>
    <w:rsid w:val="00AC0F43"/>
    <w:rsid w:val="00AC0FC5"/>
    <w:rsid w:val="00AC10C5"/>
    <w:rsid w:val="00AC111D"/>
    <w:rsid w:val="00AC1218"/>
    <w:rsid w:val="00AC123C"/>
    <w:rsid w:val="00AC12A2"/>
    <w:rsid w:val="00AC12E4"/>
    <w:rsid w:val="00AC137B"/>
    <w:rsid w:val="00AC14F8"/>
    <w:rsid w:val="00AC154C"/>
    <w:rsid w:val="00AC1624"/>
    <w:rsid w:val="00AC174B"/>
    <w:rsid w:val="00AC1756"/>
    <w:rsid w:val="00AC17EB"/>
    <w:rsid w:val="00AC1823"/>
    <w:rsid w:val="00AC189B"/>
    <w:rsid w:val="00AC18D4"/>
    <w:rsid w:val="00AC1A01"/>
    <w:rsid w:val="00AC1A29"/>
    <w:rsid w:val="00AC1A40"/>
    <w:rsid w:val="00AC1A68"/>
    <w:rsid w:val="00AC1BA0"/>
    <w:rsid w:val="00AC1C37"/>
    <w:rsid w:val="00AC1D61"/>
    <w:rsid w:val="00AC1DF0"/>
    <w:rsid w:val="00AC1F80"/>
    <w:rsid w:val="00AC20E7"/>
    <w:rsid w:val="00AC2181"/>
    <w:rsid w:val="00AC2210"/>
    <w:rsid w:val="00AC229D"/>
    <w:rsid w:val="00AC22D7"/>
    <w:rsid w:val="00AC23F1"/>
    <w:rsid w:val="00AC24A8"/>
    <w:rsid w:val="00AC2599"/>
    <w:rsid w:val="00AC2617"/>
    <w:rsid w:val="00AC2682"/>
    <w:rsid w:val="00AC28CA"/>
    <w:rsid w:val="00AC297E"/>
    <w:rsid w:val="00AC2AB0"/>
    <w:rsid w:val="00AC2AF2"/>
    <w:rsid w:val="00AC2B78"/>
    <w:rsid w:val="00AC2C1F"/>
    <w:rsid w:val="00AC2C69"/>
    <w:rsid w:val="00AC2CDB"/>
    <w:rsid w:val="00AC2FDC"/>
    <w:rsid w:val="00AC3218"/>
    <w:rsid w:val="00AC325F"/>
    <w:rsid w:val="00AC33B6"/>
    <w:rsid w:val="00AC3403"/>
    <w:rsid w:val="00AC35A1"/>
    <w:rsid w:val="00AC3676"/>
    <w:rsid w:val="00AC3682"/>
    <w:rsid w:val="00AC3796"/>
    <w:rsid w:val="00AC37D7"/>
    <w:rsid w:val="00AC3803"/>
    <w:rsid w:val="00AC3843"/>
    <w:rsid w:val="00AC39CF"/>
    <w:rsid w:val="00AC39F7"/>
    <w:rsid w:val="00AC3A8F"/>
    <w:rsid w:val="00AC3C05"/>
    <w:rsid w:val="00AC3CB5"/>
    <w:rsid w:val="00AC3D7F"/>
    <w:rsid w:val="00AC3EC2"/>
    <w:rsid w:val="00AC3ED4"/>
    <w:rsid w:val="00AC3F80"/>
    <w:rsid w:val="00AC3FE2"/>
    <w:rsid w:val="00AC40ED"/>
    <w:rsid w:val="00AC4119"/>
    <w:rsid w:val="00AC41BB"/>
    <w:rsid w:val="00AC41F3"/>
    <w:rsid w:val="00AC420E"/>
    <w:rsid w:val="00AC428B"/>
    <w:rsid w:val="00AC4357"/>
    <w:rsid w:val="00AC4391"/>
    <w:rsid w:val="00AC4464"/>
    <w:rsid w:val="00AC46B8"/>
    <w:rsid w:val="00AC4745"/>
    <w:rsid w:val="00AC47AD"/>
    <w:rsid w:val="00AC47BA"/>
    <w:rsid w:val="00AC4833"/>
    <w:rsid w:val="00AC49E0"/>
    <w:rsid w:val="00AC49F9"/>
    <w:rsid w:val="00AC4CAB"/>
    <w:rsid w:val="00AC4D4A"/>
    <w:rsid w:val="00AC4DE2"/>
    <w:rsid w:val="00AC4E14"/>
    <w:rsid w:val="00AC4EB8"/>
    <w:rsid w:val="00AC4F7B"/>
    <w:rsid w:val="00AC4FAF"/>
    <w:rsid w:val="00AC5117"/>
    <w:rsid w:val="00AC5122"/>
    <w:rsid w:val="00AC512F"/>
    <w:rsid w:val="00AC5170"/>
    <w:rsid w:val="00AC51A6"/>
    <w:rsid w:val="00AC524B"/>
    <w:rsid w:val="00AC527B"/>
    <w:rsid w:val="00AC529C"/>
    <w:rsid w:val="00AC5570"/>
    <w:rsid w:val="00AC5634"/>
    <w:rsid w:val="00AC583C"/>
    <w:rsid w:val="00AC589B"/>
    <w:rsid w:val="00AC5960"/>
    <w:rsid w:val="00AC59EF"/>
    <w:rsid w:val="00AC5A18"/>
    <w:rsid w:val="00AC5B7D"/>
    <w:rsid w:val="00AC5BE1"/>
    <w:rsid w:val="00AC5CA0"/>
    <w:rsid w:val="00AC5CD6"/>
    <w:rsid w:val="00AC5D6E"/>
    <w:rsid w:val="00AC5D90"/>
    <w:rsid w:val="00AC5FA6"/>
    <w:rsid w:val="00AC6238"/>
    <w:rsid w:val="00AC623C"/>
    <w:rsid w:val="00AC6448"/>
    <w:rsid w:val="00AC64F8"/>
    <w:rsid w:val="00AC6601"/>
    <w:rsid w:val="00AC6612"/>
    <w:rsid w:val="00AC669E"/>
    <w:rsid w:val="00AC676C"/>
    <w:rsid w:val="00AC677E"/>
    <w:rsid w:val="00AC67A5"/>
    <w:rsid w:val="00AC688C"/>
    <w:rsid w:val="00AC68D3"/>
    <w:rsid w:val="00AC694F"/>
    <w:rsid w:val="00AC697D"/>
    <w:rsid w:val="00AC69C3"/>
    <w:rsid w:val="00AC6ADE"/>
    <w:rsid w:val="00AC6E24"/>
    <w:rsid w:val="00AC6E84"/>
    <w:rsid w:val="00AC6F1E"/>
    <w:rsid w:val="00AC6F35"/>
    <w:rsid w:val="00AC7009"/>
    <w:rsid w:val="00AC7057"/>
    <w:rsid w:val="00AC7063"/>
    <w:rsid w:val="00AC7077"/>
    <w:rsid w:val="00AC7085"/>
    <w:rsid w:val="00AC7174"/>
    <w:rsid w:val="00AC71D9"/>
    <w:rsid w:val="00AC7443"/>
    <w:rsid w:val="00AC74AD"/>
    <w:rsid w:val="00AC75CB"/>
    <w:rsid w:val="00AC7696"/>
    <w:rsid w:val="00AC76A6"/>
    <w:rsid w:val="00AC76C7"/>
    <w:rsid w:val="00AC7715"/>
    <w:rsid w:val="00AC77AB"/>
    <w:rsid w:val="00AC7879"/>
    <w:rsid w:val="00AC78FF"/>
    <w:rsid w:val="00AC7936"/>
    <w:rsid w:val="00AC7A20"/>
    <w:rsid w:val="00AC7A7E"/>
    <w:rsid w:val="00AC7C3F"/>
    <w:rsid w:val="00AC7D78"/>
    <w:rsid w:val="00AC7DBA"/>
    <w:rsid w:val="00AC7DD1"/>
    <w:rsid w:val="00AC7DEB"/>
    <w:rsid w:val="00AC7FCD"/>
    <w:rsid w:val="00AD005A"/>
    <w:rsid w:val="00AD0100"/>
    <w:rsid w:val="00AD01EF"/>
    <w:rsid w:val="00AD0310"/>
    <w:rsid w:val="00AD0445"/>
    <w:rsid w:val="00AD0536"/>
    <w:rsid w:val="00AD05F1"/>
    <w:rsid w:val="00AD0670"/>
    <w:rsid w:val="00AD06EC"/>
    <w:rsid w:val="00AD07D2"/>
    <w:rsid w:val="00AD0A70"/>
    <w:rsid w:val="00AD0B51"/>
    <w:rsid w:val="00AD0C89"/>
    <w:rsid w:val="00AD0D89"/>
    <w:rsid w:val="00AD0DA2"/>
    <w:rsid w:val="00AD0FE4"/>
    <w:rsid w:val="00AD107C"/>
    <w:rsid w:val="00AD112F"/>
    <w:rsid w:val="00AD1187"/>
    <w:rsid w:val="00AD1206"/>
    <w:rsid w:val="00AD12C9"/>
    <w:rsid w:val="00AD1348"/>
    <w:rsid w:val="00AD139B"/>
    <w:rsid w:val="00AD139F"/>
    <w:rsid w:val="00AD1440"/>
    <w:rsid w:val="00AD14AD"/>
    <w:rsid w:val="00AD15EE"/>
    <w:rsid w:val="00AD1843"/>
    <w:rsid w:val="00AD19DC"/>
    <w:rsid w:val="00AD1A26"/>
    <w:rsid w:val="00AD1AD2"/>
    <w:rsid w:val="00AD1B83"/>
    <w:rsid w:val="00AD1BF8"/>
    <w:rsid w:val="00AD1C67"/>
    <w:rsid w:val="00AD1CDB"/>
    <w:rsid w:val="00AD1E18"/>
    <w:rsid w:val="00AD1EEF"/>
    <w:rsid w:val="00AD1F64"/>
    <w:rsid w:val="00AD215D"/>
    <w:rsid w:val="00AD226F"/>
    <w:rsid w:val="00AD23F3"/>
    <w:rsid w:val="00AD242F"/>
    <w:rsid w:val="00AD2582"/>
    <w:rsid w:val="00AD2705"/>
    <w:rsid w:val="00AD2753"/>
    <w:rsid w:val="00AD2844"/>
    <w:rsid w:val="00AD2873"/>
    <w:rsid w:val="00AD28AC"/>
    <w:rsid w:val="00AD28F4"/>
    <w:rsid w:val="00AD29A9"/>
    <w:rsid w:val="00AD29F7"/>
    <w:rsid w:val="00AD2A02"/>
    <w:rsid w:val="00AD2A6C"/>
    <w:rsid w:val="00AD2B0F"/>
    <w:rsid w:val="00AD2B23"/>
    <w:rsid w:val="00AD2B3D"/>
    <w:rsid w:val="00AD2BB9"/>
    <w:rsid w:val="00AD2C0D"/>
    <w:rsid w:val="00AD2D6F"/>
    <w:rsid w:val="00AD2DD8"/>
    <w:rsid w:val="00AD2ED5"/>
    <w:rsid w:val="00AD2EEF"/>
    <w:rsid w:val="00AD2EF7"/>
    <w:rsid w:val="00AD3317"/>
    <w:rsid w:val="00AD3318"/>
    <w:rsid w:val="00AD343C"/>
    <w:rsid w:val="00AD3726"/>
    <w:rsid w:val="00AD37BF"/>
    <w:rsid w:val="00AD386E"/>
    <w:rsid w:val="00AD38B3"/>
    <w:rsid w:val="00AD3914"/>
    <w:rsid w:val="00AD399A"/>
    <w:rsid w:val="00AD3AEA"/>
    <w:rsid w:val="00AD3B48"/>
    <w:rsid w:val="00AD3C05"/>
    <w:rsid w:val="00AD3C42"/>
    <w:rsid w:val="00AD3CD4"/>
    <w:rsid w:val="00AD3D94"/>
    <w:rsid w:val="00AD3E6B"/>
    <w:rsid w:val="00AD3EB0"/>
    <w:rsid w:val="00AD409C"/>
    <w:rsid w:val="00AD416E"/>
    <w:rsid w:val="00AD41FC"/>
    <w:rsid w:val="00AD4379"/>
    <w:rsid w:val="00AD441F"/>
    <w:rsid w:val="00AD44FC"/>
    <w:rsid w:val="00AD4553"/>
    <w:rsid w:val="00AD4567"/>
    <w:rsid w:val="00AD464E"/>
    <w:rsid w:val="00AD4667"/>
    <w:rsid w:val="00AD475B"/>
    <w:rsid w:val="00AD47B7"/>
    <w:rsid w:val="00AD49E7"/>
    <w:rsid w:val="00AD4A15"/>
    <w:rsid w:val="00AD4A63"/>
    <w:rsid w:val="00AD4BA1"/>
    <w:rsid w:val="00AD4C42"/>
    <w:rsid w:val="00AD4CDE"/>
    <w:rsid w:val="00AD4DBB"/>
    <w:rsid w:val="00AD5039"/>
    <w:rsid w:val="00AD5058"/>
    <w:rsid w:val="00AD5102"/>
    <w:rsid w:val="00AD5177"/>
    <w:rsid w:val="00AD5220"/>
    <w:rsid w:val="00AD5254"/>
    <w:rsid w:val="00AD5315"/>
    <w:rsid w:val="00AD5426"/>
    <w:rsid w:val="00AD5436"/>
    <w:rsid w:val="00AD54C1"/>
    <w:rsid w:val="00AD56E5"/>
    <w:rsid w:val="00AD57B3"/>
    <w:rsid w:val="00AD5994"/>
    <w:rsid w:val="00AD599B"/>
    <w:rsid w:val="00AD59AB"/>
    <w:rsid w:val="00AD59C3"/>
    <w:rsid w:val="00AD5AB2"/>
    <w:rsid w:val="00AD5AFB"/>
    <w:rsid w:val="00AD5BA5"/>
    <w:rsid w:val="00AD5C8A"/>
    <w:rsid w:val="00AD5CCE"/>
    <w:rsid w:val="00AD5CEA"/>
    <w:rsid w:val="00AD5D6F"/>
    <w:rsid w:val="00AD5DA5"/>
    <w:rsid w:val="00AD5E42"/>
    <w:rsid w:val="00AD5F3E"/>
    <w:rsid w:val="00AD5F5B"/>
    <w:rsid w:val="00AD60D9"/>
    <w:rsid w:val="00AD6121"/>
    <w:rsid w:val="00AD6146"/>
    <w:rsid w:val="00AD61EF"/>
    <w:rsid w:val="00AD64F4"/>
    <w:rsid w:val="00AD6598"/>
    <w:rsid w:val="00AD670A"/>
    <w:rsid w:val="00AD687C"/>
    <w:rsid w:val="00AD69B1"/>
    <w:rsid w:val="00AD6A55"/>
    <w:rsid w:val="00AD6B52"/>
    <w:rsid w:val="00AD6C7F"/>
    <w:rsid w:val="00AD6C88"/>
    <w:rsid w:val="00AD6DFE"/>
    <w:rsid w:val="00AD6E8E"/>
    <w:rsid w:val="00AD6EC0"/>
    <w:rsid w:val="00AD6F93"/>
    <w:rsid w:val="00AD6FE8"/>
    <w:rsid w:val="00AD70C1"/>
    <w:rsid w:val="00AD720E"/>
    <w:rsid w:val="00AD7250"/>
    <w:rsid w:val="00AD733B"/>
    <w:rsid w:val="00AD736F"/>
    <w:rsid w:val="00AD73AD"/>
    <w:rsid w:val="00AD7424"/>
    <w:rsid w:val="00AD7442"/>
    <w:rsid w:val="00AD74C1"/>
    <w:rsid w:val="00AD7518"/>
    <w:rsid w:val="00AD7563"/>
    <w:rsid w:val="00AD75E3"/>
    <w:rsid w:val="00AD7658"/>
    <w:rsid w:val="00AD76E7"/>
    <w:rsid w:val="00AD783F"/>
    <w:rsid w:val="00AD788F"/>
    <w:rsid w:val="00AD78D0"/>
    <w:rsid w:val="00AD78E9"/>
    <w:rsid w:val="00AD7904"/>
    <w:rsid w:val="00AD7A12"/>
    <w:rsid w:val="00AD7A8E"/>
    <w:rsid w:val="00AD7B1D"/>
    <w:rsid w:val="00AD7D60"/>
    <w:rsid w:val="00AD7D66"/>
    <w:rsid w:val="00AD7DD6"/>
    <w:rsid w:val="00AD7E17"/>
    <w:rsid w:val="00AD7F4C"/>
    <w:rsid w:val="00AD7F86"/>
    <w:rsid w:val="00AD7FDC"/>
    <w:rsid w:val="00AE000B"/>
    <w:rsid w:val="00AE021F"/>
    <w:rsid w:val="00AE027D"/>
    <w:rsid w:val="00AE0361"/>
    <w:rsid w:val="00AE047D"/>
    <w:rsid w:val="00AE04FD"/>
    <w:rsid w:val="00AE064F"/>
    <w:rsid w:val="00AE0730"/>
    <w:rsid w:val="00AE080B"/>
    <w:rsid w:val="00AE08AF"/>
    <w:rsid w:val="00AE0950"/>
    <w:rsid w:val="00AE0B4F"/>
    <w:rsid w:val="00AE0B7A"/>
    <w:rsid w:val="00AE0BD8"/>
    <w:rsid w:val="00AE0BE4"/>
    <w:rsid w:val="00AE0D1F"/>
    <w:rsid w:val="00AE0DE8"/>
    <w:rsid w:val="00AE0E3D"/>
    <w:rsid w:val="00AE0E8B"/>
    <w:rsid w:val="00AE106F"/>
    <w:rsid w:val="00AE108F"/>
    <w:rsid w:val="00AE1098"/>
    <w:rsid w:val="00AE10FB"/>
    <w:rsid w:val="00AE1180"/>
    <w:rsid w:val="00AE1540"/>
    <w:rsid w:val="00AE15DB"/>
    <w:rsid w:val="00AE15E3"/>
    <w:rsid w:val="00AE1628"/>
    <w:rsid w:val="00AE1786"/>
    <w:rsid w:val="00AE1797"/>
    <w:rsid w:val="00AE1872"/>
    <w:rsid w:val="00AE1913"/>
    <w:rsid w:val="00AE1958"/>
    <w:rsid w:val="00AE197F"/>
    <w:rsid w:val="00AE1B0A"/>
    <w:rsid w:val="00AE1BF9"/>
    <w:rsid w:val="00AE1C8B"/>
    <w:rsid w:val="00AE1C8F"/>
    <w:rsid w:val="00AE1D75"/>
    <w:rsid w:val="00AE1DF8"/>
    <w:rsid w:val="00AE221B"/>
    <w:rsid w:val="00AE2286"/>
    <w:rsid w:val="00AE22D8"/>
    <w:rsid w:val="00AE2400"/>
    <w:rsid w:val="00AE245C"/>
    <w:rsid w:val="00AE24B2"/>
    <w:rsid w:val="00AE25FF"/>
    <w:rsid w:val="00AE2781"/>
    <w:rsid w:val="00AE29C0"/>
    <w:rsid w:val="00AE2A5A"/>
    <w:rsid w:val="00AE2A99"/>
    <w:rsid w:val="00AE2B27"/>
    <w:rsid w:val="00AE2BC4"/>
    <w:rsid w:val="00AE2CFB"/>
    <w:rsid w:val="00AE2D62"/>
    <w:rsid w:val="00AE2DA6"/>
    <w:rsid w:val="00AE2F0E"/>
    <w:rsid w:val="00AE2F20"/>
    <w:rsid w:val="00AE2FEE"/>
    <w:rsid w:val="00AE30B0"/>
    <w:rsid w:val="00AE31A5"/>
    <w:rsid w:val="00AE31AE"/>
    <w:rsid w:val="00AE3245"/>
    <w:rsid w:val="00AE3361"/>
    <w:rsid w:val="00AE3366"/>
    <w:rsid w:val="00AE35B2"/>
    <w:rsid w:val="00AE36A6"/>
    <w:rsid w:val="00AE3720"/>
    <w:rsid w:val="00AE3750"/>
    <w:rsid w:val="00AE376E"/>
    <w:rsid w:val="00AE3A59"/>
    <w:rsid w:val="00AE3AA3"/>
    <w:rsid w:val="00AE3ADB"/>
    <w:rsid w:val="00AE3B0D"/>
    <w:rsid w:val="00AE3B2B"/>
    <w:rsid w:val="00AE3BAF"/>
    <w:rsid w:val="00AE3C0B"/>
    <w:rsid w:val="00AE3C15"/>
    <w:rsid w:val="00AE3CAE"/>
    <w:rsid w:val="00AE3CB8"/>
    <w:rsid w:val="00AE3D2F"/>
    <w:rsid w:val="00AE3DA8"/>
    <w:rsid w:val="00AE3E52"/>
    <w:rsid w:val="00AE3EC6"/>
    <w:rsid w:val="00AE3FAD"/>
    <w:rsid w:val="00AE4104"/>
    <w:rsid w:val="00AE417F"/>
    <w:rsid w:val="00AE4306"/>
    <w:rsid w:val="00AE4366"/>
    <w:rsid w:val="00AE4674"/>
    <w:rsid w:val="00AE46F4"/>
    <w:rsid w:val="00AE46FE"/>
    <w:rsid w:val="00AE47D4"/>
    <w:rsid w:val="00AE47E7"/>
    <w:rsid w:val="00AE4818"/>
    <w:rsid w:val="00AE4928"/>
    <w:rsid w:val="00AE4A80"/>
    <w:rsid w:val="00AE4B1B"/>
    <w:rsid w:val="00AE4BFB"/>
    <w:rsid w:val="00AE4D3D"/>
    <w:rsid w:val="00AE4D5A"/>
    <w:rsid w:val="00AE4E2E"/>
    <w:rsid w:val="00AE4E7C"/>
    <w:rsid w:val="00AE4EA7"/>
    <w:rsid w:val="00AE4FB5"/>
    <w:rsid w:val="00AE5037"/>
    <w:rsid w:val="00AE53E9"/>
    <w:rsid w:val="00AE5470"/>
    <w:rsid w:val="00AE54B8"/>
    <w:rsid w:val="00AE5757"/>
    <w:rsid w:val="00AE5856"/>
    <w:rsid w:val="00AE5972"/>
    <w:rsid w:val="00AE59B4"/>
    <w:rsid w:val="00AE5BF7"/>
    <w:rsid w:val="00AE5C6C"/>
    <w:rsid w:val="00AE5E30"/>
    <w:rsid w:val="00AE5E32"/>
    <w:rsid w:val="00AE5E97"/>
    <w:rsid w:val="00AE5F1B"/>
    <w:rsid w:val="00AE602C"/>
    <w:rsid w:val="00AE60E5"/>
    <w:rsid w:val="00AE6353"/>
    <w:rsid w:val="00AE637D"/>
    <w:rsid w:val="00AE6391"/>
    <w:rsid w:val="00AE639A"/>
    <w:rsid w:val="00AE642E"/>
    <w:rsid w:val="00AE6495"/>
    <w:rsid w:val="00AE64D2"/>
    <w:rsid w:val="00AE6591"/>
    <w:rsid w:val="00AE65E6"/>
    <w:rsid w:val="00AE66C6"/>
    <w:rsid w:val="00AE673E"/>
    <w:rsid w:val="00AE6819"/>
    <w:rsid w:val="00AE68F2"/>
    <w:rsid w:val="00AE6949"/>
    <w:rsid w:val="00AE695D"/>
    <w:rsid w:val="00AE69CD"/>
    <w:rsid w:val="00AE69FD"/>
    <w:rsid w:val="00AE6A7B"/>
    <w:rsid w:val="00AE6B21"/>
    <w:rsid w:val="00AE6F16"/>
    <w:rsid w:val="00AE6F92"/>
    <w:rsid w:val="00AE70E7"/>
    <w:rsid w:val="00AE7245"/>
    <w:rsid w:val="00AE73DA"/>
    <w:rsid w:val="00AE73E5"/>
    <w:rsid w:val="00AE7408"/>
    <w:rsid w:val="00AE7434"/>
    <w:rsid w:val="00AE7468"/>
    <w:rsid w:val="00AE752D"/>
    <w:rsid w:val="00AE7610"/>
    <w:rsid w:val="00AE7674"/>
    <w:rsid w:val="00AE769A"/>
    <w:rsid w:val="00AE7848"/>
    <w:rsid w:val="00AE7964"/>
    <w:rsid w:val="00AE7987"/>
    <w:rsid w:val="00AE7AEC"/>
    <w:rsid w:val="00AE7B37"/>
    <w:rsid w:val="00AE7C9E"/>
    <w:rsid w:val="00AE7CAA"/>
    <w:rsid w:val="00AE7CF5"/>
    <w:rsid w:val="00AE7E16"/>
    <w:rsid w:val="00AE7F13"/>
    <w:rsid w:val="00AF029A"/>
    <w:rsid w:val="00AF037A"/>
    <w:rsid w:val="00AF04BC"/>
    <w:rsid w:val="00AF04D1"/>
    <w:rsid w:val="00AF0631"/>
    <w:rsid w:val="00AF0642"/>
    <w:rsid w:val="00AF0688"/>
    <w:rsid w:val="00AF082E"/>
    <w:rsid w:val="00AF0878"/>
    <w:rsid w:val="00AF0A0C"/>
    <w:rsid w:val="00AF0B30"/>
    <w:rsid w:val="00AF0C73"/>
    <w:rsid w:val="00AF0CF9"/>
    <w:rsid w:val="00AF0E2A"/>
    <w:rsid w:val="00AF0E62"/>
    <w:rsid w:val="00AF0EC0"/>
    <w:rsid w:val="00AF0F46"/>
    <w:rsid w:val="00AF1044"/>
    <w:rsid w:val="00AF109A"/>
    <w:rsid w:val="00AF1171"/>
    <w:rsid w:val="00AF11B7"/>
    <w:rsid w:val="00AF13B8"/>
    <w:rsid w:val="00AF13CE"/>
    <w:rsid w:val="00AF1440"/>
    <w:rsid w:val="00AF1577"/>
    <w:rsid w:val="00AF15AA"/>
    <w:rsid w:val="00AF15FD"/>
    <w:rsid w:val="00AF164C"/>
    <w:rsid w:val="00AF16E2"/>
    <w:rsid w:val="00AF16F3"/>
    <w:rsid w:val="00AF19CB"/>
    <w:rsid w:val="00AF1A00"/>
    <w:rsid w:val="00AF1A19"/>
    <w:rsid w:val="00AF1B44"/>
    <w:rsid w:val="00AF1B6C"/>
    <w:rsid w:val="00AF1BF3"/>
    <w:rsid w:val="00AF1C4D"/>
    <w:rsid w:val="00AF1D4B"/>
    <w:rsid w:val="00AF1DE3"/>
    <w:rsid w:val="00AF1EEE"/>
    <w:rsid w:val="00AF207B"/>
    <w:rsid w:val="00AF20F3"/>
    <w:rsid w:val="00AF20F4"/>
    <w:rsid w:val="00AF2163"/>
    <w:rsid w:val="00AF221D"/>
    <w:rsid w:val="00AF223E"/>
    <w:rsid w:val="00AF2248"/>
    <w:rsid w:val="00AF2464"/>
    <w:rsid w:val="00AF24AB"/>
    <w:rsid w:val="00AF262F"/>
    <w:rsid w:val="00AF2669"/>
    <w:rsid w:val="00AF2748"/>
    <w:rsid w:val="00AF274A"/>
    <w:rsid w:val="00AF2784"/>
    <w:rsid w:val="00AF27D2"/>
    <w:rsid w:val="00AF2849"/>
    <w:rsid w:val="00AF2861"/>
    <w:rsid w:val="00AF29F7"/>
    <w:rsid w:val="00AF2B6C"/>
    <w:rsid w:val="00AF2C25"/>
    <w:rsid w:val="00AF2CFA"/>
    <w:rsid w:val="00AF2D57"/>
    <w:rsid w:val="00AF2D83"/>
    <w:rsid w:val="00AF2EEB"/>
    <w:rsid w:val="00AF2F28"/>
    <w:rsid w:val="00AF2FDB"/>
    <w:rsid w:val="00AF307D"/>
    <w:rsid w:val="00AF31D0"/>
    <w:rsid w:val="00AF32B7"/>
    <w:rsid w:val="00AF3355"/>
    <w:rsid w:val="00AF3392"/>
    <w:rsid w:val="00AF3590"/>
    <w:rsid w:val="00AF35F9"/>
    <w:rsid w:val="00AF3878"/>
    <w:rsid w:val="00AF3907"/>
    <w:rsid w:val="00AF3A37"/>
    <w:rsid w:val="00AF3ACA"/>
    <w:rsid w:val="00AF3CD7"/>
    <w:rsid w:val="00AF3F34"/>
    <w:rsid w:val="00AF4095"/>
    <w:rsid w:val="00AF4107"/>
    <w:rsid w:val="00AF418E"/>
    <w:rsid w:val="00AF41BC"/>
    <w:rsid w:val="00AF41BD"/>
    <w:rsid w:val="00AF4208"/>
    <w:rsid w:val="00AF44F3"/>
    <w:rsid w:val="00AF45A6"/>
    <w:rsid w:val="00AF45AF"/>
    <w:rsid w:val="00AF473E"/>
    <w:rsid w:val="00AF4961"/>
    <w:rsid w:val="00AF49C4"/>
    <w:rsid w:val="00AF4A50"/>
    <w:rsid w:val="00AF4B48"/>
    <w:rsid w:val="00AF4D45"/>
    <w:rsid w:val="00AF4F0E"/>
    <w:rsid w:val="00AF4FD1"/>
    <w:rsid w:val="00AF50B9"/>
    <w:rsid w:val="00AF5115"/>
    <w:rsid w:val="00AF51D9"/>
    <w:rsid w:val="00AF5321"/>
    <w:rsid w:val="00AF538C"/>
    <w:rsid w:val="00AF53D9"/>
    <w:rsid w:val="00AF5546"/>
    <w:rsid w:val="00AF557E"/>
    <w:rsid w:val="00AF5613"/>
    <w:rsid w:val="00AF5700"/>
    <w:rsid w:val="00AF5761"/>
    <w:rsid w:val="00AF57A7"/>
    <w:rsid w:val="00AF580B"/>
    <w:rsid w:val="00AF5895"/>
    <w:rsid w:val="00AF58F5"/>
    <w:rsid w:val="00AF5933"/>
    <w:rsid w:val="00AF5C30"/>
    <w:rsid w:val="00AF5C93"/>
    <w:rsid w:val="00AF5D02"/>
    <w:rsid w:val="00AF5E26"/>
    <w:rsid w:val="00AF5EE0"/>
    <w:rsid w:val="00AF5EF3"/>
    <w:rsid w:val="00AF6055"/>
    <w:rsid w:val="00AF60AA"/>
    <w:rsid w:val="00AF617A"/>
    <w:rsid w:val="00AF61D3"/>
    <w:rsid w:val="00AF626C"/>
    <w:rsid w:val="00AF628A"/>
    <w:rsid w:val="00AF6315"/>
    <w:rsid w:val="00AF6418"/>
    <w:rsid w:val="00AF64F4"/>
    <w:rsid w:val="00AF66BE"/>
    <w:rsid w:val="00AF66D7"/>
    <w:rsid w:val="00AF6769"/>
    <w:rsid w:val="00AF6806"/>
    <w:rsid w:val="00AF688E"/>
    <w:rsid w:val="00AF68AF"/>
    <w:rsid w:val="00AF695F"/>
    <w:rsid w:val="00AF6A7C"/>
    <w:rsid w:val="00AF6E24"/>
    <w:rsid w:val="00AF6FE9"/>
    <w:rsid w:val="00AF701B"/>
    <w:rsid w:val="00AF7128"/>
    <w:rsid w:val="00AF7161"/>
    <w:rsid w:val="00AF7283"/>
    <w:rsid w:val="00AF73A9"/>
    <w:rsid w:val="00AF73F4"/>
    <w:rsid w:val="00AF74B9"/>
    <w:rsid w:val="00AF7504"/>
    <w:rsid w:val="00AF75ED"/>
    <w:rsid w:val="00AF764C"/>
    <w:rsid w:val="00AF77BC"/>
    <w:rsid w:val="00AF78B8"/>
    <w:rsid w:val="00AF7D9D"/>
    <w:rsid w:val="00AF7F72"/>
    <w:rsid w:val="00AF7FB3"/>
    <w:rsid w:val="00B00005"/>
    <w:rsid w:val="00B00027"/>
    <w:rsid w:val="00B00074"/>
    <w:rsid w:val="00B0009B"/>
    <w:rsid w:val="00B000B0"/>
    <w:rsid w:val="00B000BF"/>
    <w:rsid w:val="00B000DA"/>
    <w:rsid w:val="00B002DE"/>
    <w:rsid w:val="00B00434"/>
    <w:rsid w:val="00B004E2"/>
    <w:rsid w:val="00B00666"/>
    <w:rsid w:val="00B00714"/>
    <w:rsid w:val="00B00750"/>
    <w:rsid w:val="00B007EB"/>
    <w:rsid w:val="00B008A4"/>
    <w:rsid w:val="00B00AD8"/>
    <w:rsid w:val="00B00B05"/>
    <w:rsid w:val="00B00B89"/>
    <w:rsid w:val="00B00DD2"/>
    <w:rsid w:val="00B00E62"/>
    <w:rsid w:val="00B00FBD"/>
    <w:rsid w:val="00B01020"/>
    <w:rsid w:val="00B01028"/>
    <w:rsid w:val="00B01057"/>
    <w:rsid w:val="00B0115A"/>
    <w:rsid w:val="00B0131E"/>
    <w:rsid w:val="00B015E5"/>
    <w:rsid w:val="00B017B4"/>
    <w:rsid w:val="00B0196B"/>
    <w:rsid w:val="00B01A75"/>
    <w:rsid w:val="00B01BAB"/>
    <w:rsid w:val="00B01C93"/>
    <w:rsid w:val="00B01CF7"/>
    <w:rsid w:val="00B01DF8"/>
    <w:rsid w:val="00B02043"/>
    <w:rsid w:val="00B02185"/>
    <w:rsid w:val="00B02195"/>
    <w:rsid w:val="00B0234E"/>
    <w:rsid w:val="00B023A7"/>
    <w:rsid w:val="00B02437"/>
    <w:rsid w:val="00B02570"/>
    <w:rsid w:val="00B02581"/>
    <w:rsid w:val="00B02650"/>
    <w:rsid w:val="00B02678"/>
    <w:rsid w:val="00B02735"/>
    <w:rsid w:val="00B0273C"/>
    <w:rsid w:val="00B028A0"/>
    <w:rsid w:val="00B029C8"/>
    <w:rsid w:val="00B02A0D"/>
    <w:rsid w:val="00B02A19"/>
    <w:rsid w:val="00B02ABC"/>
    <w:rsid w:val="00B02BCB"/>
    <w:rsid w:val="00B02D1C"/>
    <w:rsid w:val="00B02E10"/>
    <w:rsid w:val="00B02E5E"/>
    <w:rsid w:val="00B02EF0"/>
    <w:rsid w:val="00B02FBE"/>
    <w:rsid w:val="00B03020"/>
    <w:rsid w:val="00B03028"/>
    <w:rsid w:val="00B030F2"/>
    <w:rsid w:val="00B0313F"/>
    <w:rsid w:val="00B031BF"/>
    <w:rsid w:val="00B03590"/>
    <w:rsid w:val="00B03644"/>
    <w:rsid w:val="00B03723"/>
    <w:rsid w:val="00B03740"/>
    <w:rsid w:val="00B03841"/>
    <w:rsid w:val="00B039A6"/>
    <w:rsid w:val="00B039D7"/>
    <w:rsid w:val="00B03BAC"/>
    <w:rsid w:val="00B03C70"/>
    <w:rsid w:val="00B03DE8"/>
    <w:rsid w:val="00B03F72"/>
    <w:rsid w:val="00B04063"/>
    <w:rsid w:val="00B04064"/>
    <w:rsid w:val="00B0411B"/>
    <w:rsid w:val="00B0417F"/>
    <w:rsid w:val="00B041AF"/>
    <w:rsid w:val="00B042CD"/>
    <w:rsid w:val="00B0438A"/>
    <w:rsid w:val="00B043F1"/>
    <w:rsid w:val="00B04486"/>
    <w:rsid w:val="00B045B6"/>
    <w:rsid w:val="00B04611"/>
    <w:rsid w:val="00B04613"/>
    <w:rsid w:val="00B04675"/>
    <w:rsid w:val="00B047C6"/>
    <w:rsid w:val="00B047E6"/>
    <w:rsid w:val="00B04858"/>
    <w:rsid w:val="00B0485D"/>
    <w:rsid w:val="00B0491F"/>
    <w:rsid w:val="00B049B5"/>
    <w:rsid w:val="00B04A94"/>
    <w:rsid w:val="00B04AA8"/>
    <w:rsid w:val="00B04AF2"/>
    <w:rsid w:val="00B04AF3"/>
    <w:rsid w:val="00B04B82"/>
    <w:rsid w:val="00B04D1B"/>
    <w:rsid w:val="00B04DE7"/>
    <w:rsid w:val="00B04FA1"/>
    <w:rsid w:val="00B05168"/>
    <w:rsid w:val="00B0522B"/>
    <w:rsid w:val="00B05283"/>
    <w:rsid w:val="00B05339"/>
    <w:rsid w:val="00B05363"/>
    <w:rsid w:val="00B053AD"/>
    <w:rsid w:val="00B0549A"/>
    <w:rsid w:val="00B0555A"/>
    <w:rsid w:val="00B0582C"/>
    <w:rsid w:val="00B05978"/>
    <w:rsid w:val="00B05B62"/>
    <w:rsid w:val="00B05B76"/>
    <w:rsid w:val="00B05CDE"/>
    <w:rsid w:val="00B05D20"/>
    <w:rsid w:val="00B05D66"/>
    <w:rsid w:val="00B05D8A"/>
    <w:rsid w:val="00B05E05"/>
    <w:rsid w:val="00B05E49"/>
    <w:rsid w:val="00B05EA1"/>
    <w:rsid w:val="00B060FE"/>
    <w:rsid w:val="00B06128"/>
    <w:rsid w:val="00B062C6"/>
    <w:rsid w:val="00B062E0"/>
    <w:rsid w:val="00B0630F"/>
    <w:rsid w:val="00B065B3"/>
    <w:rsid w:val="00B0661F"/>
    <w:rsid w:val="00B0677D"/>
    <w:rsid w:val="00B0678E"/>
    <w:rsid w:val="00B067E8"/>
    <w:rsid w:val="00B0681F"/>
    <w:rsid w:val="00B0685C"/>
    <w:rsid w:val="00B0691E"/>
    <w:rsid w:val="00B06A47"/>
    <w:rsid w:val="00B06BAF"/>
    <w:rsid w:val="00B06DC1"/>
    <w:rsid w:val="00B06EC6"/>
    <w:rsid w:val="00B06F15"/>
    <w:rsid w:val="00B071D0"/>
    <w:rsid w:val="00B071F2"/>
    <w:rsid w:val="00B07218"/>
    <w:rsid w:val="00B07275"/>
    <w:rsid w:val="00B07293"/>
    <w:rsid w:val="00B07380"/>
    <w:rsid w:val="00B07386"/>
    <w:rsid w:val="00B07496"/>
    <w:rsid w:val="00B074A3"/>
    <w:rsid w:val="00B074DB"/>
    <w:rsid w:val="00B074E3"/>
    <w:rsid w:val="00B07628"/>
    <w:rsid w:val="00B076A9"/>
    <w:rsid w:val="00B076D6"/>
    <w:rsid w:val="00B07708"/>
    <w:rsid w:val="00B0776D"/>
    <w:rsid w:val="00B0788D"/>
    <w:rsid w:val="00B078FF"/>
    <w:rsid w:val="00B079A2"/>
    <w:rsid w:val="00B07A5B"/>
    <w:rsid w:val="00B07A70"/>
    <w:rsid w:val="00B07B65"/>
    <w:rsid w:val="00B07DE2"/>
    <w:rsid w:val="00B07EB9"/>
    <w:rsid w:val="00B07FC8"/>
    <w:rsid w:val="00B100E5"/>
    <w:rsid w:val="00B10111"/>
    <w:rsid w:val="00B104CE"/>
    <w:rsid w:val="00B105A6"/>
    <w:rsid w:val="00B10659"/>
    <w:rsid w:val="00B10692"/>
    <w:rsid w:val="00B107A8"/>
    <w:rsid w:val="00B107FF"/>
    <w:rsid w:val="00B10818"/>
    <w:rsid w:val="00B109C7"/>
    <w:rsid w:val="00B10A0D"/>
    <w:rsid w:val="00B10AB2"/>
    <w:rsid w:val="00B10ADE"/>
    <w:rsid w:val="00B10BF4"/>
    <w:rsid w:val="00B10BFE"/>
    <w:rsid w:val="00B10EAB"/>
    <w:rsid w:val="00B10F8C"/>
    <w:rsid w:val="00B11018"/>
    <w:rsid w:val="00B11055"/>
    <w:rsid w:val="00B1106C"/>
    <w:rsid w:val="00B1129B"/>
    <w:rsid w:val="00B1131C"/>
    <w:rsid w:val="00B113A3"/>
    <w:rsid w:val="00B113C2"/>
    <w:rsid w:val="00B1150A"/>
    <w:rsid w:val="00B11557"/>
    <w:rsid w:val="00B1155E"/>
    <w:rsid w:val="00B1156B"/>
    <w:rsid w:val="00B11862"/>
    <w:rsid w:val="00B11868"/>
    <w:rsid w:val="00B118E2"/>
    <w:rsid w:val="00B119EC"/>
    <w:rsid w:val="00B11ABF"/>
    <w:rsid w:val="00B11B38"/>
    <w:rsid w:val="00B11B65"/>
    <w:rsid w:val="00B11CC5"/>
    <w:rsid w:val="00B11D3B"/>
    <w:rsid w:val="00B11D8E"/>
    <w:rsid w:val="00B11DB7"/>
    <w:rsid w:val="00B11E3E"/>
    <w:rsid w:val="00B12046"/>
    <w:rsid w:val="00B120BC"/>
    <w:rsid w:val="00B12127"/>
    <w:rsid w:val="00B12343"/>
    <w:rsid w:val="00B123A0"/>
    <w:rsid w:val="00B123F4"/>
    <w:rsid w:val="00B1243C"/>
    <w:rsid w:val="00B12459"/>
    <w:rsid w:val="00B12854"/>
    <w:rsid w:val="00B1285D"/>
    <w:rsid w:val="00B12955"/>
    <w:rsid w:val="00B12C0B"/>
    <w:rsid w:val="00B12C2D"/>
    <w:rsid w:val="00B12D53"/>
    <w:rsid w:val="00B12DC4"/>
    <w:rsid w:val="00B12DF3"/>
    <w:rsid w:val="00B12E89"/>
    <w:rsid w:val="00B12F4A"/>
    <w:rsid w:val="00B12F96"/>
    <w:rsid w:val="00B12FB7"/>
    <w:rsid w:val="00B131A6"/>
    <w:rsid w:val="00B131E9"/>
    <w:rsid w:val="00B13316"/>
    <w:rsid w:val="00B13657"/>
    <w:rsid w:val="00B137B3"/>
    <w:rsid w:val="00B137F6"/>
    <w:rsid w:val="00B137FE"/>
    <w:rsid w:val="00B1388B"/>
    <w:rsid w:val="00B138A0"/>
    <w:rsid w:val="00B1391C"/>
    <w:rsid w:val="00B13952"/>
    <w:rsid w:val="00B13A08"/>
    <w:rsid w:val="00B13BC9"/>
    <w:rsid w:val="00B13DF6"/>
    <w:rsid w:val="00B13E04"/>
    <w:rsid w:val="00B13F0F"/>
    <w:rsid w:val="00B141F9"/>
    <w:rsid w:val="00B14295"/>
    <w:rsid w:val="00B14497"/>
    <w:rsid w:val="00B14513"/>
    <w:rsid w:val="00B14594"/>
    <w:rsid w:val="00B1460A"/>
    <w:rsid w:val="00B14636"/>
    <w:rsid w:val="00B146A8"/>
    <w:rsid w:val="00B147CD"/>
    <w:rsid w:val="00B14875"/>
    <w:rsid w:val="00B1491D"/>
    <w:rsid w:val="00B1495D"/>
    <w:rsid w:val="00B14CED"/>
    <w:rsid w:val="00B14ECD"/>
    <w:rsid w:val="00B14F94"/>
    <w:rsid w:val="00B14FDD"/>
    <w:rsid w:val="00B14FFC"/>
    <w:rsid w:val="00B15091"/>
    <w:rsid w:val="00B1512D"/>
    <w:rsid w:val="00B151A0"/>
    <w:rsid w:val="00B15204"/>
    <w:rsid w:val="00B1525F"/>
    <w:rsid w:val="00B1529F"/>
    <w:rsid w:val="00B152EC"/>
    <w:rsid w:val="00B15311"/>
    <w:rsid w:val="00B15323"/>
    <w:rsid w:val="00B1538A"/>
    <w:rsid w:val="00B15447"/>
    <w:rsid w:val="00B15449"/>
    <w:rsid w:val="00B154AB"/>
    <w:rsid w:val="00B15661"/>
    <w:rsid w:val="00B15840"/>
    <w:rsid w:val="00B159C9"/>
    <w:rsid w:val="00B159ED"/>
    <w:rsid w:val="00B15AFC"/>
    <w:rsid w:val="00B15B7E"/>
    <w:rsid w:val="00B15E3F"/>
    <w:rsid w:val="00B15F25"/>
    <w:rsid w:val="00B15F70"/>
    <w:rsid w:val="00B1604D"/>
    <w:rsid w:val="00B16050"/>
    <w:rsid w:val="00B16199"/>
    <w:rsid w:val="00B161B1"/>
    <w:rsid w:val="00B1628C"/>
    <w:rsid w:val="00B16404"/>
    <w:rsid w:val="00B1640B"/>
    <w:rsid w:val="00B1663F"/>
    <w:rsid w:val="00B16698"/>
    <w:rsid w:val="00B166AC"/>
    <w:rsid w:val="00B166D7"/>
    <w:rsid w:val="00B166F4"/>
    <w:rsid w:val="00B1670A"/>
    <w:rsid w:val="00B167CF"/>
    <w:rsid w:val="00B16859"/>
    <w:rsid w:val="00B1695A"/>
    <w:rsid w:val="00B169FE"/>
    <w:rsid w:val="00B16B0C"/>
    <w:rsid w:val="00B16B0F"/>
    <w:rsid w:val="00B16B12"/>
    <w:rsid w:val="00B16B5C"/>
    <w:rsid w:val="00B16B7C"/>
    <w:rsid w:val="00B16B96"/>
    <w:rsid w:val="00B16CF9"/>
    <w:rsid w:val="00B16D7D"/>
    <w:rsid w:val="00B16E16"/>
    <w:rsid w:val="00B16E43"/>
    <w:rsid w:val="00B16E64"/>
    <w:rsid w:val="00B16E97"/>
    <w:rsid w:val="00B16F27"/>
    <w:rsid w:val="00B17023"/>
    <w:rsid w:val="00B17086"/>
    <w:rsid w:val="00B17160"/>
    <w:rsid w:val="00B17259"/>
    <w:rsid w:val="00B17286"/>
    <w:rsid w:val="00B173D7"/>
    <w:rsid w:val="00B17474"/>
    <w:rsid w:val="00B174D7"/>
    <w:rsid w:val="00B17621"/>
    <w:rsid w:val="00B1764D"/>
    <w:rsid w:val="00B17672"/>
    <w:rsid w:val="00B1782C"/>
    <w:rsid w:val="00B17884"/>
    <w:rsid w:val="00B178D2"/>
    <w:rsid w:val="00B178D8"/>
    <w:rsid w:val="00B178E6"/>
    <w:rsid w:val="00B17906"/>
    <w:rsid w:val="00B1796B"/>
    <w:rsid w:val="00B17A35"/>
    <w:rsid w:val="00B17AE2"/>
    <w:rsid w:val="00B17B3F"/>
    <w:rsid w:val="00B17B9D"/>
    <w:rsid w:val="00B17C58"/>
    <w:rsid w:val="00B17D02"/>
    <w:rsid w:val="00B17D79"/>
    <w:rsid w:val="00B17E73"/>
    <w:rsid w:val="00B17FF7"/>
    <w:rsid w:val="00B17FFC"/>
    <w:rsid w:val="00B20324"/>
    <w:rsid w:val="00B2052E"/>
    <w:rsid w:val="00B20588"/>
    <w:rsid w:val="00B2072D"/>
    <w:rsid w:val="00B208AB"/>
    <w:rsid w:val="00B20986"/>
    <w:rsid w:val="00B209E6"/>
    <w:rsid w:val="00B20B57"/>
    <w:rsid w:val="00B20C11"/>
    <w:rsid w:val="00B20C28"/>
    <w:rsid w:val="00B20CEB"/>
    <w:rsid w:val="00B20E97"/>
    <w:rsid w:val="00B20EAC"/>
    <w:rsid w:val="00B210FE"/>
    <w:rsid w:val="00B21287"/>
    <w:rsid w:val="00B212BA"/>
    <w:rsid w:val="00B2139E"/>
    <w:rsid w:val="00B213DB"/>
    <w:rsid w:val="00B214A9"/>
    <w:rsid w:val="00B21583"/>
    <w:rsid w:val="00B215DA"/>
    <w:rsid w:val="00B215F6"/>
    <w:rsid w:val="00B217B3"/>
    <w:rsid w:val="00B217D9"/>
    <w:rsid w:val="00B219D9"/>
    <w:rsid w:val="00B21A13"/>
    <w:rsid w:val="00B21A7F"/>
    <w:rsid w:val="00B21C82"/>
    <w:rsid w:val="00B21E1E"/>
    <w:rsid w:val="00B21E74"/>
    <w:rsid w:val="00B21EA8"/>
    <w:rsid w:val="00B21ED1"/>
    <w:rsid w:val="00B21F7D"/>
    <w:rsid w:val="00B221E6"/>
    <w:rsid w:val="00B22281"/>
    <w:rsid w:val="00B22351"/>
    <w:rsid w:val="00B223A0"/>
    <w:rsid w:val="00B223E0"/>
    <w:rsid w:val="00B2240E"/>
    <w:rsid w:val="00B224DD"/>
    <w:rsid w:val="00B2265B"/>
    <w:rsid w:val="00B22661"/>
    <w:rsid w:val="00B22670"/>
    <w:rsid w:val="00B22671"/>
    <w:rsid w:val="00B22773"/>
    <w:rsid w:val="00B22800"/>
    <w:rsid w:val="00B2294F"/>
    <w:rsid w:val="00B22950"/>
    <w:rsid w:val="00B22C46"/>
    <w:rsid w:val="00B22F08"/>
    <w:rsid w:val="00B22F71"/>
    <w:rsid w:val="00B22FD5"/>
    <w:rsid w:val="00B23082"/>
    <w:rsid w:val="00B2329D"/>
    <w:rsid w:val="00B23436"/>
    <w:rsid w:val="00B234BA"/>
    <w:rsid w:val="00B23561"/>
    <w:rsid w:val="00B237BE"/>
    <w:rsid w:val="00B237E0"/>
    <w:rsid w:val="00B23862"/>
    <w:rsid w:val="00B238D0"/>
    <w:rsid w:val="00B23915"/>
    <w:rsid w:val="00B23922"/>
    <w:rsid w:val="00B2392C"/>
    <w:rsid w:val="00B239B3"/>
    <w:rsid w:val="00B23A0F"/>
    <w:rsid w:val="00B23A2A"/>
    <w:rsid w:val="00B23A8C"/>
    <w:rsid w:val="00B23B5F"/>
    <w:rsid w:val="00B23C8E"/>
    <w:rsid w:val="00B23D96"/>
    <w:rsid w:val="00B23DE0"/>
    <w:rsid w:val="00B23F86"/>
    <w:rsid w:val="00B23F8D"/>
    <w:rsid w:val="00B240BA"/>
    <w:rsid w:val="00B2426C"/>
    <w:rsid w:val="00B2427A"/>
    <w:rsid w:val="00B2439C"/>
    <w:rsid w:val="00B243B7"/>
    <w:rsid w:val="00B2467C"/>
    <w:rsid w:val="00B24792"/>
    <w:rsid w:val="00B24855"/>
    <w:rsid w:val="00B24858"/>
    <w:rsid w:val="00B24873"/>
    <w:rsid w:val="00B248C9"/>
    <w:rsid w:val="00B248D9"/>
    <w:rsid w:val="00B24974"/>
    <w:rsid w:val="00B24A8E"/>
    <w:rsid w:val="00B24B90"/>
    <w:rsid w:val="00B24B98"/>
    <w:rsid w:val="00B24B99"/>
    <w:rsid w:val="00B24C5A"/>
    <w:rsid w:val="00B24E14"/>
    <w:rsid w:val="00B24F59"/>
    <w:rsid w:val="00B25178"/>
    <w:rsid w:val="00B251C2"/>
    <w:rsid w:val="00B251E8"/>
    <w:rsid w:val="00B251FE"/>
    <w:rsid w:val="00B253FA"/>
    <w:rsid w:val="00B25434"/>
    <w:rsid w:val="00B254C4"/>
    <w:rsid w:val="00B25536"/>
    <w:rsid w:val="00B25564"/>
    <w:rsid w:val="00B2560F"/>
    <w:rsid w:val="00B25694"/>
    <w:rsid w:val="00B256EC"/>
    <w:rsid w:val="00B25738"/>
    <w:rsid w:val="00B2578A"/>
    <w:rsid w:val="00B257E1"/>
    <w:rsid w:val="00B25891"/>
    <w:rsid w:val="00B258BD"/>
    <w:rsid w:val="00B25917"/>
    <w:rsid w:val="00B25AF7"/>
    <w:rsid w:val="00B25BD9"/>
    <w:rsid w:val="00B25C8D"/>
    <w:rsid w:val="00B25D94"/>
    <w:rsid w:val="00B25E41"/>
    <w:rsid w:val="00B25EE6"/>
    <w:rsid w:val="00B25F03"/>
    <w:rsid w:val="00B25F10"/>
    <w:rsid w:val="00B25FF0"/>
    <w:rsid w:val="00B2605C"/>
    <w:rsid w:val="00B26099"/>
    <w:rsid w:val="00B260FB"/>
    <w:rsid w:val="00B2615E"/>
    <w:rsid w:val="00B261BC"/>
    <w:rsid w:val="00B26216"/>
    <w:rsid w:val="00B263B7"/>
    <w:rsid w:val="00B26515"/>
    <w:rsid w:val="00B265D2"/>
    <w:rsid w:val="00B2667E"/>
    <w:rsid w:val="00B26822"/>
    <w:rsid w:val="00B268B0"/>
    <w:rsid w:val="00B2692C"/>
    <w:rsid w:val="00B2692D"/>
    <w:rsid w:val="00B269FD"/>
    <w:rsid w:val="00B26C6F"/>
    <w:rsid w:val="00B26CC8"/>
    <w:rsid w:val="00B26E4C"/>
    <w:rsid w:val="00B26E7A"/>
    <w:rsid w:val="00B26EE7"/>
    <w:rsid w:val="00B26F0A"/>
    <w:rsid w:val="00B270DC"/>
    <w:rsid w:val="00B27102"/>
    <w:rsid w:val="00B27187"/>
    <w:rsid w:val="00B271BD"/>
    <w:rsid w:val="00B271CF"/>
    <w:rsid w:val="00B271DE"/>
    <w:rsid w:val="00B27305"/>
    <w:rsid w:val="00B2734F"/>
    <w:rsid w:val="00B274F4"/>
    <w:rsid w:val="00B27655"/>
    <w:rsid w:val="00B27661"/>
    <w:rsid w:val="00B277D1"/>
    <w:rsid w:val="00B27880"/>
    <w:rsid w:val="00B27895"/>
    <w:rsid w:val="00B27974"/>
    <w:rsid w:val="00B27CAE"/>
    <w:rsid w:val="00B27DD2"/>
    <w:rsid w:val="00B27F03"/>
    <w:rsid w:val="00B2A2D2"/>
    <w:rsid w:val="00B30085"/>
    <w:rsid w:val="00B301D2"/>
    <w:rsid w:val="00B30293"/>
    <w:rsid w:val="00B30335"/>
    <w:rsid w:val="00B3036C"/>
    <w:rsid w:val="00B3038C"/>
    <w:rsid w:val="00B303EE"/>
    <w:rsid w:val="00B306DA"/>
    <w:rsid w:val="00B306FD"/>
    <w:rsid w:val="00B3094E"/>
    <w:rsid w:val="00B30A56"/>
    <w:rsid w:val="00B30AAE"/>
    <w:rsid w:val="00B30B25"/>
    <w:rsid w:val="00B30B67"/>
    <w:rsid w:val="00B30BD0"/>
    <w:rsid w:val="00B30BD2"/>
    <w:rsid w:val="00B30D26"/>
    <w:rsid w:val="00B30D82"/>
    <w:rsid w:val="00B30D89"/>
    <w:rsid w:val="00B30DA3"/>
    <w:rsid w:val="00B30E3B"/>
    <w:rsid w:val="00B30E94"/>
    <w:rsid w:val="00B30F37"/>
    <w:rsid w:val="00B30F4C"/>
    <w:rsid w:val="00B30F79"/>
    <w:rsid w:val="00B31020"/>
    <w:rsid w:val="00B310AE"/>
    <w:rsid w:val="00B310D1"/>
    <w:rsid w:val="00B310D5"/>
    <w:rsid w:val="00B31245"/>
    <w:rsid w:val="00B312C2"/>
    <w:rsid w:val="00B312DB"/>
    <w:rsid w:val="00B31320"/>
    <w:rsid w:val="00B3136F"/>
    <w:rsid w:val="00B313C5"/>
    <w:rsid w:val="00B31476"/>
    <w:rsid w:val="00B31724"/>
    <w:rsid w:val="00B3172D"/>
    <w:rsid w:val="00B31812"/>
    <w:rsid w:val="00B31936"/>
    <w:rsid w:val="00B31AB5"/>
    <w:rsid w:val="00B31DB4"/>
    <w:rsid w:val="00B31EFB"/>
    <w:rsid w:val="00B31F8B"/>
    <w:rsid w:val="00B32009"/>
    <w:rsid w:val="00B32043"/>
    <w:rsid w:val="00B32176"/>
    <w:rsid w:val="00B324BD"/>
    <w:rsid w:val="00B324E2"/>
    <w:rsid w:val="00B32506"/>
    <w:rsid w:val="00B32617"/>
    <w:rsid w:val="00B3267B"/>
    <w:rsid w:val="00B32801"/>
    <w:rsid w:val="00B3284E"/>
    <w:rsid w:val="00B3292D"/>
    <w:rsid w:val="00B32A3C"/>
    <w:rsid w:val="00B32A6B"/>
    <w:rsid w:val="00B32AA4"/>
    <w:rsid w:val="00B32B50"/>
    <w:rsid w:val="00B32B81"/>
    <w:rsid w:val="00B32D84"/>
    <w:rsid w:val="00B32DFF"/>
    <w:rsid w:val="00B32EC7"/>
    <w:rsid w:val="00B32ED7"/>
    <w:rsid w:val="00B32FA4"/>
    <w:rsid w:val="00B32FDB"/>
    <w:rsid w:val="00B330AD"/>
    <w:rsid w:val="00B331CB"/>
    <w:rsid w:val="00B332CC"/>
    <w:rsid w:val="00B33392"/>
    <w:rsid w:val="00B33442"/>
    <w:rsid w:val="00B33664"/>
    <w:rsid w:val="00B33713"/>
    <w:rsid w:val="00B33777"/>
    <w:rsid w:val="00B3385C"/>
    <w:rsid w:val="00B3388F"/>
    <w:rsid w:val="00B339A6"/>
    <w:rsid w:val="00B339ED"/>
    <w:rsid w:val="00B33A50"/>
    <w:rsid w:val="00B33C1D"/>
    <w:rsid w:val="00B33C59"/>
    <w:rsid w:val="00B33CFF"/>
    <w:rsid w:val="00B33DDE"/>
    <w:rsid w:val="00B33EFE"/>
    <w:rsid w:val="00B33F1D"/>
    <w:rsid w:val="00B33F66"/>
    <w:rsid w:val="00B33F72"/>
    <w:rsid w:val="00B33FDE"/>
    <w:rsid w:val="00B34178"/>
    <w:rsid w:val="00B3417C"/>
    <w:rsid w:val="00B34320"/>
    <w:rsid w:val="00B34331"/>
    <w:rsid w:val="00B3447A"/>
    <w:rsid w:val="00B34550"/>
    <w:rsid w:val="00B34569"/>
    <w:rsid w:val="00B34644"/>
    <w:rsid w:val="00B34749"/>
    <w:rsid w:val="00B34915"/>
    <w:rsid w:val="00B349DC"/>
    <w:rsid w:val="00B34A2B"/>
    <w:rsid w:val="00B34A4B"/>
    <w:rsid w:val="00B34A53"/>
    <w:rsid w:val="00B34CDE"/>
    <w:rsid w:val="00B34D4C"/>
    <w:rsid w:val="00B34D77"/>
    <w:rsid w:val="00B34DF6"/>
    <w:rsid w:val="00B35146"/>
    <w:rsid w:val="00B35241"/>
    <w:rsid w:val="00B35270"/>
    <w:rsid w:val="00B352CE"/>
    <w:rsid w:val="00B35353"/>
    <w:rsid w:val="00B3548E"/>
    <w:rsid w:val="00B354FC"/>
    <w:rsid w:val="00B35524"/>
    <w:rsid w:val="00B35552"/>
    <w:rsid w:val="00B356D1"/>
    <w:rsid w:val="00B357BB"/>
    <w:rsid w:val="00B358D1"/>
    <w:rsid w:val="00B359B0"/>
    <w:rsid w:val="00B35A95"/>
    <w:rsid w:val="00B35C67"/>
    <w:rsid w:val="00B35CCF"/>
    <w:rsid w:val="00B35CF3"/>
    <w:rsid w:val="00B35D2E"/>
    <w:rsid w:val="00B35E41"/>
    <w:rsid w:val="00B35F1F"/>
    <w:rsid w:val="00B36112"/>
    <w:rsid w:val="00B36207"/>
    <w:rsid w:val="00B363FF"/>
    <w:rsid w:val="00B364A3"/>
    <w:rsid w:val="00B3650A"/>
    <w:rsid w:val="00B3651C"/>
    <w:rsid w:val="00B365EB"/>
    <w:rsid w:val="00B366CF"/>
    <w:rsid w:val="00B367CF"/>
    <w:rsid w:val="00B36876"/>
    <w:rsid w:val="00B368A0"/>
    <w:rsid w:val="00B368F8"/>
    <w:rsid w:val="00B36A5C"/>
    <w:rsid w:val="00B36A81"/>
    <w:rsid w:val="00B36ACA"/>
    <w:rsid w:val="00B36B62"/>
    <w:rsid w:val="00B36B6F"/>
    <w:rsid w:val="00B36C80"/>
    <w:rsid w:val="00B36E13"/>
    <w:rsid w:val="00B36E77"/>
    <w:rsid w:val="00B36EAF"/>
    <w:rsid w:val="00B370DD"/>
    <w:rsid w:val="00B37131"/>
    <w:rsid w:val="00B3720A"/>
    <w:rsid w:val="00B37215"/>
    <w:rsid w:val="00B37399"/>
    <w:rsid w:val="00B37504"/>
    <w:rsid w:val="00B37520"/>
    <w:rsid w:val="00B37622"/>
    <w:rsid w:val="00B378E1"/>
    <w:rsid w:val="00B37919"/>
    <w:rsid w:val="00B37995"/>
    <w:rsid w:val="00B379B4"/>
    <w:rsid w:val="00B37C99"/>
    <w:rsid w:val="00B37D49"/>
    <w:rsid w:val="00B37DBE"/>
    <w:rsid w:val="00B37DC1"/>
    <w:rsid w:val="00B37F47"/>
    <w:rsid w:val="00B37FCF"/>
    <w:rsid w:val="00B40196"/>
    <w:rsid w:val="00B401B0"/>
    <w:rsid w:val="00B402C2"/>
    <w:rsid w:val="00B40306"/>
    <w:rsid w:val="00B4040B"/>
    <w:rsid w:val="00B40494"/>
    <w:rsid w:val="00B4055D"/>
    <w:rsid w:val="00B4064E"/>
    <w:rsid w:val="00B40744"/>
    <w:rsid w:val="00B407B0"/>
    <w:rsid w:val="00B4086A"/>
    <w:rsid w:val="00B408AE"/>
    <w:rsid w:val="00B40A30"/>
    <w:rsid w:val="00B40A68"/>
    <w:rsid w:val="00B40AB3"/>
    <w:rsid w:val="00B40AE9"/>
    <w:rsid w:val="00B40B5E"/>
    <w:rsid w:val="00B40C7E"/>
    <w:rsid w:val="00B40C93"/>
    <w:rsid w:val="00B40CC1"/>
    <w:rsid w:val="00B40DB9"/>
    <w:rsid w:val="00B40E43"/>
    <w:rsid w:val="00B40E72"/>
    <w:rsid w:val="00B40EC8"/>
    <w:rsid w:val="00B410E4"/>
    <w:rsid w:val="00B41242"/>
    <w:rsid w:val="00B412F7"/>
    <w:rsid w:val="00B41463"/>
    <w:rsid w:val="00B4159A"/>
    <w:rsid w:val="00B4171E"/>
    <w:rsid w:val="00B4174D"/>
    <w:rsid w:val="00B417D0"/>
    <w:rsid w:val="00B419BE"/>
    <w:rsid w:val="00B419CF"/>
    <w:rsid w:val="00B41A05"/>
    <w:rsid w:val="00B41AAA"/>
    <w:rsid w:val="00B41AC9"/>
    <w:rsid w:val="00B41AD0"/>
    <w:rsid w:val="00B41AFF"/>
    <w:rsid w:val="00B41B95"/>
    <w:rsid w:val="00B41CB9"/>
    <w:rsid w:val="00B41D4B"/>
    <w:rsid w:val="00B41FFD"/>
    <w:rsid w:val="00B42000"/>
    <w:rsid w:val="00B42004"/>
    <w:rsid w:val="00B42120"/>
    <w:rsid w:val="00B42174"/>
    <w:rsid w:val="00B42286"/>
    <w:rsid w:val="00B42457"/>
    <w:rsid w:val="00B4254A"/>
    <w:rsid w:val="00B425BA"/>
    <w:rsid w:val="00B42822"/>
    <w:rsid w:val="00B42981"/>
    <w:rsid w:val="00B42B09"/>
    <w:rsid w:val="00B42B17"/>
    <w:rsid w:val="00B42BBD"/>
    <w:rsid w:val="00B42CE8"/>
    <w:rsid w:val="00B42D72"/>
    <w:rsid w:val="00B42D8F"/>
    <w:rsid w:val="00B42D99"/>
    <w:rsid w:val="00B42F39"/>
    <w:rsid w:val="00B42FE9"/>
    <w:rsid w:val="00B430A2"/>
    <w:rsid w:val="00B431B2"/>
    <w:rsid w:val="00B4326B"/>
    <w:rsid w:val="00B433F6"/>
    <w:rsid w:val="00B433FF"/>
    <w:rsid w:val="00B435A7"/>
    <w:rsid w:val="00B435B8"/>
    <w:rsid w:val="00B43654"/>
    <w:rsid w:val="00B43719"/>
    <w:rsid w:val="00B43788"/>
    <w:rsid w:val="00B437B8"/>
    <w:rsid w:val="00B4384E"/>
    <w:rsid w:val="00B4396D"/>
    <w:rsid w:val="00B43974"/>
    <w:rsid w:val="00B43B24"/>
    <w:rsid w:val="00B43B63"/>
    <w:rsid w:val="00B43B87"/>
    <w:rsid w:val="00B43C50"/>
    <w:rsid w:val="00B43D39"/>
    <w:rsid w:val="00B43DD5"/>
    <w:rsid w:val="00B43EAB"/>
    <w:rsid w:val="00B440BC"/>
    <w:rsid w:val="00B441D1"/>
    <w:rsid w:val="00B442EF"/>
    <w:rsid w:val="00B4430B"/>
    <w:rsid w:val="00B444AB"/>
    <w:rsid w:val="00B446D6"/>
    <w:rsid w:val="00B44710"/>
    <w:rsid w:val="00B447D2"/>
    <w:rsid w:val="00B448FF"/>
    <w:rsid w:val="00B4490E"/>
    <w:rsid w:val="00B4499C"/>
    <w:rsid w:val="00B44B43"/>
    <w:rsid w:val="00B44B7A"/>
    <w:rsid w:val="00B44BDD"/>
    <w:rsid w:val="00B44CAC"/>
    <w:rsid w:val="00B44D48"/>
    <w:rsid w:val="00B44E50"/>
    <w:rsid w:val="00B44E8C"/>
    <w:rsid w:val="00B44F5B"/>
    <w:rsid w:val="00B45008"/>
    <w:rsid w:val="00B451CE"/>
    <w:rsid w:val="00B45212"/>
    <w:rsid w:val="00B45299"/>
    <w:rsid w:val="00B4529A"/>
    <w:rsid w:val="00B45304"/>
    <w:rsid w:val="00B4540A"/>
    <w:rsid w:val="00B4549E"/>
    <w:rsid w:val="00B454F5"/>
    <w:rsid w:val="00B4550C"/>
    <w:rsid w:val="00B45556"/>
    <w:rsid w:val="00B455D9"/>
    <w:rsid w:val="00B455F5"/>
    <w:rsid w:val="00B45737"/>
    <w:rsid w:val="00B457A6"/>
    <w:rsid w:val="00B4594F"/>
    <w:rsid w:val="00B4595B"/>
    <w:rsid w:val="00B459BB"/>
    <w:rsid w:val="00B459E8"/>
    <w:rsid w:val="00B45A00"/>
    <w:rsid w:val="00B45B26"/>
    <w:rsid w:val="00B45B6C"/>
    <w:rsid w:val="00B45C12"/>
    <w:rsid w:val="00B45D6F"/>
    <w:rsid w:val="00B45E34"/>
    <w:rsid w:val="00B45E5F"/>
    <w:rsid w:val="00B46081"/>
    <w:rsid w:val="00B4623D"/>
    <w:rsid w:val="00B46811"/>
    <w:rsid w:val="00B46900"/>
    <w:rsid w:val="00B46929"/>
    <w:rsid w:val="00B469B2"/>
    <w:rsid w:val="00B46C52"/>
    <w:rsid w:val="00B46D54"/>
    <w:rsid w:val="00B46D87"/>
    <w:rsid w:val="00B46DBF"/>
    <w:rsid w:val="00B46E4A"/>
    <w:rsid w:val="00B46E79"/>
    <w:rsid w:val="00B46FDD"/>
    <w:rsid w:val="00B47109"/>
    <w:rsid w:val="00B471A7"/>
    <w:rsid w:val="00B47305"/>
    <w:rsid w:val="00B473D8"/>
    <w:rsid w:val="00B4744D"/>
    <w:rsid w:val="00B4746D"/>
    <w:rsid w:val="00B47562"/>
    <w:rsid w:val="00B47629"/>
    <w:rsid w:val="00B4769A"/>
    <w:rsid w:val="00B476BF"/>
    <w:rsid w:val="00B477D6"/>
    <w:rsid w:val="00B47898"/>
    <w:rsid w:val="00B478BF"/>
    <w:rsid w:val="00B47918"/>
    <w:rsid w:val="00B4798C"/>
    <w:rsid w:val="00B479CC"/>
    <w:rsid w:val="00B47AD9"/>
    <w:rsid w:val="00B47B22"/>
    <w:rsid w:val="00B47C15"/>
    <w:rsid w:val="00B47C1E"/>
    <w:rsid w:val="00B47E47"/>
    <w:rsid w:val="00B47EE3"/>
    <w:rsid w:val="00B50326"/>
    <w:rsid w:val="00B505DE"/>
    <w:rsid w:val="00B505E4"/>
    <w:rsid w:val="00B505ED"/>
    <w:rsid w:val="00B50670"/>
    <w:rsid w:val="00B506CB"/>
    <w:rsid w:val="00B50705"/>
    <w:rsid w:val="00B50721"/>
    <w:rsid w:val="00B5072D"/>
    <w:rsid w:val="00B50880"/>
    <w:rsid w:val="00B508ED"/>
    <w:rsid w:val="00B50A55"/>
    <w:rsid w:val="00B50B2E"/>
    <w:rsid w:val="00B50D05"/>
    <w:rsid w:val="00B50DE9"/>
    <w:rsid w:val="00B50E74"/>
    <w:rsid w:val="00B50FB4"/>
    <w:rsid w:val="00B510C6"/>
    <w:rsid w:val="00B511C3"/>
    <w:rsid w:val="00B51218"/>
    <w:rsid w:val="00B5134D"/>
    <w:rsid w:val="00B5136D"/>
    <w:rsid w:val="00B51432"/>
    <w:rsid w:val="00B51453"/>
    <w:rsid w:val="00B5145A"/>
    <w:rsid w:val="00B514F5"/>
    <w:rsid w:val="00B515F7"/>
    <w:rsid w:val="00B5162B"/>
    <w:rsid w:val="00B51642"/>
    <w:rsid w:val="00B51660"/>
    <w:rsid w:val="00B516F6"/>
    <w:rsid w:val="00B51757"/>
    <w:rsid w:val="00B517EA"/>
    <w:rsid w:val="00B517FC"/>
    <w:rsid w:val="00B51990"/>
    <w:rsid w:val="00B519AE"/>
    <w:rsid w:val="00B51C76"/>
    <w:rsid w:val="00B51CBE"/>
    <w:rsid w:val="00B51DE4"/>
    <w:rsid w:val="00B51E4F"/>
    <w:rsid w:val="00B51EA0"/>
    <w:rsid w:val="00B51EBD"/>
    <w:rsid w:val="00B51EF4"/>
    <w:rsid w:val="00B51F12"/>
    <w:rsid w:val="00B52041"/>
    <w:rsid w:val="00B52081"/>
    <w:rsid w:val="00B52113"/>
    <w:rsid w:val="00B52114"/>
    <w:rsid w:val="00B52153"/>
    <w:rsid w:val="00B52377"/>
    <w:rsid w:val="00B523B9"/>
    <w:rsid w:val="00B5247D"/>
    <w:rsid w:val="00B5252E"/>
    <w:rsid w:val="00B5267A"/>
    <w:rsid w:val="00B52866"/>
    <w:rsid w:val="00B52978"/>
    <w:rsid w:val="00B52984"/>
    <w:rsid w:val="00B529A4"/>
    <w:rsid w:val="00B52BF7"/>
    <w:rsid w:val="00B52DFA"/>
    <w:rsid w:val="00B52EDA"/>
    <w:rsid w:val="00B52EF0"/>
    <w:rsid w:val="00B52F6E"/>
    <w:rsid w:val="00B52F7E"/>
    <w:rsid w:val="00B52FD2"/>
    <w:rsid w:val="00B53093"/>
    <w:rsid w:val="00B531C8"/>
    <w:rsid w:val="00B5320E"/>
    <w:rsid w:val="00B534A4"/>
    <w:rsid w:val="00B534D7"/>
    <w:rsid w:val="00B5355E"/>
    <w:rsid w:val="00B535A2"/>
    <w:rsid w:val="00B537DB"/>
    <w:rsid w:val="00B538FF"/>
    <w:rsid w:val="00B539BC"/>
    <w:rsid w:val="00B539C2"/>
    <w:rsid w:val="00B53A4E"/>
    <w:rsid w:val="00B53B41"/>
    <w:rsid w:val="00B53C45"/>
    <w:rsid w:val="00B53C91"/>
    <w:rsid w:val="00B53CCB"/>
    <w:rsid w:val="00B53D99"/>
    <w:rsid w:val="00B53E83"/>
    <w:rsid w:val="00B541BB"/>
    <w:rsid w:val="00B5432B"/>
    <w:rsid w:val="00B5440C"/>
    <w:rsid w:val="00B54486"/>
    <w:rsid w:val="00B54502"/>
    <w:rsid w:val="00B54504"/>
    <w:rsid w:val="00B54625"/>
    <w:rsid w:val="00B5463C"/>
    <w:rsid w:val="00B54698"/>
    <w:rsid w:val="00B547E9"/>
    <w:rsid w:val="00B54849"/>
    <w:rsid w:val="00B549DD"/>
    <w:rsid w:val="00B54AB7"/>
    <w:rsid w:val="00B54B97"/>
    <w:rsid w:val="00B54EBC"/>
    <w:rsid w:val="00B54F47"/>
    <w:rsid w:val="00B54FA5"/>
    <w:rsid w:val="00B54FE5"/>
    <w:rsid w:val="00B5501C"/>
    <w:rsid w:val="00B5508A"/>
    <w:rsid w:val="00B55095"/>
    <w:rsid w:val="00B55157"/>
    <w:rsid w:val="00B55589"/>
    <w:rsid w:val="00B555EA"/>
    <w:rsid w:val="00B5575E"/>
    <w:rsid w:val="00B55801"/>
    <w:rsid w:val="00B5580D"/>
    <w:rsid w:val="00B55A77"/>
    <w:rsid w:val="00B55AF4"/>
    <w:rsid w:val="00B55BB7"/>
    <w:rsid w:val="00B55BBD"/>
    <w:rsid w:val="00B55C3E"/>
    <w:rsid w:val="00B55D41"/>
    <w:rsid w:val="00B55D55"/>
    <w:rsid w:val="00B55DBA"/>
    <w:rsid w:val="00B55DD0"/>
    <w:rsid w:val="00B55E39"/>
    <w:rsid w:val="00B55E7D"/>
    <w:rsid w:val="00B55F0A"/>
    <w:rsid w:val="00B55FC4"/>
    <w:rsid w:val="00B55FF6"/>
    <w:rsid w:val="00B56195"/>
    <w:rsid w:val="00B56289"/>
    <w:rsid w:val="00B5632A"/>
    <w:rsid w:val="00B5635A"/>
    <w:rsid w:val="00B563BE"/>
    <w:rsid w:val="00B5643D"/>
    <w:rsid w:val="00B564AB"/>
    <w:rsid w:val="00B564D7"/>
    <w:rsid w:val="00B565E6"/>
    <w:rsid w:val="00B5663C"/>
    <w:rsid w:val="00B56963"/>
    <w:rsid w:val="00B56A30"/>
    <w:rsid w:val="00B56A80"/>
    <w:rsid w:val="00B56AF2"/>
    <w:rsid w:val="00B56B31"/>
    <w:rsid w:val="00B56BD9"/>
    <w:rsid w:val="00B56DAF"/>
    <w:rsid w:val="00B56DB9"/>
    <w:rsid w:val="00B56EB4"/>
    <w:rsid w:val="00B56F28"/>
    <w:rsid w:val="00B57137"/>
    <w:rsid w:val="00B5715F"/>
    <w:rsid w:val="00B57195"/>
    <w:rsid w:val="00B57256"/>
    <w:rsid w:val="00B573BE"/>
    <w:rsid w:val="00B575D7"/>
    <w:rsid w:val="00B57784"/>
    <w:rsid w:val="00B5781F"/>
    <w:rsid w:val="00B5786C"/>
    <w:rsid w:val="00B5787D"/>
    <w:rsid w:val="00B57979"/>
    <w:rsid w:val="00B57A59"/>
    <w:rsid w:val="00B57BBA"/>
    <w:rsid w:val="00B57CD4"/>
    <w:rsid w:val="00B57D9B"/>
    <w:rsid w:val="00B57E1F"/>
    <w:rsid w:val="00B57EB1"/>
    <w:rsid w:val="00B57FC0"/>
    <w:rsid w:val="00B57FC5"/>
    <w:rsid w:val="00B57FFD"/>
    <w:rsid w:val="00B6010B"/>
    <w:rsid w:val="00B60188"/>
    <w:rsid w:val="00B60301"/>
    <w:rsid w:val="00B60428"/>
    <w:rsid w:val="00B604C1"/>
    <w:rsid w:val="00B605D4"/>
    <w:rsid w:val="00B60636"/>
    <w:rsid w:val="00B6085F"/>
    <w:rsid w:val="00B6091C"/>
    <w:rsid w:val="00B60A72"/>
    <w:rsid w:val="00B60B94"/>
    <w:rsid w:val="00B60C0D"/>
    <w:rsid w:val="00B60CA8"/>
    <w:rsid w:val="00B60D45"/>
    <w:rsid w:val="00B60D6A"/>
    <w:rsid w:val="00B60DBC"/>
    <w:rsid w:val="00B60EFF"/>
    <w:rsid w:val="00B60F55"/>
    <w:rsid w:val="00B60FDD"/>
    <w:rsid w:val="00B61086"/>
    <w:rsid w:val="00B61104"/>
    <w:rsid w:val="00B61123"/>
    <w:rsid w:val="00B61166"/>
    <w:rsid w:val="00B6116B"/>
    <w:rsid w:val="00B61182"/>
    <w:rsid w:val="00B61216"/>
    <w:rsid w:val="00B61243"/>
    <w:rsid w:val="00B6130F"/>
    <w:rsid w:val="00B6134A"/>
    <w:rsid w:val="00B61402"/>
    <w:rsid w:val="00B615B8"/>
    <w:rsid w:val="00B6167F"/>
    <w:rsid w:val="00B617BB"/>
    <w:rsid w:val="00B617CF"/>
    <w:rsid w:val="00B61906"/>
    <w:rsid w:val="00B619C7"/>
    <w:rsid w:val="00B619CD"/>
    <w:rsid w:val="00B61B9F"/>
    <w:rsid w:val="00B61BD5"/>
    <w:rsid w:val="00B61C1F"/>
    <w:rsid w:val="00B61C92"/>
    <w:rsid w:val="00B61CF2"/>
    <w:rsid w:val="00B61E99"/>
    <w:rsid w:val="00B61F7B"/>
    <w:rsid w:val="00B61F93"/>
    <w:rsid w:val="00B61FCC"/>
    <w:rsid w:val="00B620EF"/>
    <w:rsid w:val="00B62176"/>
    <w:rsid w:val="00B621D4"/>
    <w:rsid w:val="00B622BD"/>
    <w:rsid w:val="00B6235E"/>
    <w:rsid w:val="00B626B3"/>
    <w:rsid w:val="00B6277D"/>
    <w:rsid w:val="00B627AB"/>
    <w:rsid w:val="00B627F0"/>
    <w:rsid w:val="00B6280D"/>
    <w:rsid w:val="00B62915"/>
    <w:rsid w:val="00B62967"/>
    <w:rsid w:val="00B629D7"/>
    <w:rsid w:val="00B62A9C"/>
    <w:rsid w:val="00B62BB3"/>
    <w:rsid w:val="00B62CE4"/>
    <w:rsid w:val="00B62DE9"/>
    <w:rsid w:val="00B62ED2"/>
    <w:rsid w:val="00B6300C"/>
    <w:rsid w:val="00B6306B"/>
    <w:rsid w:val="00B631DC"/>
    <w:rsid w:val="00B631E9"/>
    <w:rsid w:val="00B63200"/>
    <w:rsid w:val="00B6329F"/>
    <w:rsid w:val="00B63333"/>
    <w:rsid w:val="00B6336B"/>
    <w:rsid w:val="00B634AB"/>
    <w:rsid w:val="00B635CB"/>
    <w:rsid w:val="00B635FF"/>
    <w:rsid w:val="00B637F8"/>
    <w:rsid w:val="00B63B95"/>
    <w:rsid w:val="00B63D07"/>
    <w:rsid w:val="00B63D37"/>
    <w:rsid w:val="00B63DFF"/>
    <w:rsid w:val="00B63F36"/>
    <w:rsid w:val="00B64022"/>
    <w:rsid w:val="00B64131"/>
    <w:rsid w:val="00B64136"/>
    <w:rsid w:val="00B6427D"/>
    <w:rsid w:val="00B642E7"/>
    <w:rsid w:val="00B64313"/>
    <w:rsid w:val="00B64369"/>
    <w:rsid w:val="00B643CF"/>
    <w:rsid w:val="00B6441E"/>
    <w:rsid w:val="00B6455D"/>
    <w:rsid w:val="00B64597"/>
    <w:rsid w:val="00B645BB"/>
    <w:rsid w:val="00B64724"/>
    <w:rsid w:val="00B648C8"/>
    <w:rsid w:val="00B64997"/>
    <w:rsid w:val="00B649F2"/>
    <w:rsid w:val="00B64AF9"/>
    <w:rsid w:val="00B64B2C"/>
    <w:rsid w:val="00B64B71"/>
    <w:rsid w:val="00B64E95"/>
    <w:rsid w:val="00B64F58"/>
    <w:rsid w:val="00B64F81"/>
    <w:rsid w:val="00B650C7"/>
    <w:rsid w:val="00B65161"/>
    <w:rsid w:val="00B651EB"/>
    <w:rsid w:val="00B65216"/>
    <w:rsid w:val="00B652B4"/>
    <w:rsid w:val="00B6536F"/>
    <w:rsid w:val="00B6555D"/>
    <w:rsid w:val="00B65681"/>
    <w:rsid w:val="00B657CC"/>
    <w:rsid w:val="00B65AC6"/>
    <w:rsid w:val="00B65B28"/>
    <w:rsid w:val="00B65B74"/>
    <w:rsid w:val="00B65BB8"/>
    <w:rsid w:val="00B65BE8"/>
    <w:rsid w:val="00B65C5E"/>
    <w:rsid w:val="00B65CBA"/>
    <w:rsid w:val="00B65DF8"/>
    <w:rsid w:val="00B65E46"/>
    <w:rsid w:val="00B65EBB"/>
    <w:rsid w:val="00B65F0A"/>
    <w:rsid w:val="00B66002"/>
    <w:rsid w:val="00B6604F"/>
    <w:rsid w:val="00B660A6"/>
    <w:rsid w:val="00B66111"/>
    <w:rsid w:val="00B6623A"/>
    <w:rsid w:val="00B66294"/>
    <w:rsid w:val="00B662CC"/>
    <w:rsid w:val="00B66494"/>
    <w:rsid w:val="00B664FF"/>
    <w:rsid w:val="00B6651C"/>
    <w:rsid w:val="00B665FB"/>
    <w:rsid w:val="00B66757"/>
    <w:rsid w:val="00B66799"/>
    <w:rsid w:val="00B667C2"/>
    <w:rsid w:val="00B667CC"/>
    <w:rsid w:val="00B66856"/>
    <w:rsid w:val="00B66857"/>
    <w:rsid w:val="00B6698B"/>
    <w:rsid w:val="00B66A18"/>
    <w:rsid w:val="00B66A56"/>
    <w:rsid w:val="00B66B5B"/>
    <w:rsid w:val="00B66BA1"/>
    <w:rsid w:val="00B66DF4"/>
    <w:rsid w:val="00B66E5E"/>
    <w:rsid w:val="00B66F7C"/>
    <w:rsid w:val="00B6702F"/>
    <w:rsid w:val="00B67096"/>
    <w:rsid w:val="00B670B6"/>
    <w:rsid w:val="00B67110"/>
    <w:rsid w:val="00B67230"/>
    <w:rsid w:val="00B67563"/>
    <w:rsid w:val="00B6764F"/>
    <w:rsid w:val="00B67751"/>
    <w:rsid w:val="00B6786D"/>
    <w:rsid w:val="00B679C6"/>
    <w:rsid w:val="00B679F3"/>
    <w:rsid w:val="00B67AC1"/>
    <w:rsid w:val="00B67C0C"/>
    <w:rsid w:val="00B67E23"/>
    <w:rsid w:val="00B67E61"/>
    <w:rsid w:val="00B67EBD"/>
    <w:rsid w:val="00B700B9"/>
    <w:rsid w:val="00B70140"/>
    <w:rsid w:val="00B70177"/>
    <w:rsid w:val="00B7021F"/>
    <w:rsid w:val="00B702A4"/>
    <w:rsid w:val="00B70311"/>
    <w:rsid w:val="00B703F2"/>
    <w:rsid w:val="00B70409"/>
    <w:rsid w:val="00B704A5"/>
    <w:rsid w:val="00B705F4"/>
    <w:rsid w:val="00B70641"/>
    <w:rsid w:val="00B707CF"/>
    <w:rsid w:val="00B70869"/>
    <w:rsid w:val="00B7088F"/>
    <w:rsid w:val="00B70997"/>
    <w:rsid w:val="00B709B6"/>
    <w:rsid w:val="00B70A37"/>
    <w:rsid w:val="00B70BD2"/>
    <w:rsid w:val="00B70C4B"/>
    <w:rsid w:val="00B70CAA"/>
    <w:rsid w:val="00B70D16"/>
    <w:rsid w:val="00B70D92"/>
    <w:rsid w:val="00B70DF6"/>
    <w:rsid w:val="00B70E79"/>
    <w:rsid w:val="00B70FA2"/>
    <w:rsid w:val="00B7100B"/>
    <w:rsid w:val="00B710F6"/>
    <w:rsid w:val="00B711A5"/>
    <w:rsid w:val="00B711C0"/>
    <w:rsid w:val="00B711F0"/>
    <w:rsid w:val="00B71440"/>
    <w:rsid w:val="00B716AE"/>
    <w:rsid w:val="00B7170E"/>
    <w:rsid w:val="00B71766"/>
    <w:rsid w:val="00B7177B"/>
    <w:rsid w:val="00B7184D"/>
    <w:rsid w:val="00B71859"/>
    <w:rsid w:val="00B7186E"/>
    <w:rsid w:val="00B71905"/>
    <w:rsid w:val="00B719B6"/>
    <w:rsid w:val="00B71B33"/>
    <w:rsid w:val="00B71BCB"/>
    <w:rsid w:val="00B71CBC"/>
    <w:rsid w:val="00B71D17"/>
    <w:rsid w:val="00B71D2F"/>
    <w:rsid w:val="00B71DCD"/>
    <w:rsid w:val="00B71F7C"/>
    <w:rsid w:val="00B71F99"/>
    <w:rsid w:val="00B72051"/>
    <w:rsid w:val="00B720F2"/>
    <w:rsid w:val="00B72188"/>
    <w:rsid w:val="00B7237F"/>
    <w:rsid w:val="00B723A6"/>
    <w:rsid w:val="00B723C6"/>
    <w:rsid w:val="00B72405"/>
    <w:rsid w:val="00B72409"/>
    <w:rsid w:val="00B724CD"/>
    <w:rsid w:val="00B72503"/>
    <w:rsid w:val="00B72826"/>
    <w:rsid w:val="00B729B0"/>
    <w:rsid w:val="00B72A59"/>
    <w:rsid w:val="00B72BB9"/>
    <w:rsid w:val="00B72CD0"/>
    <w:rsid w:val="00B72F53"/>
    <w:rsid w:val="00B72FF2"/>
    <w:rsid w:val="00B73093"/>
    <w:rsid w:val="00B7318F"/>
    <w:rsid w:val="00B731F5"/>
    <w:rsid w:val="00B73496"/>
    <w:rsid w:val="00B734E8"/>
    <w:rsid w:val="00B73619"/>
    <w:rsid w:val="00B73686"/>
    <w:rsid w:val="00B73688"/>
    <w:rsid w:val="00B73748"/>
    <w:rsid w:val="00B73764"/>
    <w:rsid w:val="00B739BE"/>
    <w:rsid w:val="00B739ED"/>
    <w:rsid w:val="00B73A05"/>
    <w:rsid w:val="00B73A78"/>
    <w:rsid w:val="00B73B9A"/>
    <w:rsid w:val="00B73BC1"/>
    <w:rsid w:val="00B73EC4"/>
    <w:rsid w:val="00B73EE2"/>
    <w:rsid w:val="00B73FD2"/>
    <w:rsid w:val="00B7404D"/>
    <w:rsid w:val="00B7410E"/>
    <w:rsid w:val="00B74299"/>
    <w:rsid w:val="00B7431F"/>
    <w:rsid w:val="00B7454F"/>
    <w:rsid w:val="00B7455E"/>
    <w:rsid w:val="00B74672"/>
    <w:rsid w:val="00B7467F"/>
    <w:rsid w:val="00B74794"/>
    <w:rsid w:val="00B74876"/>
    <w:rsid w:val="00B74891"/>
    <w:rsid w:val="00B748C7"/>
    <w:rsid w:val="00B74956"/>
    <w:rsid w:val="00B749CE"/>
    <w:rsid w:val="00B74A2B"/>
    <w:rsid w:val="00B74A87"/>
    <w:rsid w:val="00B74B1F"/>
    <w:rsid w:val="00B74BA0"/>
    <w:rsid w:val="00B74BAD"/>
    <w:rsid w:val="00B74BC8"/>
    <w:rsid w:val="00B74BF6"/>
    <w:rsid w:val="00B74C1C"/>
    <w:rsid w:val="00B74D02"/>
    <w:rsid w:val="00B74EA3"/>
    <w:rsid w:val="00B74F82"/>
    <w:rsid w:val="00B75014"/>
    <w:rsid w:val="00B7507E"/>
    <w:rsid w:val="00B752FD"/>
    <w:rsid w:val="00B753D3"/>
    <w:rsid w:val="00B75530"/>
    <w:rsid w:val="00B75714"/>
    <w:rsid w:val="00B757E9"/>
    <w:rsid w:val="00B757EA"/>
    <w:rsid w:val="00B7598A"/>
    <w:rsid w:val="00B759B2"/>
    <w:rsid w:val="00B759DB"/>
    <w:rsid w:val="00B75A30"/>
    <w:rsid w:val="00B75AF3"/>
    <w:rsid w:val="00B75B11"/>
    <w:rsid w:val="00B75B66"/>
    <w:rsid w:val="00B75D4E"/>
    <w:rsid w:val="00B75EE9"/>
    <w:rsid w:val="00B75FCA"/>
    <w:rsid w:val="00B7621E"/>
    <w:rsid w:val="00B76276"/>
    <w:rsid w:val="00B762D4"/>
    <w:rsid w:val="00B76348"/>
    <w:rsid w:val="00B76599"/>
    <w:rsid w:val="00B76671"/>
    <w:rsid w:val="00B766F3"/>
    <w:rsid w:val="00B7677A"/>
    <w:rsid w:val="00B767E0"/>
    <w:rsid w:val="00B76848"/>
    <w:rsid w:val="00B76A2A"/>
    <w:rsid w:val="00B76A33"/>
    <w:rsid w:val="00B76AB9"/>
    <w:rsid w:val="00B76BFC"/>
    <w:rsid w:val="00B76C2F"/>
    <w:rsid w:val="00B76CD0"/>
    <w:rsid w:val="00B76D6D"/>
    <w:rsid w:val="00B76D81"/>
    <w:rsid w:val="00B76E95"/>
    <w:rsid w:val="00B76EAB"/>
    <w:rsid w:val="00B76ECE"/>
    <w:rsid w:val="00B76F2D"/>
    <w:rsid w:val="00B77094"/>
    <w:rsid w:val="00B77115"/>
    <w:rsid w:val="00B7734E"/>
    <w:rsid w:val="00B773CF"/>
    <w:rsid w:val="00B775B1"/>
    <w:rsid w:val="00B77693"/>
    <w:rsid w:val="00B77819"/>
    <w:rsid w:val="00B7795F"/>
    <w:rsid w:val="00B77A74"/>
    <w:rsid w:val="00B77A7A"/>
    <w:rsid w:val="00B77AD8"/>
    <w:rsid w:val="00B77B0A"/>
    <w:rsid w:val="00B77B56"/>
    <w:rsid w:val="00B77BC1"/>
    <w:rsid w:val="00B77D5C"/>
    <w:rsid w:val="00B77E64"/>
    <w:rsid w:val="00B77EA9"/>
    <w:rsid w:val="00B77EAE"/>
    <w:rsid w:val="00B80339"/>
    <w:rsid w:val="00B80483"/>
    <w:rsid w:val="00B804A3"/>
    <w:rsid w:val="00B805A4"/>
    <w:rsid w:val="00B805C6"/>
    <w:rsid w:val="00B805C8"/>
    <w:rsid w:val="00B805FF"/>
    <w:rsid w:val="00B80610"/>
    <w:rsid w:val="00B80641"/>
    <w:rsid w:val="00B80678"/>
    <w:rsid w:val="00B808AA"/>
    <w:rsid w:val="00B80999"/>
    <w:rsid w:val="00B80A03"/>
    <w:rsid w:val="00B80BFC"/>
    <w:rsid w:val="00B80D6B"/>
    <w:rsid w:val="00B80DC9"/>
    <w:rsid w:val="00B80FF6"/>
    <w:rsid w:val="00B811E7"/>
    <w:rsid w:val="00B811FD"/>
    <w:rsid w:val="00B8130E"/>
    <w:rsid w:val="00B81482"/>
    <w:rsid w:val="00B8157B"/>
    <w:rsid w:val="00B81588"/>
    <w:rsid w:val="00B8166C"/>
    <w:rsid w:val="00B81722"/>
    <w:rsid w:val="00B81749"/>
    <w:rsid w:val="00B8184D"/>
    <w:rsid w:val="00B819C5"/>
    <w:rsid w:val="00B81A60"/>
    <w:rsid w:val="00B81AC2"/>
    <w:rsid w:val="00B81ACE"/>
    <w:rsid w:val="00B81AF8"/>
    <w:rsid w:val="00B81B75"/>
    <w:rsid w:val="00B81C8B"/>
    <w:rsid w:val="00B81D4B"/>
    <w:rsid w:val="00B81DFF"/>
    <w:rsid w:val="00B81EA1"/>
    <w:rsid w:val="00B81EC1"/>
    <w:rsid w:val="00B81F20"/>
    <w:rsid w:val="00B81FF1"/>
    <w:rsid w:val="00B81FFF"/>
    <w:rsid w:val="00B82074"/>
    <w:rsid w:val="00B82076"/>
    <w:rsid w:val="00B820F8"/>
    <w:rsid w:val="00B82121"/>
    <w:rsid w:val="00B82178"/>
    <w:rsid w:val="00B821AA"/>
    <w:rsid w:val="00B8240E"/>
    <w:rsid w:val="00B82445"/>
    <w:rsid w:val="00B8245D"/>
    <w:rsid w:val="00B82460"/>
    <w:rsid w:val="00B82462"/>
    <w:rsid w:val="00B8252A"/>
    <w:rsid w:val="00B8257A"/>
    <w:rsid w:val="00B8258B"/>
    <w:rsid w:val="00B827A9"/>
    <w:rsid w:val="00B8285D"/>
    <w:rsid w:val="00B829C1"/>
    <w:rsid w:val="00B82AD1"/>
    <w:rsid w:val="00B82AF1"/>
    <w:rsid w:val="00B82B89"/>
    <w:rsid w:val="00B82BC5"/>
    <w:rsid w:val="00B82C04"/>
    <w:rsid w:val="00B82D5D"/>
    <w:rsid w:val="00B82D7E"/>
    <w:rsid w:val="00B82DF1"/>
    <w:rsid w:val="00B82EF2"/>
    <w:rsid w:val="00B82F9A"/>
    <w:rsid w:val="00B82FEE"/>
    <w:rsid w:val="00B83026"/>
    <w:rsid w:val="00B83131"/>
    <w:rsid w:val="00B8325C"/>
    <w:rsid w:val="00B8326B"/>
    <w:rsid w:val="00B8327D"/>
    <w:rsid w:val="00B832AC"/>
    <w:rsid w:val="00B832BB"/>
    <w:rsid w:val="00B832EE"/>
    <w:rsid w:val="00B8331B"/>
    <w:rsid w:val="00B8333E"/>
    <w:rsid w:val="00B8336F"/>
    <w:rsid w:val="00B8339D"/>
    <w:rsid w:val="00B83431"/>
    <w:rsid w:val="00B834E7"/>
    <w:rsid w:val="00B83530"/>
    <w:rsid w:val="00B83591"/>
    <w:rsid w:val="00B83637"/>
    <w:rsid w:val="00B837CC"/>
    <w:rsid w:val="00B837EA"/>
    <w:rsid w:val="00B83830"/>
    <w:rsid w:val="00B8386C"/>
    <w:rsid w:val="00B8394B"/>
    <w:rsid w:val="00B839A1"/>
    <w:rsid w:val="00B839FF"/>
    <w:rsid w:val="00B83AE4"/>
    <w:rsid w:val="00B83BD5"/>
    <w:rsid w:val="00B83D09"/>
    <w:rsid w:val="00B83D0B"/>
    <w:rsid w:val="00B83D28"/>
    <w:rsid w:val="00B83DF8"/>
    <w:rsid w:val="00B83E7B"/>
    <w:rsid w:val="00B83ED7"/>
    <w:rsid w:val="00B83F10"/>
    <w:rsid w:val="00B83F14"/>
    <w:rsid w:val="00B83F9A"/>
    <w:rsid w:val="00B83FD3"/>
    <w:rsid w:val="00B84059"/>
    <w:rsid w:val="00B840F4"/>
    <w:rsid w:val="00B84172"/>
    <w:rsid w:val="00B841C7"/>
    <w:rsid w:val="00B841CC"/>
    <w:rsid w:val="00B842A7"/>
    <w:rsid w:val="00B8433D"/>
    <w:rsid w:val="00B8474A"/>
    <w:rsid w:val="00B848CA"/>
    <w:rsid w:val="00B848E4"/>
    <w:rsid w:val="00B8496F"/>
    <w:rsid w:val="00B84B28"/>
    <w:rsid w:val="00B84C75"/>
    <w:rsid w:val="00B84C9C"/>
    <w:rsid w:val="00B84E6A"/>
    <w:rsid w:val="00B84F9C"/>
    <w:rsid w:val="00B84FB5"/>
    <w:rsid w:val="00B85001"/>
    <w:rsid w:val="00B85018"/>
    <w:rsid w:val="00B85092"/>
    <w:rsid w:val="00B850D0"/>
    <w:rsid w:val="00B852C7"/>
    <w:rsid w:val="00B85460"/>
    <w:rsid w:val="00B854D6"/>
    <w:rsid w:val="00B8564C"/>
    <w:rsid w:val="00B85678"/>
    <w:rsid w:val="00B856F3"/>
    <w:rsid w:val="00B85739"/>
    <w:rsid w:val="00B85743"/>
    <w:rsid w:val="00B85910"/>
    <w:rsid w:val="00B85A60"/>
    <w:rsid w:val="00B85A6C"/>
    <w:rsid w:val="00B85A6E"/>
    <w:rsid w:val="00B85A96"/>
    <w:rsid w:val="00B85AA1"/>
    <w:rsid w:val="00B85B88"/>
    <w:rsid w:val="00B85B98"/>
    <w:rsid w:val="00B85CF1"/>
    <w:rsid w:val="00B85DC5"/>
    <w:rsid w:val="00B85DDC"/>
    <w:rsid w:val="00B85E72"/>
    <w:rsid w:val="00B85F07"/>
    <w:rsid w:val="00B85FF8"/>
    <w:rsid w:val="00B861C4"/>
    <w:rsid w:val="00B861C7"/>
    <w:rsid w:val="00B86437"/>
    <w:rsid w:val="00B8653D"/>
    <w:rsid w:val="00B86653"/>
    <w:rsid w:val="00B86660"/>
    <w:rsid w:val="00B86764"/>
    <w:rsid w:val="00B8691E"/>
    <w:rsid w:val="00B8693C"/>
    <w:rsid w:val="00B86BB7"/>
    <w:rsid w:val="00B86BDF"/>
    <w:rsid w:val="00B86C07"/>
    <w:rsid w:val="00B86C53"/>
    <w:rsid w:val="00B86FFD"/>
    <w:rsid w:val="00B871DD"/>
    <w:rsid w:val="00B87273"/>
    <w:rsid w:val="00B87357"/>
    <w:rsid w:val="00B87487"/>
    <w:rsid w:val="00B874F3"/>
    <w:rsid w:val="00B875B7"/>
    <w:rsid w:val="00B8769D"/>
    <w:rsid w:val="00B876CF"/>
    <w:rsid w:val="00B876DD"/>
    <w:rsid w:val="00B8772D"/>
    <w:rsid w:val="00B87775"/>
    <w:rsid w:val="00B87825"/>
    <w:rsid w:val="00B8793E"/>
    <w:rsid w:val="00B87B1A"/>
    <w:rsid w:val="00B87B4C"/>
    <w:rsid w:val="00B87B56"/>
    <w:rsid w:val="00B87BA0"/>
    <w:rsid w:val="00B87C0B"/>
    <w:rsid w:val="00B87C1D"/>
    <w:rsid w:val="00B87D3E"/>
    <w:rsid w:val="00B87D51"/>
    <w:rsid w:val="00B87DD4"/>
    <w:rsid w:val="00B87DDD"/>
    <w:rsid w:val="00B87F16"/>
    <w:rsid w:val="00B90150"/>
    <w:rsid w:val="00B9023E"/>
    <w:rsid w:val="00B90493"/>
    <w:rsid w:val="00B904E5"/>
    <w:rsid w:val="00B90524"/>
    <w:rsid w:val="00B90659"/>
    <w:rsid w:val="00B906D5"/>
    <w:rsid w:val="00B90701"/>
    <w:rsid w:val="00B90838"/>
    <w:rsid w:val="00B90904"/>
    <w:rsid w:val="00B9099D"/>
    <w:rsid w:val="00B909C8"/>
    <w:rsid w:val="00B909CB"/>
    <w:rsid w:val="00B909FE"/>
    <w:rsid w:val="00B90AF0"/>
    <w:rsid w:val="00B90B03"/>
    <w:rsid w:val="00B90B07"/>
    <w:rsid w:val="00B90D1E"/>
    <w:rsid w:val="00B90DCB"/>
    <w:rsid w:val="00B90EED"/>
    <w:rsid w:val="00B90F9A"/>
    <w:rsid w:val="00B91061"/>
    <w:rsid w:val="00B910A0"/>
    <w:rsid w:val="00B91305"/>
    <w:rsid w:val="00B9130B"/>
    <w:rsid w:val="00B9141F"/>
    <w:rsid w:val="00B91598"/>
    <w:rsid w:val="00B915FC"/>
    <w:rsid w:val="00B91950"/>
    <w:rsid w:val="00B91ACC"/>
    <w:rsid w:val="00B91E41"/>
    <w:rsid w:val="00B91E53"/>
    <w:rsid w:val="00B91EBA"/>
    <w:rsid w:val="00B91F96"/>
    <w:rsid w:val="00B91FC6"/>
    <w:rsid w:val="00B92036"/>
    <w:rsid w:val="00B921FB"/>
    <w:rsid w:val="00B92237"/>
    <w:rsid w:val="00B922C2"/>
    <w:rsid w:val="00B92314"/>
    <w:rsid w:val="00B92319"/>
    <w:rsid w:val="00B923F1"/>
    <w:rsid w:val="00B9259E"/>
    <w:rsid w:val="00B92717"/>
    <w:rsid w:val="00B927B5"/>
    <w:rsid w:val="00B92904"/>
    <w:rsid w:val="00B9290F"/>
    <w:rsid w:val="00B92A7E"/>
    <w:rsid w:val="00B92B4B"/>
    <w:rsid w:val="00B92C45"/>
    <w:rsid w:val="00B92C4E"/>
    <w:rsid w:val="00B92EBF"/>
    <w:rsid w:val="00B92ED0"/>
    <w:rsid w:val="00B92F01"/>
    <w:rsid w:val="00B92FB7"/>
    <w:rsid w:val="00B93054"/>
    <w:rsid w:val="00B93065"/>
    <w:rsid w:val="00B93134"/>
    <w:rsid w:val="00B9314E"/>
    <w:rsid w:val="00B9315C"/>
    <w:rsid w:val="00B9316C"/>
    <w:rsid w:val="00B9317A"/>
    <w:rsid w:val="00B9319A"/>
    <w:rsid w:val="00B93251"/>
    <w:rsid w:val="00B9331D"/>
    <w:rsid w:val="00B93553"/>
    <w:rsid w:val="00B9355D"/>
    <w:rsid w:val="00B93647"/>
    <w:rsid w:val="00B936A9"/>
    <w:rsid w:val="00B936BC"/>
    <w:rsid w:val="00B93724"/>
    <w:rsid w:val="00B9372F"/>
    <w:rsid w:val="00B93744"/>
    <w:rsid w:val="00B93852"/>
    <w:rsid w:val="00B938D4"/>
    <w:rsid w:val="00B9395B"/>
    <w:rsid w:val="00B93B72"/>
    <w:rsid w:val="00B93BE3"/>
    <w:rsid w:val="00B93E1D"/>
    <w:rsid w:val="00B93EBA"/>
    <w:rsid w:val="00B9403D"/>
    <w:rsid w:val="00B941B8"/>
    <w:rsid w:val="00B94203"/>
    <w:rsid w:val="00B9420C"/>
    <w:rsid w:val="00B94474"/>
    <w:rsid w:val="00B9450B"/>
    <w:rsid w:val="00B945AB"/>
    <w:rsid w:val="00B9478A"/>
    <w:rsid w:val="00B94795"/>
    <w:rsid w:val="00B9479A"/>
    <w:rsid w:val="00B94854"/>
    <w:rsid w:val="00B94948"/>
    <w:rsid w:val="00B94B3E"/>
    <w:rsid w:val="00B94B4A"/>
    <w:rsid w:val="00B94BE3"/>
    <w:rsid w:val="00B94C44"/>
    <w:rsid w:val="00B94DF9"/>
    <w:rsid w:val="00B950A2"/>
    <w:rsid w:val="00B95277"/>
    <w:rsid w:val="00B9535E"/>
    <w:rsid w:val="00B95459"/>
    <w:rsid w:val="00B954B6"/>
    <w:rsid w:val="00B95785"/>
    <w:rsid w:val="00B957CD"/>
    <w:rsid w:val="00B959CF"/>
    <w:rsid w:val="00B959D5"/>
    <w:rsid w:val="00B95A4A"/>
    <w:rsid w:val="00B95A7A"/>
    <w:rsid w:val="00B95AF1"/>
    <w:rsid w:val="00B95AFA"/>
    <w:rsid w:val="00B95B41"/>
    <w:rsid w:val="00B95DAA"/>
    <w:rsid w:val="00B95E53"/>
    <w:rsid w:val="00B95F09"/>
    <w:rsid w:val="00B95FA5"/>
    <w:rsid w:val="00B96213"/>
    <w:rsid w:val="00B9628F"/>
    <w:rsid w:val="00B9634C"/>
    <w:rsid w:val="00B963CA"/>
    <w:rsid w:val="00B96553"/>
    <w:rsid w:val="00B96579"/>
    <w:rsid w:val="00B965E0"/>
    <w:rsid w:val="00B9679B"/>
    <w:rsid w:val="00B967A7"/>
    <w:rsid w:val="00B96847"/>
    <w:rsid w:val="00B968C5"/>
    <w:rsid w:val="00B96A0A"/>
    <w:rsid w:val="00B96ABF"/>
    <w:rsid w:val="00B96B33"/>
    <w:rsid w:val="00B96C03"/>
    <w:rsid w:val="00B96D81"/>
    <w:rsid w:val="00B96E7C"/>
    <w:rsid w:val="00B96FBC"/>
    <w:rsid w:val="00B96FC6"/>
    <w:rsid w:val="00B97024"/>
    <w:rsid w:val="00B97175"/>
    <w:rsid w:val="00B971D3"/>
    <w:rsid w:val="00B9744E"/>
    <w:rsid w:val="00B9747A"/>
    <w:rsid w:val="00B97495"/>
    <w:rsid w:val="00B975B2"/>
    <w:rsid w:val="00B97612"/>
    <w:rsid w:val="00B97613"/>
    <w:rsid w:val="00B976A4"/>
    <w:rsid w:val="00B97765"/>
    <w:rsid w:val="00B97923"/>
    <w:rsid w:val="00B97A13"/>
    <w:rsid w:val="00B97A6E"/>
    <w:rsid w:val="00B97AFA"/>
    <w:rsid w:val="00B97B52"/>
    <w:rsid w:val="00B97C2C"/>
    <w:rsid w:val="00B97C87"/>
    <w:rsid w:val="00B97CF9"/>
    <w:rsid w:val="00B97E07"/>
    <w:rsid w:val="00B97E35"/>
    <w:rsid w:val="00B97E41"/>
    <w:rsid w:val="00B97FBC"/>
    <w:rsid w:val="00B9E7B2"/>
    <w:rsid w:val="00BA0124"/>
    <w:rsid w:val="00BA01A8"/>
    <w:rsid w:val="00BA01E1"/>
    <w:rsid w:val="00BA0201"/>
    <w:rsid w:val="00BA020A"/>
    <w:rsid w:val="00BA0265"/>
    <w:rsid w:val="00BA0328"/>
    <w:rsid w:val="00BA05A7"/>
    <w:rsid w:val="00BA0637"/>
    <w:rsid w:val="00BA06A8"/>
    <w:rsid w:val="00BA0769"/>
    <w:rsid w:val="00BA084A"/>
    <w:rsid w:val="00BA09D1"/>
    <w:rsid w:val="00BA0B2C"/>
    <w:rsid w:val="00BA0C18"/>
    <w:rsid w:val="00BA0CEF"/>
    <w:rsid w:val="00BA0DF0"/>
    <w:rsid w:val="00BA0FB0"/>
    <w:rsid w:val="00BA10A3"/>
    <w:rsid w:val="00BA10C9"/>
    <w:rsid w:val="00BA10F4"/>
    <w:rsid w:val="00BA110C"/>
    <w:rsid w:val="00BA11FD"/>
    <w:rsid w:val="00BA1300"/>
    <w:rsid w:val="00BA1429"/>
    <w:rsid w:val="00BA143B"/>
    <w:rsid w:val="00BA154B"/>
    <w:rsid w:val="00BA157B"/>
    <w:rsid w:val="00BA191C"/>
    <w:rsid w:val="00BA1A68"/>
    <w:rsid w:val="00BA1B8C"/>
    <w:rsid w:val="00BA1CD3"/>
    <w:rsid w:val="00BA1D81"/>
    <w:rsid w:val="00BA1DA8"/>
    <w:rsid w:val="00BA201B"/>
    <w:rsid w:val="00BA20FA"/>
    <w:rsid w:val="00BA2129"/>
    <w:rsid w:val="00BA21D0"/>
    <w:rsid w:val="00BA2391"/>
    <w:rsid w:val="00BA259E"/>
    <w:rsid w:val="00BA25EC"/>
    <w:rsid w:val="00BA2644"/>
    <w:rsid w:val="00BA26E8"/>
    <w:rsid w:val="00BA28F0"/>
    <w:rsid w:val="00BA2920"/>
    <w:rsid w:val="00BA29FF"/>
    <w:rsid w:val="00BA2AD7"/>
    <w:rsid w:val="00BA2AE0"/>
    <w:rsid w:val="00BA2B8C"/>
    <w:rsid w:val="00BA2DE0"/>
    <w:rsid w:val="00BA2EE0"/>
    <w:rsid w:val="00BA2F0A"/>
    <w:rsid w:val="00BA2F6D"/>
    <w:rsid w:val="00BA2F78"/>
    <w:rsid w:val="00BA323B"/>
    <w:rsid w:val="00BA32B5"/>
    <w:rsid w:val="00BA3324"/>
    <w:rsid w:val="00BA3514"/>
    <w:rsid w:val="00BA3775"/>
    <w:rsid w:val="00BA3AF1"/>
    <w:rsid w:val="00BA3B93"/>
    <w:rsid w:val="00BA3C16"/>
    <w:rsid w:val="00BA3EB8"/>
    <w:rsid w:val="00BA4433"/>
    <w:rsid w:val="00BA4648"/>
    <w:rsid w:val="00BA491E"/>
    <w:rsid w:val="00BA49CC"/>
    <w:rsid w:val="00BA4A54"/>
    <w:rsid w:val="00BA4A76"/>
    <w:rsid w:val="00BA4ABC"/>
    <w:rsid w:val="00BA4B1B"/>
    <w:rsid w:val="00BA4BA2"/>
    <w:rsid w:val="00BA4D11"/>
    <w:rsid w:val="00BA4E1F"/>
    <w:rsid w:val="00BA4EB9"/>
    <w:rsid w:val="00BA4F90"/>
    <w:rsid w:val="00BA5085"/>
    <w:rsid w:val="00BA5095"/>
    <w:rsid w:val="00BA50A5"/>
    <w:rsid w:val="00BA50E1"/>
    <w:rsid w:val="00BA5142"/>
    <w:rsid w:val="00BA5145"/>
    <w:rsid w:val="00BA526D"/>
    <w:rsid w:val="00BA538F"/>
    <w:rsid w:val="00BA54B3"/>
    <w:rsid w:val="00BA5682"/>
    <w:rsid w:val="00BA5716"/>
    <w:rsid w:val="00BA57E5"/>
    <w:rsid w:val="00BA5821"/>
    <w:rsid w:val="00BA5822"/>
    <w:rsid w:val="00BA585E"/>
    <w:rsid w:val="00BA5884"/>
    <w:rsid w:val="00BA5921"/>
    <w:rsid w:val="00BA59D3"/>
    <w:rsid w:val="00BA5A50"/>
    <w:rsid w:val="00BA5ACC"/>
    <w:rsid w:val="00BA5B67"/>
    <w:rsid w:val="00BA5D25"/>
    <w:rsid w:val="00BA5E13"/>
    <w:rsid w:val="00BA5E48"/>
    <w:rsid w:val="00BA5F60"/>
    <w:rsid w:val="00BA5F71"/>
    <w:rsid w:val="00BA5FE0"/>
    <w:rsid w:val="00BA60CF"/>
    <w:rsid w:val="00BA6175"/>
    <w:rsid w:val="00BA62CF"/>
    <w:rsid w:val="00BA6318"/>
    <w:rsid w:val="00BA6348"/>
    <w:rsid w:val="00BA6462"/>
    <w:rsid w:val="00BA648D"/>
    <w:rsid w:val="00BA6523"/>
    <w:rsid w:val="00BA65F4"/>
    <w:rsid w:val="00BA6751"/>
    <w:rsid w:val="00BA67CC"/>
    <w:rsid w:val="00BA685D"/>
    <w:rsid w:val="00BA6A6D"/>
    <w:rsid w:val="00BA6B7A"/>
    <w:rsid w:val="00BA6D76"/>
    <w:rsid w:val="00BA6DE3"/>
    <w:rsid w:val="00BA6F9C"/>
    <w:rsid w:val="00BA71AB"/>
    <w:rsid w:val="00BA7212"/>
    <w:rsid w:val="00BA7232"/>
    <w:rsid w:val="00BA7239"/>
    <w:rsid w:val="00BA7243"/>
    <w:rsid w:val="00BA724D"/>
    <w:rsid w:val="00BA72A2"/>
    <w:rsid w:val="00BA73CA"/>
    <w:rsid w:val="00BA7468"/>
    <w:rsid w:val="00BA746F"/>
    <w:rsid w:val="00BA74CC"/>
    <w:rsid w:val="00BA750C"/>
    <w:rsid w:val="00BA75AA"/>
    <w:rsid w:val="00BA793E"/>
    <w:rsid w:val="00BA798D"/>
    <w:rsid w:val="00BA7A3F"/>
    <w:rsid w:val="00BA7CCB"/>
    <w:rsid w:val="00BA7DF4"/>
    <w:rsid w:val="00BA7EE5"/>
    <w:rsid w:val="00BA7F51"/>
    <w:rsid w:val="00BB0276"/>
    <w:rsid w:val="00BB0281"/>
    <w:rsid w:val="00BB0320"/>
    <w:rsid w:val="00BB0341"/>
    <w:rsid w:val="00BB0444"/>
    <w:rsid w:val="00BB054B"/>
    <w:rsid w:val="00BB0632"/>
    <w:rsid w:val="00BB069F"/>
    <w:rsid w:val="00BB0789"/>
    <w:rsid w:val="00BB07A4"/>
    <w:rsid w:val="00BB08F3"/>
    <w:rsid w:val="00BB090B"/>
    <w:rsid w:val="00BB0A34"/>
    <w:rsid w:val="00BB0A44"/>
    <w:rsid w:val="00BB0B9A"/>
    <w:rsid w:val="00BB0C5D"/>
    <w:rsid w:val="00BB0CA3"/>
    <w:rsid w:val="00BB114C"/>
    <w:rsid w:val="00BB13D4"/>
    <w:rsid w:val="00BB13F6"/>
    <w:rsid w:val="00BB1419"/>
    <w:rsid w:val="00BB1498"/>
    <w:rsid w:val="00BB161C"/>
    <w:rsid w:val="00BB16F4"/>
    <w:rsid w:val="00BB176B"/>
    <w:rsid w:val="00BB190A"/>
    <w:rsid w:val="00BB1932"/>
    <w:rsid w:val="00BB19A6"/>
    <w:rsid w:val="00BB1AC6"/>
    <w:rsid w:val="00BB1BBE"/>
    <w:rsid w:val="00BB1D5D"/>
    <w:rsid w:val="00BB1D83"/>
    <w:rsid w:val="00BB1DE4"/>
    <w:rsid w:val="00BB1E10"/>
    <w:rsid w:val="00BB1FAD"/>
    <w:rsid w:val="00BB20B2"/>
    <w:rsid w:val="00BB20DD"/>
    <w:rsid w:val="00BB20E3"/>
    <w:rsid w:val="00BB2122"/>
    <w:rsid w:val="00BB2189"/>
    <w:rsid w:val="00BB21C8"/>
    <w:rsid w:val="00BB23D4"/>
    <w:rsid w:val="00BB2534"/>
    <w:rsid w:val="00BB25D5"/>
    <w:rsid w:val="00BB2657"/>
    <w:rsid w:val="00BB2847"/>
    <w:rsid w:val="00BB2855"/>
    <w:rsid w:val="00BB2916"/>
    <w:rsid w:val="00BB29F8"/>
    <w:rsid w:val="00BB2A6F"/>
    <w:rsid w:val="00BB2A96"/>
    <w:rsid w:val="00BB2D46"/>
    <w:rsid w:val="00BB2EF8"/>
    <w:rsid w:val="00BB2F62"/>
    <w:rsid w:val="00BB2F97"/>
    <w:rsid w:val="00BB3092"/>
    <w:rsid w:val="00BB316A"/>
    <w:rsid w:val="00BB3215"/>
    <w:rsid w:val="00BB323D"/>
    <w:rsid w:val="00BB3300"/>
    <w:rsid w:val="00BB330A"/>
    <w:rsid w:val="00BB34F3"/>
    <w:rsid w:val="00BB35F3"/>
    <w:rsid w:val="00BB35F9"/>
    <w:rsid w:val="00BB3622"/>
    <w:rsid w:val="00BB3740"/>
    <w:rsid w:val="00BB379E"/>
    <w:rsid w:val="00BB38A7"/>
    <w:rsid w:val="00BB3987"/>
    <w:rsid w:val="00BB3A30"/>
    <w:rsid w:val="00BB3BC8"/>
    <w:rsid w:val="00BB3C74"/>
    <w:rsid w:val="00BB3D0F"/>
    <w:rsid w:val="00BB3D3B"/>
    <w:rsid w:val="00BB3EEE"/>
    <w:rsid w:val="00BB3F39"/>
    <w:rsid w:val="00BB3F91"/>
    <w:rsid w:val="00BB4146"/>
    <w:rsid w:val="00BB4319"/>
    <w:rsid w:val="00BB4350"/>
    <w:rsid w:val="00BB4666"/>
    <w:rsid w:val="00BB467E"/>
    <w:rsid w:val="00BB482C"/>
    <w:rsid w:val="00BB4950"/>
    <w:rsid w:val="00BB49F8"/>
    <w:rsid w:val="00BB4B2E"/>
    <w:rsid w:val="00BB4B5E"/>
    <w:rsid w:val="00BB4C22"/>
    <w:rsid w:val="00BB4CAC"/>
    <w:rsid w:val="00BB4D4C"/>
    <w:rsid w:val="00BB4DD9"/>
    <w:rsid w:val="00BB4E72"/>
    <w:rsid w:val="00BB4E98"/>
    <w:rsid w:val="00BB4F29"/>
    <w:rsid w:val="00BB4FD0"/>
    <w:rsid w:val="00BB4FE3"/>
    <w:rsid w:val="00BB501D"/>
    <w:rsid w:val="00BB5084"/>
    <w:rsid w:val="00BB508C"/>
    <w:rsid w:val="00BB514A"/>
    <w:rsid w:val="00BB52A9"/>
    <w:rsid w:val="00BB5360"/>
    <w:rsid w:val="00BB53CC"/>
    <w:rsid w:val="00BB5449"/>
    <w:rsid w:val="00BB553B"/>
    <w:rsid w:val="00BB55D8"/>
    <w:rsid w:val="00BB55EE"/>
    <w:rsid w:val="00BB574B"/>
    <w:rsid w:val="00BB587C"/>
    <w:rsid w:val="00BB58DE"/>
    <w:rsid w:val="00BB5B4B"/>
    <w:rsid w:val="00BB5B4C"/>
    <w:rsid w:val="00BB5BDC"/>
    <w:rsid w:val="00BB5C4A"/>
    <w:rsid w:val="00BB5C84"/>
    <w:rsid w:val="00BB5C99"/>
    <w:rsid w:val="00BB5D41"/>
    <w:rsid w:val="00BB5E72"/>
    <w:rsid w:val="00BB5E8D"/>
    <w:rsid w:val="00BB5F0D"/>
    <w:rsid w:val="00BB5F96"/>
    <w:rsid w:val="00BB5F9E"/>
    <w:rsid w:val="00BB607A"/>
    <w:rsid w:val="00BB607C"/>
    <w:rsid w:val="00BB60C6"/>
    <w:rsid w:val="00BB60E7"/>
    <w:rsid w:val="00BB6125"/>
    <w:rsid w:val="00BB6218"/>
    <w:rsid w:val="00BB6276"/>
    <w:rsid w:val="00BB64FF"/>
    <w:rsid w:val="00BB6538"/>
    <w:rsid w:val="00BB672C"/>
    <w:rsid w:val="00BB6915"/>
    <w:rsid w:val="00BB694D"/>
    <w:rsid w:val="00BB6A8A"/>
    <w:rsid w:val="00BB6C65"/>
    <w:rsid w:val="00BB6D22"/>
    <w:rsid w:val="00BB6E23"/>
    <w:rsid w:val="00BB6F14"/>
    <w:rsid w:val="00BB6FB4"/>
    <w:rsid w:val="00BB7049"/>
    <w:rsid w:val="00BB7125"/>
    <w:rsid w:val="00BB7209"/>
    <w:rsid w:val="00BB722C"/>
    <w:rsid w:val="00BB7247"/>
    <w:rsid w:val="00BB7313"/>
    <w:rsid w:val="00BB734D"/>
    <w:rsid w:val="00BB73E3"/>
    <w:rsid w:val="00BB7450"/>
    <w:rsid w:val="00BB745B"/>
    <w:rsid w:val="00BB75BA"/>
    <w:rsid w:val="00BB7614"/>
    <w:rsid w:val="00BB769C"/>
    <w:rsid w:val="00BB76D9"/>
    <w:rsid w:val="00BB7715"/>
    <w:rsid w:val="00BB7832"/>
    <w:rsid w:val="00BB78A0"/>
    <w:rsid w:val="00BB78E4"/>
    <w:rsid w:val="00BB79BE"/>
    <w:rsid w:val="00BB79F4"/>
    <w:rsid w:val="00BB7A49"/>
    <w:rsid w:val="00BB7A90"/>
    <w:rsid w:val="00BB7AFD"/>
    <w:rsid w:val="00BB7C22"/>
    <w:rsid w:val="00BB7C27"/>
    <w:rsid w:val="00BB7C46"/>
    <w:rsid w:val="00BB7C4F"/>
    <w:rsid w:val="00BB7CB7"/>
    <w:rsid w:val="00BB7CD0"/>
    <w:rsid w:val="00BB7F50"/>
    <w:rsid w:val="00BC0153"/>
    <w:rsid w:val="00BC0180"/>
    <w:rsid w:val="00BC028A"/>
    <w:rsid w:val="00BC034D"/>
    <w:rsid w:val="00BC03AA"/>
    <w:rsid w:val="00BC062D"/>
    <w:rsid w:val="00BC067E"/>
    <w:rsid w:val="00BC0839"/>
    <w:rsid w:val="00BC0851"/>
    <w:rsid w:val="00BC08E9"/>
    <w:rsid w:val="00BC0A33"/>
    <w:rsid w:val="00BC0B5A"/>
    <w:rsid w:val="00BC0C42"/>
    <w:rsid w:val="00BC0E63"/>
    <w:rsid w:val="00BC0E6D"/>
    <w:rsid w:val="00BC0E6E"/>
    <w:rsid w:val="00BC0F2E"/>
    <w:rsid w:val="00BC103B"/>
    <w:rsid w:val="00BC109D"/>
    <w:rsid w:val="00BC1113"/>
    <w:rsid w:val="00BC11E2"/>
    <w:rsid w:val="00BC12A1"/>
    <w:rsid w:val="00BC12AD"/>
    <w:rsid w:val="00BC160A"/>
    <w:rsid w:val="00BC161F"/>
    <w:rsid w:val="00BC17A5"/>
    <w:rsid w:val="00BC17F1"/>
    <w:rsid w:val="00BC189A"/>
    <w:rsid w:val="00BC19AD"/>
    <w:rsid w:val="00BC19E2"/>
    <w:rsid w:val="00BC1AFE"/>
    <w:rsid w:val="00BC1B38"/>
    <w:rsid w:val="00BC1BAA"/>
    <w:rsid w:val="00BC1CA3"/>
    <w:rsid w:val="00BC1D0D"/>
    <w:rsid w:val="00BC1E0E"/>
    <w:rsid w:val="00BC1F87"/>
    <w:rsid w:val="00BC2220"/>
    <w:rsid w:val="00BC23DC"/>
    <w:rsid w:val="00BC2418"/>
    <w:rsid w:val="00BC25BE"/>
    <w:rsid w:val="00BC262F"/>
    <w:rsid w:val="00BC2690"/>
    <w:rsid w:val="00BC26AC"/>
    <w:rsid w:val="00BC285B"/>
    <w:rsid w:val="00BC2884"/>
    <w:rsid w:val="00BC2888"/>
    <w:rsid w:val="00BC28BE"/>
    <w:rsid w:val="00BC290C"/>
    <w:rsid w:val="00BC29AC"/>
    <w:rsid w:val="00BC2D0A"/>
    <w:rsid w:val="00BC2EB8"/>
    <w:rsid w:val="00BC32C8"/>
    <w:rsid w:val="00BC33E2"/>
    <w:rsid w:val="00BC34DC"/>
    <w:rsid w:val="00BC34EF"/>
    <w:rsid w:val="00BC373D"/>
    <w:rsid w:val="00BC3779"/>
    <w:rsid w:val="00BC38BC"/>
    <w:rsid w:val="00BC3A5E"/>
    <w:rsid w:val="00BC3C27"/>
    <w:rsid w:val="00BC3C28"/>
    <w:rsid w:val="00BC3C90"/>
    <w:rsid w:val="00BC3D1B"/>
    <w:rsid w:val="00BC3E1C"/>
    <w:rsid w:val="00BC3ECD"/>
    <w:rsid w:val="00BC4044"/>
    <w:rsid w:val="00BC40BD"/>
    <w:rsid w:val="00BC411F"/>
    <w:rsid w:val="00BC414E"/>
    <w:rsid w:val="00BC416E"/>
    <w:rsid w:val="00BC4347"/>
    <w:rsid w:val="00BC43BE"/>
    <w:rsid w:val="00BC43CA"/>
    <w:rsid w:val="00BC4418"/>
    <w:rsid w:val="00BC442A"/>
    <w:rsid w:val="00BC4460"/>
    <w:rsid w:val="00BC4532"/>
    <w:rsid w:val="00BC4542"/>
    <w:rsid w:val="00BC455F"/>
    <w:rsid w:val="00BC4627"/>
    <w:rsid w:val="00BC463F"/>
    <w:rsid w:val="00BC464D"/>
    <w:rsid w:val="00BC4678"/>
    <w:rsid w:val="00BC46B9"/>
    <w:rsid w:val="00BC4BE8"/>
    <w:rsid w:val="00BC4C57"/>
    <w:rsid w:val="00BC4C59"/>
    <w:rsid w:val="00BC4E20"/>
    <w:rsid w:val="00BC4E2B"/>
    <w:rsid w:val="00BC4E39"/>
    <w:rsid w:val="00BC4E85"/>
    <w:rsid w:val="00BC4F7B"/>
    <w:rsid w:val="00BC4FBE"/>
    <w:rsid w:val="00BC5038"/>
    <w:rsid w:val="00BC512A"/>
    <w:rsid w:val="00BC5435"/>
    <w:rsid w:val="00BC5479"/>
    <w:rsid w:val="00BC54EF"/>
    <w:rsid w:val="00BC56AB"/>
    <w:rsid w:val="00BC571A"/>
    <w:rsid w:val="00BC592C"/>
    <w:rsid w:val="00BC59EF"/>
    <w:rsid w:val="00BC59FD"/>
    <w:rsid w:val="00BC5A25"/>
    <w:rsid w:val="00BC5AFB"/>
    <w:rsid w:val="00BC5BEE"/>
    <w:rsid w:val="00BC5D37"/>
    <w:rsid w:val="00BC5D56"/>
    <w:rsid w:val="00BC5DDD"/>
    <w:rsid w:val="00BC5DE8"/>
    <w:rsid w:val="00BC5F06"/>
    <w:rsid w:val="00BC5F39"/>
    <w:rsid w:val="00BC6024"/>
    <w:rsid w:val="00BC6178"/>
    <w:rsid w:val="00BC64D2"/>
    <w:rsid w:val="00BC6525"/>
    <w:rsid w:val="00BC665D"/>
    <w:rsid w:val="00BC668B"/>
    <w:rsid w:val="00BC684F"/>
    <w:rsid w:val="00BC6859"/>
    <w:rsid w:val="00BC68AD"/>
    <w:rsid w:val="00BC68C0"/>
    <w:rsid w:val="00BC6913"/>
    <w:rsid w:val="00BC6B01"/>
    <w:rsid w:val="00BC6C73"/>
    <w:rsid w:val="00BC6CF4"/>
    <w:rsid w:val="00BC6D6A"/>
    <w:rsid w:val="00BC6DCB"/>
    <w:rsid w:val="00BC6DE7"/>
    <w:rsid w:val="00BC6F3D"/>
    <w:rsid w:val="00BC70D0"/>
    <w:rsid w:val="00BC7115"/>
    <w:rsid w:val="00BC73F7"/>
    <w:rsid w:val="00BC7490"/>
    <w:rsid w:val="00BC75ED"/>
    <w:rsid w:val="00BC7600"/>
    <w:rsid w:val="00BC76DF"/>
    <w:rsid w:val="00BC77EC"/>
    <w:rsid w:val="00BC783D"/>
    <w:rsid w:val="00BC793F"/>
    <w:rsid w:val="00BC79D3"/>
    <w:rsid w:val="00BC79D5"/>
    <w:rsid w:val="00BC7A3C"/>
    <w:rsid w:val="00BC7B4A"/>
    <w:rsid w:val="00BC7D0F"/>
    <w:rsid w:val="00BC7D13"/>
    <w:rsid w:val="00BC7D61"/>
    <w:rsid w:val="00BC7D92"/>
    <w:rsid w:val="00BC7E15"/>
    <w:rsid w:val="00BC7EB5"/>
    <w:rsid w:val="00BC7F03"/>
    <w:rsid w:val="00BC7FD4"/>
    <w:rsid w:val="00BD0001"/>
    <w:rsid w:val="00BD004C"/>
    <w:rsid w:val="00BD00E7"/>
    <w:rsid w:val="00BD00F5"/>
    <w:rsid w:val="00BD0146"/>
    <w:rsid w:val="00BD0211"/>
    <w:rsid w:val="00BD0319"/>
    <w:rsid w:val="00BD0324"/>
    <w:rsid w:val="00BD034E"/>
    <w:rsid w:val="00BD03D8"/>
    <w:rsid w:val="00BD04AC"/>
    <w:rsid w:val="00BD060B"/>
    <w:rsid w:val="00BD062C"/>
    <w:rsid w:val="00BD0685"/>
    <w:rsid w:val="00BD06CC"/>
    <w:rsid w:val="00BD088C"/>
    <w:rsid w:val="00BD0A40"/>
    <w:rsid w:val="00BD0ADF"/>
    <w:rsid w:val="00BD0BF4"/>
    <w:rsid w:val="00BD0D42"/>
    <w:rsid w:val="00BD0D89"/>
    <w:rsid w:val="00BD0DE3"/>
    <w:rsid w:val="00BD0E6A"/>
    <w:rsid w:val="00BD1066"/>
    <w:rsid w:val="00BD13A4"/>
    <w:rsid w:val="00BD148E"/>
    <w:rsid w:val="00BD14C2"/>
    <w:rsid w:val="00BD15D6"/>
    <w:rsid w:val="00BD165E"/>
    <w:rsid w:val="00BD16E3"/>
    <w:rsid w:val="00BD16EC"/>
    <w:rsid w:val="00BD1B93"/>
    <w:rsid w:val="00BD1C38"/>
    <w:rsid w:val="00BD1C5E"/>
    <w:rsid w:val="00BD1C72"/>
    <w:rsid w:val="00BD1D72"/>
    <w:rsid w:val="00BD1DD5"/>
    <w:rsid w:val="00BD1E08"/>
    <w:rsid w:val="00BD2076"/>
    <w:rsid w:val="00BD2183"/>
    <w:rsid w:val="00BD2218"/>
    <w:rsid w:val="00BD2237"/>
    <w:rsid w:val="00BD22EA"/>
    <w:rsid w:val="00BD2488"/>
    <w:rsid w:val="00BD258B"/>
    <w:rsid w:val="00BD259F"/>
    <w:rsid w:val="00BD25ED"/>
    <w:rsid w:val="00BD2664"/>
    <w:rsid w:val="00BD268F"/>
    <w:rsid w:val="00BD277F"/>
    <w:rsid w:val="00BD2790"/>
    <w:rsid w:val="00BD2880"/>
    <w:rsid w:val="00BD28A9"/>
    <w:rsid w:val="00BD290F"/>
    <w:rsid w:val="00BD2924"/>
    <w:rsid w:val="00BD29DD"/>
    <w:rsid w:val="00BD2DD9"/>
    <w:rsid w:val="00BD2E5B"/>
    <w:rsid w:val="00BD3174"/>
    <w:rsid w:val="00BD31B8"/>
    <w:rsid w:val="00BD320F"/>
    <w:rsid w:val="00BD3330"/>
    <w:rsid w:val="00BD336E"/>
    <w:rsid w:val="00BD33D7"/>
    <w:rsid w:val="00BD3414"/>
    <w:rsid w:val="00BD34AF"/>
    <w:rsid w:val="00BD34D4"/>
    <w:rsid w:val="00BD34E5"/>
    <w:rsid w:val="00BD368A"/>
    <w:rsid w:val="00BD373A"/>
    <w:rsid w:val="00BD374D"/>
    <w:rsid w:val="00BD37CB"/>
    <w:rsid w:val="00BD3818"/>
    <w:rsid w:val="00BD3853"/>
    <w:rsid w:val="00BD3874"/>
    <w:rsid w:val="00BD38A9"/>
    <w:rsid w:val="00BD38B2"/>
    <w:rsid w:val="00BD38C3"/>
    <w:rsid w:val="00BD39D0"/>
    <w:rsid w:val="00BD3A3E"/>
    <w:rsid w:val="00BD3A5B"/>
    <w:rsid w:val="00BD3A96"/>
    <w:rsid w:val="00BD3AE1"/>
    <w:rsid w:val="00BD3BAF"/>
    <w:rsid w:val="00BD3BE6"/>
    <w:rsid w:val="00BD3C31"/>
    <w:rsid w:val="00BD3C97"/>
    <w:rsid w:val="00BD3E40"/>
    <w:rsid w:val="00BD3E4E"/>
    <w:rsid w:val="00BD3EC0"/>
    <w:rsid w:val="00BD3FD4"/>
    <w:rsid w:val="00BD3FDE"/>
    <w:rsid w:val="00BD40C9"/>
    <w:rsid w:val="00BD4107"/>
    <w:rsid w:val="00BD4248"/>
    <w:rsid w:val="00BD42AF"/>
    <w:rsid w:val="00BD43A5"/>
    <w:rsid w:val="00BD44B2"/>
    <w:rsid w:val="00BD4708"/>
    <w:rsid w:val="00BD4711"/>
    <w:rsid w:val="00BD4737"/>
    <w:rsid w:val="00BD489E"/>
    <w:rsid w:val="00BD4922"/>
    <w:rsid w:val="00BD49B4"/>
    <w:rsid w:val="00BD4A01"/>
    <w:rsid w:val="00BD4A22"/>
    <w:rsid w:val="00BD4A58"/>
    <w:rsid w:val="00BD4AF6"/>
    <w:rsid w:val="00BD4B51"/>
    <w:rsid w:val="00BD4DE7"/>
    <w:rsid w:val="00BD4E2F"/>
    <w:rsid w:val="00BD4EFB"/>
    <w:rsid w:val="00BD4F00"/>
    <w:rsid w:val="00BD514C"/>
    <w:rsid w:val="00BD51EA"/>
    <w:rsid w:val="00BD521C"/>
    <w:rsid w:val="00BD5233"/>
    <w:rsid w:val="00BD539D"/>
    <w:rsid w:val="00BD5401"/>
    <w:rsid w:val="00BD543D"/>
    <w:rsid w:val="00BD558A"/>
    <w:rsid w:val="00BD564F"/>
    <w:rsid w:val="00BD5706"/>
    <w:rsid w:val="00BD58F5"/>
    <w:rsid w:val="00BD591A"/>
    <w:rsid w:val="00BD59D0"/>
    <w:rsid w:val="00BD5AED"/>
    <w:rsid w:val="00BD5B08"/>
    <w:rsid w:val="00BD5B5D"/>
    <w:rsid w:val="00BD5BCE"/>
    <w:rsid w:val="00BD5C2D"/>
    <w:rsid w:val="00BD5C4E"/>
    <w:rsid w:val="00BD5C59"/>
    <w:rsid w:val="00BD5C6A"/>
    <w:rsid w:val="00BD5C94"/>
    <w:rsid w:val="00BD5CBF"/>
    <w:rsid w:val="00BD5DA0"/>
    <w:rsid w:val="00BD5E18"/>
    <w:rsid w:val="00BD5EB1"/>
    <w:rsid w:val="00BD5F54"/>
    <w:rsid w:val="00BD6086"/>
    <w:rsid w:val="00BD6465"/>
    <w:rsid w:val="00BD6483"/>
    <w:rsid w:val="00BD65D6"/>
    <w:rsid w:val="00BD6617"/>
    <w:rsid w:val="00BD685B"/>
    <w:rsid w:val="00BD6945"/>
    <w:rsid w:val="00BD69A6"/>
    <w:rsid w:val="00BD6B23"/>
    <w:rsid w:val="00BD6D78"/>
    <w:rsid w:val="00BD6E2F"/>
    <w:rsid w:val="00BD6E6A"/>
    <w:rsid w:val="00BD6E85"/>
    <w:rsid w:val="00BD6F41"/>
    <w:rsid w:val="00BD6FFF"/>
    <w:rsid w:val="00BD7381"/>
    <w:rsid w:val="00BD7405"/>
    <w:rsid w:val="00BD748D"/>
    <w:rsid w:val="00BD7584"/>
    <w:rsid w:val="00BD75A6"/>
    <w:rsid w:val="00BD76BA"/>
    <w:rsid w:val="00BD7784"/>
    <w:rsid w:val="00BD780D"/>
    <w:rsid w:val="00BD7843"/>
    <w:rsid w:val="00BD79C2"/>
    <w:rsid w:val="00BD79C3"/>
    <w:rsid w:val="00BD7AC5"/>
    <w:rsid w:val="00BD7BC3"/>
    <w:rsid w:val="00BD7C4D"/>
    <w:rsid w:val="00BD7C70"/>
    <w:rsid w:val="00BD7C81"/>
    <w:rsid w:val="00BD7D20"/>
    <w:rsid w:val="00BD7D28"/>
    <w:rsid w:val="00BD7E16"/>
    <w:rsid w:val="00BD7E42"/>
    <w:rsid w:val="00BE00DB"/>
    <w:rsid w:val="00BE0134"/>
    <w:rsid w:val="00BE0165"/>
    <w:rsid w:val="00BE0184"/>
    <w:rsid w:val="00BE0221"/>
    <w:rsid w:val="00BE035E"/>
    <w:rsid w:val="00BE048A"/>
    <w:rsid w:val="00BE07BF"/>
    <w:rsid w:val="00BE0870"/>
    <w:rsid w:val="00BE091C"/>
    <w:rsid w:val="00BE0AC3"/>
    <w:rsid w:val="00BE0AE9"/>
    <w:rsid w:val="00BE0B0D"/>
    <w:rsid w:val="00BE0C2F"/>
    <w:rsid w:val="00BE106A"/>
    <w:rsid w:val="00BE10A2"/>
    <w:rsid w:val="00BE1140"/>
    <w:rsid w:val="00BE116E"/>
    <w:rsid w:val="00BE1353"/>
    <w:rsid w:val="00BE167E"/>
    <w:rsid w:val="00BE1756"/>
    <w:rsid w:val="00BE1834"/>
    <w:rsid w:val="00BE190B"/>
    <w:rsid w:val="00BE1A32"/>
    <w:rsid w:val="00BE1AEF"/>
    <w:rsid w:val="00BE1B17"/>
    <w:rsid w:val="00BE1B8C"/>
    <w:rsid w:val="00BE1DD3"/>
    <w:rsid w:val="00BE1DD4"/>
    <w:rsid w:val="00BE1DEA"/>
    <w:rsid w:val="00BE1E6E"/>
    <w:rsid w:val="00BE1EE7"/>
    <w:rsid w:val="00BE20C2"/>
    <w:rsid w:val="00BE2362"/>
    <w:rsid w:val="00BE2380"/>
    <w:rsid w:val="00BE23A0"/>
    <w:rsid w:val="00BE23FE"/>
    <w:rsid w:val="00BE2411"/>
    <w:rsid w:val="00BE2450"/>
    <w:rsid w:val="00BE248D"/>
    <w:rsid w:val="00BE2550"/>
    <w:rsid w:val="00BE25A3"/>
    <w:rsid w:val="00BE2664"/>
    <w:rsid w:val="00BE2813"/>
    <w:rsid w:val="00BE2857"/>
    <w:rsid w:val="00BE287B"/>
    <w:rsid w:val="00BE2937"/>
    <w:rsid w:val="00BE294A"/>
    <w:rsid w:val="00BE2A3A"/>
    <w:rsid w:val="00BE2B48"/>
    <w:rsid w:val="00BE2BCC"/>
    <w:rsid w:val="00BE2C10"/>
    <w:rsid w:val="00BE2C9E"/>
    <w:rsid w:val="00BE2DE0"/>
    <w:rsid w:val="00BE2E68"/>
    <w:rsid w:val="00BE3006"/>
    <w:rsid w:val="00BE311F"/>
    <w:rsid w:val="00BE3177"/>
    <w:rsid w:val="00BE323F"/>
    <w:rsid w:val="00BE3477"/>
    <w:rsid w:val="00BE3518"/>
    <w:rsid w:val="00BE36C4"/>
    <w:rsid w:val="00BE36E7"/>
    <w:rsid w:val="00BE373B"/>
    <w:rsid w:val="00BE374A"/>
    <w:rsid w:val="00BE3770"/>
    <w:rsid w:val="00BE3802"/>
    <w:rsid w:val="00BE38C7"/>
    <w:rsid w:val="00BE394C"/>
    <w:rsid w:val="00BE39BE"/>
    <w:rsid w:val="00BE39F4"/>
    <w:rsid w:val="00BE3B07"/>
    <w:rsid w:val="00BE3B2B"/>
    <w:rsid w:val="00BE3B59"/>
    <w:rsid w:val="00BE3BC2"/>
    <w:rsid w:val="00BE3C45"/>
    <w:rsid w:val="00BE3C65"/>
    <w:rsid w:val="00BE3CEA"/>
    <w:rsid w:val="00BE3DAA"/>
    <w:rsid w:val="00BE3FEE"/>
    <w:rsid w:val="00BE406A"/>
    <w:rsid w:val="00BE408C"/>
    <w:rsid w:val="00BE4154"/>
    <w:rsid w:val="00BE41F2"/>
    <w:rsid w:val="00BE421B"/>
    <w:rsid w:val="00BE4319"/>
    <w:rsid w:val="00BE4473"/>
    <w:rsid w:val="00BE4480"/>
    <w:rsid w:val="00BE462C"/>
    <w:rsid w:val="00BE4738"/>
    <w:rsid w:val="00BE4746"/>
    <w:rsid w:val="00BE47F7"/>
    <w:rsid w:val="00BE4932"/>
    <w:rsid w:val="00BE49D8"/>
    <w:rsid w:val="00BE4A3E"/>
    <w:rsid w:val="00BE4AF7"/>
    <w:rsid w:val="00BE4B26"/>
    <w:rsid w:val="00BE4B6C"/>
    <w:rsid w:val="00BE4B71"/>
    <w:rsid w:val="00BE4B9C"/>
    <w:rsid w:val="00BE4BF2"/>
    <w:rsid w:val="00BE4C03"/>
    <w:rsid w:val="00BE4C25"/>
    <w:rsid w:val="00BE4DDF"/>
    <w:rsid w:val="00BE4E49"/>
    <w:rsid w:val="00BE4E4B"/>
    <w:rsid w:val="00BE4EC4"/>
    <w:rsid w:val="00BE4EF2"/>
    <w:rsid w:val="00BE4F00"/>
    <w:rsid w:val="00BE4FF8"/>
    <w:rsid w:val="00BE5029"/>
    <w:rsid w:val="00BE5050"/>
    <w:rsid w:val="00BE5296"/>
    <w:rsid w:val="00BE53FF"/>
    <w:rsid w:val="00BE5471"/>
    <w:rsid w:val="00BE54A1"/>
    <w:rsid w:val="00BE54D2"/>
    <w:rsid w:val="00BE5510"/>
    <w:rsid w:val="00BE55BD"/>
    <w:rsid w:val="00BE57D1"/>
    <w:rsid w:val="00BE581A"/>
    <w:rsid w:val="00BE582D"/>
    <w:rsid w:val="00BE5842"/>
    <w:rsid w:val="00BE5860"/>
    <w:rsid w:val="00BE58CE"/>
    <w:rsid w:val="00BE590F"/>
    <w:rsid w:val="00BE597B"/>
    <w:rsid w:val="00BE5B7D"/>
    <w:rsid w:val="00BE5C2E"/>
    <w:rsid w:val="00BE5C9D"/>
    <w:rsid w:val="00BE5CFF"/>
    <w:rsid w:val="00BE5D3A"/>
    <w:rsid w:val="00BE600D"/>
    <w:rsid w:val="00BE6035"/>
    <w:rsid w:val="00BE615D"/>
    <w:rsid w:val="00BE62E8"/>
    <w:rsid w:val="00BE6453"/>
    <w:rsid w:val="00BE64D1"/>
    <w:rsid w:val="00BE652E"/>
    <w:rsid w:val="00BE6545"/>
    <w:rsid w:val="00BE6562"/>
    <w:rsid w:val="00BE657D"/>
    <w:rsid w:val="00BE6699"/>
    <w:rsid w:val="00BE6857"/>
    <w:rsid w:val="00BE68D3"/>
    <w:rsid w:val="00BE6AF3"/>
    <w:rsid w:val="00BE6B21"/>
    <w:rsid w:val="00BE6B5E"/>
    <w:rsid w:val="00BE6B63"/>
    <w:rsid w:val="00BE6DEB"/>
    <w:rsid w:val="00BE6E2D"/>
    <w:rsid w:val="00BE6F31"/>
    <w:rsid w:val="00BE6F53"/>
    <w:rsid w:val="00BE70E8"/>
    <w:rsid w:val="00BE71FD"/>
    <w:rsid w:val="00BE720E"/>
    <w:rsid w:val="00BE7252"/>
    <w:rsid w:val="00BE7256"/>
    <w:rsid w:val="00BE72C4"/>
    <w:rsid w:val="00BE7383"/>
    <w:rsid w:val="00BE748D"/>
    <w:rsid w:val="00BE7491"/>
    <w:rsid w:val="00BE7589"/>
    <w:rsid w:val="00BE75DA"/>
    <w:rsid w:val="00BE7638"/>
    <w:rsid w:val="00BE7956"/>
    <w:rsid w:val="00BE79FE"/>
    <w:rsid w:val="00BE7D35"/>
    <w:rsid w:val="00BE7D78"/>
    <w:rsid w:val="00BE7E29"/>
    <w:rsid w:val="00BE7EB7"/>
    <w:rsid w:val="00BE7F88"/>
    <w:rsid w:val="00BE7FB9"/>
    <w:rsid w:val="00BF009C"/>
    <w:rsid w:val="00BF00C7"/>
    <w:rsid w:val="00BF018E"/>
    <w:rsid w:val="00BF01B0"/>
    <w:rsid w:val="00BF02BA"/>
    <w:rsid w:val="00BF02CC"/>
    <w:rsid w:val="00BF03F4"/>
    <w:rsid w:val="00BF064F"/>
    <w:rsid w:val="00BF0727"/>
    <w:rsid w:val="00BF072A"/>
    <w:rsid w:val="00BF0740"/>
    <w:rsid w:val="00BF08B2"/>
    <w:rsid w:val="00BF0ADB"/>
    <w:rsid w:val="00BF0B23"/>
    <w:rsid w:val="00BF0B99"/>
    <w:rsid w:val="00BF0BCE"/>
    <w:rsid w:val="00BF0C45"/>
    <w:rsid w:val="00BF0C4E"/>
    <w:rsid w:val="00BF0CA8"/>
    <w:rsid w:val="00BF0CD4"/>
    <w:rsid w:val="00BF0E64"/>
    <w:rsid w:val="00BF0EAB"/>
    <w:rsid w:val="00BF0F74"/>
    <w:rsid w:val="00BF1063"/>
    <w:rsid w:val="00BF10C8"/>
    <w:rsid w:val="00BF11B5"/>
    <w:rsid w:val="00BF11C8"/>
    <w:rsid w:val="00BF11CC"/>
    <w:rsid w:val="00BF1206"/>
    <w:rsid w:val="00BF123F"/>
    <w:rsid w:val="00BF131B"/>
    <w:rsid w:val="00BF1422"/>
    <w:rsid w:val="00BF144D"/>
    <w:rsid w:val="00BF15DB"/>
    <w:rsid w:val="00BF1688"/>
    <w:rsid w:val="00BF17E7"/>
    <w:rsid w:val="00BF18C4"/>
    <w:rsid w:val="00BF1A2D"/>
    <w:rsid w:val="00BF1B03"/>
    <w:rsid w:val="00BF1B1C"/>
    <w:rsid w:val="00BF1BD2"/>
    <w:rsid w:val="00BF1C98"/>
    <w:rsid w:val="00BF1D08"/>
    <w:rsid w:val="00BF1DBF"/>
    <w:rsid w:val="00BF1DF1"/>
    <w:rsid w:val="00BF1E04"/>
    <w:rsid w:val="00BF1FB1"/>
    <w:rsid w:val="00BF1FF3"/>
    <w:rsid w:val="00BF20A3"/>
    <w:rsid w:val="00BF2135"/>
    <w:rsid w:val="00BF2212"/>
    <w:rsid w:val="00BF22E8"/>
    <w:rsid w:val="00BF2506"/>
    <w:rsid w:val="00BF2570"/>
    <w:rsid w:val="00BF25C9"/>
    <w:rsid w:val="00BF2683"/>
    <w:rsid w:val="00BF2794"/>
    <w:rsid w:val="00BF27AB"/>
    <w:rsid w:val="00BF29D8"/>
    <w:rsid w:val="00BF2AC3"/>
    <w:rsid w:val="00BF2B90"/>
    <w:rsid w:val="00BF2D3B"/>
    <w:rsid w:val="00BF2D3C"/>
    <w:rsid w:val="00BF2D63"/>
    <w:rsid w:val="00BF2E19"/>
    <w:rsid w:val="00BF2FDE"/>
    <w:rsid w:val="00BF3010"/>
    <w:rsid w:val="00BF3035"/>
    <w:rsid w:val="00BF3197"/>
    <w:rsid w:val="00BF31D5"/>
    <w:rsid w:val="00BF3212"/>
    <w:rsid w:val="00BF32FF"/>
    <w:rsid w:val="00BF3465"/>
    <w:rsid w:val="00BF3525"/>
    <w:rsid w:val="00BF3611"/>
    <w:rsid w:val="00BF3809"/>
    <w:rsid w:val="00BF3958"/>
    <w:rsid w:val="00BF39BE"/>
    <w:rsid w:val="00BF39D7"/>
    <w:rsid w:val="00BF39DE"/>
    <w:rsid w:val="00BF3A72"/>
    <w:rsid w:val="00BF3C3D"/>
    <w:rsid w:val="00BF3C61"/>
    <w:rsid w:val="00BF3D4D"/>
    <w:rsid w:val="00BF3D54"/>
    <w:rsid w:val="00BF40AC"/>
    <w:rsid w:val="00BF4187"/>
    <w:rsid w:val="00BF42EA"/>
    <w:rsid w:val="00BF4388"/>
    <w:rsid w:val="00BF4435"/>
    <w:rsid w:val="00BF44D8"/>
    <w:rsid w:val="00BF46A1"/>
    <w:rsid w:val="00BF4712"/>
    <w:rsid w:val="00BF4743"/>
    <w:rsid w:val="00BF47BB"/>
    <w:rsid w:val="00BF47FF"/>
    <w:rsid w:val="00BF4872"/>
    <w:rsid w:val="00BF49C6"/>
    <w:rsid w:val="00BF4BE2"/>
    <w:rsid w:val="00BF4CC8"/>
    <w:rsid w:val="00BF4DF3"/>
    <w:rsid w:val="00BF4E04"/>
    <w:rsid w:val="00BF4F2D"/>
    <w:rsid w:val="00BF4FE6"/>
    <w:rsid w:val="00BF5003"/>
    <w:rsid w:val="00BF5156"/>
    <w:rsid w:val="00BF52DF"/>
    <w:rsid w:val="00BF52EB"/>
    <w:rsid w:val="00BF52FE"/>
    <w:rsid w:val="00BF5403"/>
    <w:rsid w:val="00BF5415"/>
    <w:rsid w:val="00BF5462"/>
    <w:rsid w:val="00BF549A"/>
    <w:rsid w:val="00BF551F"/>
    <w:rsid w:val="00BF55F1"/>
    <w:rsid w:val="00BF5665"/>
    <w:rsid w:val="00BF56CD"/>
    <w:rsid w:val="00BF584C"/>
    <w:rsid w:val="00BF5891"/>
    <w:rsid w:val="00BF5B32"/>
    <w:rsid w:val="00BF5BD6"/>
    <w:rsid w:val="00BF5CB3"/>
    <w:rsid w:val="00BF5ECA"/>
    <w:rsid w:val="00BF5ED1"/>
    <w:rsid w:val="00BF5F01"/>
    <w:rsid w:val="00BF5FDA"/>
    <w:rsid w:val="00BF600B"/>
    <w:rsid w:val="00BF607A"/>
    <w:rsid w:val="00BF60F3"/>
    <w:rsid w:val="00BF60F7"/>
    <w:rsid w:val="00BF616F"/>
    <w:rsid w:val="00BF6207"/>
    <w:rsid w:val="00BF627B"/>
    <w:rsid w:val="00BF6285"/>
    <w:rsid w:val="00BF62DC"/>
    <w:rsid w:val="00BF6368"/>
    <w:rsid w:val="00BF6462"/>
    <w:rsid w:val="00BF6668"/>
    <w:rsid w:val="00BF6724"/>
    <w:rsid w:val="00BF676D"/>
    <w:rsid w:val="00BF6801"/>
    <w:rsid w:val="00BF696E"/>
    <w:rsid w:val="00BF69C6"/>
    <w:rsid w:val="00BF6A2A"/>
    <w:rsid w:val="00BF6A6A"/>
    <w:rsid w:val="00BF6B8E"/>
    <w:rsid w:val="00BF6BC9"/>
    <w:rsid w:val="00BF6C2A"/>
    <w:rsid w:val="00BF6CE1"/>
    <w:rsid w:val="00BF6D03"/>
    <w:rsid w:val="00BF6DFA"/>
    <w:rsid w:val="00BF6E6A"/>
    <w:rsid w:val="00BF707C"/>
    <w:rsid w:val="00BF70AC"/>
    <w:rsid w:val="00BF70E4"/>
    <w:rsid w:val="00BF7188"/>
    <w:rsid w:val="00BF722E"/>
    <w:rsid w:val="00BF7239"/>
    <w:rsid w:val="00BF7279"/>
    <w:rsid w:val="00BF7287"/>
    <w:rsid w:val="00BF739A"/>
    <w:rsid w:val="00BF74B8"/>
    <w:rsid w:val="00BF752B"/>
    <w:rsid w:val="00BF75DE"/>
    <w:rsid w:val="00BF75F1"/>
    <w:rsid w:val="00BF764C"/>
    <w:rsid w:val="00BF7745"/>
    <w:rsid w:val="00BF79F9"/>
    <w:rsid w:val="00BF79FB"/>
    <w:rsid w:val="00BF7A14"/>
    <w:rsid w:val="00BF7ABD"/>
    <w:rsid w:val="00BF7B60"/>
    <w:rsid w:val="00BF7B71"/>
    <w:rsid w:val="00BF7CB2"/>
    <w:rsid w:val="00BF7EA5"/>
    <w:rsid w:val="00BF7EFE"/>
    <w:rsid w:val="00BF7F3C"/>
    <w:rsid w:val="00BF7FA9"/>
    <w:rsid w:val="00C0003C"/>
    <w:rsid w:val="00C00097"/>
    <w:rsid w:val="00C0015B"/>
    <w:rsid w:val="00C0018B"/>
    <w:rsid w:val="00C001A8"/>
    <w:rsid w:val="00C0034C"/>
    <w:rsid w:val="00C003B2"/>
    <w:rsid w:val="00C003EF"/>
    <w:rsid w:val="00C006D9"/>
    <w:rsid w:val="00C00757"/>
    <w:rsid w:val="00C007A8"/>
    <w:rsid w:val="00C008C5"/>
    <w:rsid w:val="00C008ED"/>
    <w:rsid w:val="00C0090C"/>
    <w:rsid w:val="00C0094F"/>
    <w:rsid w:val="00C009D3"/>
    <w:rsid w:val="00C00A46"/>
    <w:rsid w:val="00C00B70"/>
    <w:rsid w:val="00C00BF4"/>
    <w:rsid w:val="00C00E5B"/>
    <w:rsid w:val="00C00EFE"/>
    <w:rsid w:val="00C00F2A"/>
    <w:rsid w:val="00C00F2E"/>
    <w:rsid w:val="00C00F80"/>
    <w:rsid w:val="00C00FE2"/>
    <w:rsid w:val="00C0113C"/>
    <w:rsid w:val="00C011AF"/>
    <w:rsid w:val="00C0123F"/>
    <w:rsid w:val="00C012DC"/>
    <w:rsid w:val="00C0144F"/>
    <w:rsid w:val="00C014B3"/>
    <w:rsid w:val="00C014BD"/>
    <w:rsid w:val="00C01630"/>
    <w:rsid w:val="00C01726"/>
    <w:rsid w:val="00C0174F"/>
    <w:rsid w:val="00C017BF"/>
    <w:rsid w:val="00C01857"/>
    <w:rsid w:val="00C018B7"/>
    <w:rsid w:val="00C018D5"/>
    <w:rsid w:val="00C01A2A"/>
    <w:rsid w:val="00C01A99"/>
    <w:rsid w:val="00C01A9C"/>
    <w:rsid w:val="00C01BA4"/>
    <w:rsid w:val="00C01BCF"/>
    <w:rsid w:val="00C01C2C"/>
    <w:rsid w:val="00C01C76"/>
    <w:rsid w:val="00C01C8E"/>
    <w:rsid w:val="00C01C8F"/>
    <w:rsid w:val="00C01CD2"/>
    <w:rsid w:val="00C01D3F"/>
    <w:rsid w:val="00C01DE6"/>
    <w:rsid w:val="00C01EDE"/>
    <w:rsid w:val="00C01F5A"/>
    <w:rsid w:val="00C01FD2"/>
    <w:rsid w:val="00C02006"/>
    <w:rsid w:val="00C020C6"/>
    <w:rsid w:val="00C0218C"/>
    <w:rsid w:val="00C021E9"/>
    <w:rsid w:val="00C022CA"/>
    <w:rsid w:val="00C02456"/>
    <w:rsid w:val="00C024CF"/>
    <w:rsid w:val="00C024D9"/>
    <w:rsid w:val="00C024F4"/>
    <w:rsid w:val="00C0250F"/>
    <w:rsid w:val="00C026D0"/>
    <w:rsid w:val="00C027BB"/>
    <w:rsid w:val="00C02839"/>
    <w:rsid w:val="00C028E0"/>
    <w:rsid w:val="00C029C9"/>
    <w:rsid w:val="00C02A09"/>
    <w:rsid w:val="00C02A29"/>
    <w:rsid w:val="00C02A64"/>
    <w:rsid w:val="00C02BB7"/>
    <w:rsid w:val="00C02C32"/>
    <w:rsid w:val="00C02C3A"/>
    <w:rsid w:val="00C02CCE"/>
    <w:rsid w:val="00C02D09"/>
    <w:rsid w:val="00C02D26"/>
    <w:rsid w:val="00C02D3C"/>
    <w:rsid w:val="00C02D5E"/>
    <w:rsid w:val="00C02D8A"/>
    <w:rsid w:val="00C02F8C"/>
    <w:rsid w:val="00C03183"/>
    <w:rsid w:val="00C031A9"/>
    <w:rsid w:val="00C031F0"/>
    <w:rsid w:val="00C03261"/>
    <w:rsid w:val="00C03270"/>
    <w:rsid w:val="00C032BD"/>
    <w:rsid w:val="00C03315"/>
    <w:rsid w:val="00C03499"/>
    <w:rsid w:val="00C03529"/>
    <w:rsid w:val="00C03697"/>
    <w:rsid w:val="00C036EA"/>
    <w:rsid w:val="00C0371A"/>
    <w:rsid w:val="00C0371D"/>
    <w:rsid w:val="00C03861"/>
    <w:rsid w:val="00C038DE"/>
    <w:rsid w:val="00C0392B"/>
    <w:rsid w:val="00C0399A"/>
    <w:rsid w:val="00C03A5C"/>
    <w:rsid w:val="00C03B5D"/>
    <w:rsid w:val="00C03CB4"/>
    <w:rsid w:val="00C03F5A"/>
    <w:rsid w:val="00C04045"/>
    <w:rsid w:val="00C041CC"/>
    <w:rsid w:val="00C041D4"/>
    <w:rsid w:val="00C04246"/>
    <w:rsid w:val="00C04346"/>
    <w:rsid w:val="00C04469"/>
    <w:rsid w:val="00C044AD"/>
    <w:rsid w:val="00C0451B"/>
    <w:rsid w:val="00C0476C"/>
    <w:rsid w:val="00C047A1"/>
    <w:rsid w:val="00C047F1"/>
    <w:rsid w:val="00C048EF"/>
    <w:rsid w:val="00C04964"/>
    <w:rsid w:val="00C04ADC"/>
    <w:rsid w:val="00C04B79"/>
    <w:rsid w:val="00C04BC4"/>
    <w:rsid w:val="00C04C3C"/>
    <w:rsid w:val="00C04C4D"/>
    <w:rsid w:val="00C04D0B"/>
    <w:rsid w:val="00C04D0F"/>
    <w:rsid w:val="00C04F3F"/>
    <w:rsid w:val="00C050EE"/>
    <w:rsid w:val="00C05259"/>
    <w:rsid w:val="00C05304"/>
    <w:rsid w:val="00C05359"/>
    <w:rsid w:val="00C0535F"/>
    <w:rsid w:val="00C054B6"/>
    <w:rsid w:val="00C0552D"/>
    <w:rsid w:val="00C05568"/>
    <w:rsid w:val="00C05773"/>
    <w:rsid w:val="00C05828"/>
    <w:rsid w:val="00C0590F"/>
    <w:rsid w:val="00C05C64"/>
    <w:rsid w:val="00C05D05"/>
    <w:rsid w:val="00C05D2E"/>
    <w:rsid w:val="00C05D90"/>
    <w:rsid w:val="00C05E19"/>
    <w:rsid w:val="00C05F3F"/>
    <w:rsid w:val="00C06264"/>
    <w:rsid w:val="00C062A8"/>
    <w:rsid w:val="00C06325"/>
    <w:rsid w:val="00C06342"/>
    <w:rsid w:val="00C0636A"/>
    <w:rsid w:val="00C06399"/>
    <w:rsid w:val="00C0639D"/>
    <w:rsid w:val="00C063E1"/>
    <w:rsid w:val="00C065DB"/>
    <w:rsid w:val="00C0670B"/>
    <w:rsid w:val="00C068A9"/>
    <w:rsid w:val="00C06901"/>
    <w:rsid w:val="00C0691A"/>
    <w:rsid w:val="00C06924"/>
    <w:rsid w:val="00C06A97"/>
    <w:rsid w:val="00C06B5B"/>
    <w:rsid w:val="00C06B6E"/>
    <w:rsid w:val="00C06D40"/>
    <w:rsid w:val="00C06D5B"/>
    <w:rsid w:val="00C06D6E"/>
    <w:rsid w:val="00C06E6A"/>
    <w:rsid w:val="00C06EBD"/>
    <w:rsid w:val="00C06FE5"/>
    <w:rsid w:val="00C07004"/>
    <w:rsid w:val="00C070BD"/>
    <w:rsid w:val="00C07235"/>
    <w:rsid w:val="00C0726A"/>
    <w:rsid w:val="00C072EA"/>
    <w:rsid w:val="00C07317"/>
    <w:rsid w:val="00C0738D"/>
    <w:rsid w:val="00C073B6"/>
    <w:rsid w:val="00C07580"/>
    <w:rsid w:val="00C07640"/>
    <w:rsid w:val="00C07669"/>
    <w:rsid w:val="00C0779C"/>
    <w:rsid w:val="00C078AB"/>
    <w:rsid w:val="00C079B8"/>
    <w:rsid w:val="00C07A4B"/>
    <w:rsid w:val="00C07A9A"/>
    <w:rsid w:val="00C07AA1"/>
    <w:rsid w:val="00C07AAF"/>
    <w:rsid w:val="00C07C48"/>
    <w:rsid w:val="00C07D54"/>
    <w:rsid w:val="00C07DF9"/>
    <w:rsid w:val="00C07E0D"/>
    <w:rsid w:val="00C07FED"/>
    <w:rsid w:val="00C1002E"/>
    <w:rsid w:val="00C10090"/>
    <w:rsid w:val="00C10116"/>
    <w:rsid w:val="00C10140"/>
    <w:rsid w:val="00C10183"/>
    <w:rsid w:val="00C102AC"/>
    <w:rsid w:val="00C103C1"/>
    <w:rsid w:val="00C10425"/>
    <w:rsid w:val="00C105C7"/>
    <w:rsid w:val="00C105E4"/>
    <w:rsid w:val="00C10706"/>
    <w:rsid w:val="00C1071F"/>
    <w:rsid w:val="00C1077D"/>
    <w:rsid w:val="00C10864"/>
    <w:rsid w:val="00C10898"/>
    <w:rsid w:val="00C109C0"/>
    <w:rsid w:val="00C109DE"/>
    <w:rsid w:val="00C10A2F"/>
    <w:rsid w:val="00C10AB5"/>
    <w:rsid w:val="00C10AF5"/>
    <w:rsid w:val="00C10B1F"/>
    <w:rsid w:val="00C10B58"/>
    <w:rsid w:val="00C10D45"/>
    <w:rsid w:val="00C10E1E"/>
    <w:rsid w:val="00C10E55"/>
    <w:rsid w:val="00C10FAA"/>
    <w:rsid w:val="00C10FB3"/>
    <w:rsid w:val="00C10FD5"/>
    <w:rsid w:val="00C10FDD"/>
    <w:rsid w:val="00C11001"/>
    <w:rsid w:val="00C110E3"/>
    <w:rsid w:val="00C11119"/>
    <w:rsid w:val="00C1113C"/>
    <w:rsid w:val="00C112B5"/>
    <w:rsid w:val="00C11350"/>
    <w:rsid w:val="00C11374"/>
    <w:rsid w:val="00C113A6"/>
    <w:rsid w:val="00C1140B"/>
    <w:rsid w:val="00C1141D"/>
    <w:rsid w:val="00C114EF"/>
    <w:rsid w:val="00C115E3"/>
    <w:rsid w:val="00C116FA"/>
    <w:rsid w:val="00C1186E"/>
    <w:rsid w:val="00C119AC"/>
    <w:rsid w:val="00C11AA6"/>
    <w:rsid w:val="00C11B27"/>
    <w:rsid w:val="00C11C01"/>
    <w:rsid w:val="00C11C18"/>
    <w:rsid w:val="00C11C19"/>
    <w:rsid w:val="00C11C3A"/>
    <w:rsid w:val="00C11DDB"/>
    <w:rsid w:val="00C11E5C"/>
    <w:rsid w:val="00C11E97"/>
    <w:rsid w:val="00C11F74"/>
    <w:rsid w:val="00C11F92"/>
    <w:rsid w:val="00C120F7"/>
    <w:rsid w:val="00C12134"/>
    <w:rsid w:val="00C12185"/>
    <w:rsid w:val="00C122EB"/>
    <w:rsid w:val="00C1233F"/>
    <w:rsid w:val="00C124DC"/>
    <w:rsid w:val="00C1252C"/>
    <w:rsid w:val="00C12578"/>
    <w:rsid w:val="00C125A1"/>
    <w:rsid w:val="00C126B6"/>
    <w:rsid w:val="00C126BC"/>
    <w:rsid w:val="00C126D5"/>
    <w:rsid w:val="00C126D9"/>
    <w:rsid w:val="00C127EC"/>
    <w:rsid w:val="00C12828"/>
    <w:rsid w:val="00C1285D"/>
    <w:rsid w:val="00C12EDE"/>
    <w:rsid w:val="00C12FEA"/>
    <w:rsid w:val="00C133BD"/>
    <w:rsid w:val="00C13552"/>
    <w:rsid w:val="00C135EB"/>
    <w:rsid w:val="00C13603"/>
    <w:rsid w:val="00C13869"/>
    <w:rsid w:val="00C1388F"/>
    <w:rsid w:val="00C138F2"/>
    <w:rsid w:val="00C13A99"/>
    <w:rsid w:val="00C13ADF"/>
    <w:rsid w:val="00C13BB4"/>
    <w:rsid w:val="00C13BEE"/>
    <w:rsid w:val="00C13C5E"/>
    <w:rsid w:val="00C140C1"/>
    <w:rsid w:val="00C14121"/>
    <w:rsid w:val="00C14212"/>
    <w:rsid w:val="00C14366"/>
    <w:rsid w:val="00C143D8"/>
    <w:rsid w:val="00C143DB"/>
    <w:rsid w:val="00C14435"/>
    <w:rsid w:val="00C1452A"/>
    <w:rsid w:val="00C14570"/>
    <w:rsid w:val="00C14578"/>
    <w:rsid w:val="00C1468F"/>
    <w:rsid w:val="00C1480B"/>
    <w:rsid w:val="00C14940"/>
    <w:rsid w:val="00C14989"/>
    <w:rsid w:val="00C14ABC"/>
    <w:rsid w:val="00C14C11"/>
    <w:rsid w:val="00C14E20"/>
    <w:rsid w:val="00C14F76"/>
    <w:rsid w:val="00C150F6"/>
    <w:rsid w:val="00C1514C"/>
    <w:rsid w:val="00C15564"/>
    <w:rsid w:val="00C15580"/>
    <w:rsid w:val="00C155DB"/>
    <w:rsid w:val="00C15639"/>
    <w:rsid w:val="00C156ED"/>
    <w:rsid w:val="00C15930"/>
    <w:rsid w:val="00C15976"/>
    <w:rsid w:val="00C15AF3"/>
    <w:rsid w:val="00C15AF8"/>
    <w:rsid w:val="00C15BDD"/>
    <w:rsid w:val="00C15CED"/>
    <w:rsid w:val="00C15DCE"/>
    <w:rsid w:val="00C15E55"/>
    <w:rsid w:val="00C15EF0"/>
    <w:rsid w:val="00C1603A"/>
    <w:rsid w:val="00C1609A"/>
    <w:rsid w:val="00C16130"/>
    <w:rsid w:val="00C16222"/>
    <w:rsid w:val="00C16253"/>
    <w:rsid w:val="00C16343"/>
    <w:rsid w:val="00C163CC"/>
    <w:rsid w:val="00C16442"/>
    <w:rsid w:val="00C16453"/>
    <w:rsid w:val="00C16517"/>
    <w:rsid w:val="00C16746"/>
    <w:rsid w:val="00C16A14"/>
    <w:rsid w:val="00C16B79"/>
    <w:rsid w:val="00C16C95"/>
    <w:rsid w:val="00C16CE1"/>
    <w:rsid w:val="00C16D85"/>
    <w:rsid w:val="00C16E7E"/>
    <w:rsid w:val="00C16F16"/>
    <w:rsid w:val="00C16F77"/>
    <w:rsid w:val="00C17098"/>
    <w:rsid w:val="00C17099"/>
    <w:rsid w:val="00C173FE"/>
    <w:rsid w:val="00C17422"/>
    <w:rsid w:val="00C1743B"/>
    <w:rsid w:val="00C17454"/>
    <w:rsid w:val="00C174C7"/>
    <w:rsid w:val="00C17644"/>
    <w:rsid w:val="00C1765C"/>
    <w:rsid w:val="00C17880"/>
    <w:rsid w:val="00C17918"/>
    <w:rsid w:val="00C17995"/>
    <w:rsid w:val="00C179BD"/>
    <w:rsid w:val="00C17A55"/>
    <w:rsid w:val="00C17A80"/>
    <w:rsid w:val="00C17AEC"/>
    <w:rsid w:val="00C17BDE"/>
    <w:rsid w:val="00C17C19"/>
    <w:rsid w:val="00C17C47"/>
    <w:rsid w:val="00C17CEC"/>
    <w:rsid w:val="00C17EB9"/>
    <w:rsid w:val="00C17F9B"/>
    <w:rsid w:val="00C201C9"/>
    <w:rsid w:val="00C20266"/>
    <w:rsid w:val="00C202B5"/>
    <w:rsid w:val="00C20300"/>
    <w:rsid w:val="00C20308"/>
    <w:rsid w:val="00C2034F"/>
    <w:rsid w:val="00C20379"/>
    <w:rsid w:val="00C203EE"/>
    <w:rsid w:val="00C2045B"/>
    <w:rsid w:val="00C2046B"/>
    <w:rsid w:val="00C204F3"/>
    <w:rsid w:val="00C205F6"/>
    <w:rsid w:val="00C206DE"/>
    <w:rsid w:val="00C206F7"/>
    <w:rsid w:val="00C209C3"/>
    <w:rsid w:val="00C20A82"/>
    <w:rsid w:val="00C20B45"/>
    <w:rsid w:val="00C20B6A"/>
    <w:rsid w:val="00C20C9A"/>
    <w:rsid w:val="00C20CBC"/>
    <w:rsid w:val="00C20E6E"/>
    <w:rsid w:val="00C20FC7"/>
    <w:rsid w:val="00C21230"/>
    <w:rsid w:val="00C2125D"/>
    <w:rsid w:val="00C212C8"/>
    <w:rsid w:val="00C2144A"/>
    <w:rsid w:val="00C21699"/>
    <w:rsid w:val="00C216C3"/>
    <w:rsid w:val="00C21AF4"/>
    <w:rsid w:val="00C21B36"/>
    <w:rsid w:val="00C21BC2"/>
    <w:rsid w:val="00C21BE7"/>
    <w:rsid w:val="00C21CD2"/>
    <w:rsid w:val="00C21D7A"/>
    <w:rsid w:val="00C21DCD"/>
    <w:rsid w:val="00C21E8B"/>
    <w:rsid w:val="00C21FA7"/>
    <w:rsid w:val="00C22055"/>
    <w:rsid w:val="00C22089"/>
    <w:rsid w:val="00C221BB"/>
    <w:rsid w:val="00C223C3"/>
    <w:rsid w:val="00C223D9"/>
    <w:rsid w:val="00C2249D"/>
    <w:rsid w:val="00C22537"/>
    <w:rsid w:val="00C2254F"/>
    <w:rsid w:val="00C226F8"/>
    <w:rsid w:val="00C2291B"/>
    <w:rsid w:val="00C22A0E"/>
    <w:rsid w:val="00C22A38"/>
    <w:rsid w:val="00C22AB4"/>
    <w:rsid w:val="00C22C30"/>
    <w:rsid w:val="00C22DC0"/>
    <w:rsid w:val="00C22EBA"/>
    <w:rsid w:val="00C2300F"/>
    <w:rsid w:val="00C2302B"/>
    <w:rsid w:val="00C230A9"/>
    <w:rsid w:val="00C23240"/>
    <w:rsid w:val="00C2324A"/>
    <w:rsid w:val="00C23275"/>
    <w:rsid w:val="00C2336A"/>
    <w:rsid w:val="00C233C2"/>
    <w:rsid w:val="00C234ED"/>
    <w:rsid w:val="00C234F1"/>
    <w:rsid w:val="00C237B4"/>
    <w:rsid w:val="00C237C8"/>
    <w:rsid w:val="00C238E4"/>
    <w:rsid w:val="00C2398A"/>
    <w:rsid w:val="00C23A97"/>
    <w:rsid w:val="00C23BAC"/>
    <w:rsid w:val="00C23DB5"/>
    <w:rsid w:val="00C23E84"/>
    <w:rsid w:val="00C23E90"/>
    <w:rsid w:val="00C2409C"/>
    <w:rsid w:val="00C240E3"/>
    <w:rsid w:val="00C240E4"/>
    <w:rsid w:val="00C241BE"/>
    <w:rsid w:val="00C24469"/>
    <w:rsid w:val="00C245C0"/>
    <w:rsid w:val="00C24853"/>
    <w:rsid w:val="00C24B1D"/>
    <w:rsid w:val="00C24B77"/>
    <w:rsid w:val="00C24C78"/>
    <w:rsid w:val="00C24CFE"/>
    <w:rsid w:val="00C24E2D"/>
    <w:rsid w:val="00C24E9C"/>
    <w:rsid w:val="00C24EA4"/>
    <w:rsid w:val="00C24EE2"/>
    <w:rsid w:val="00C24F7E"/>
    <w:rsid w:val="00C25021"/>
    <w:rsid w:val="00C2504B"/>
    <w:rsid w:val="00C2505F"/>
    <w:rsid w:val="00C2506E"/>
    <w:rsid w:val="00C250E4"/>
    <w:rsid w:val="00C250E6"/>
    <w:rsid w:val="00C253EA"/>
    <w:rsid w:val="00C25436"/>
    <w:rsid w:val="00C2562F"/>
    <w:rsid w:val="00C25669"/>
    <w:rsid w:val="00C257CC"/>
    <w:rsid w:val="00C2581B"/>
    <w:rsid w:val="00C2598C"/>
    <w:rsid w:val="00C25A07"/>
    <w:rsid w:val="00C25A3B"/>
    <w:rsid w:val="00C25AC7"/>
    <w:rsid w:val="00C25B12"/>
    <w:rsid w:val="00C25C09"/>
    <w:rsid w:val="00C25C8B"/>
    <w:rsid w:val="00C25CB9"/>
    <w:rsid w:val="00C25D26"/>
    <w:rsid w:val="00C25DF1"/>
    <w:rsid w:val="00C25EB6"/>
    <w:rsid w:val="00C25FCD"/>
    <w:rsid w:val="00C2604F"/>
    <w:rsid w:val="00C260E6"/>
    <w:rsid w:val="00C2613D"/>
    <w:rsid w:val="00C2615E"/>
    <w:rsid w:val="00C262F1"/>
    <w:rsid w:val="00C2635A"/>
    <w:rsid w:val="00C2636F"/>
    <w:rsid w:val="00C26387"/>
    <w:rsid w:val="00C263B8"/>
    <w:rsid w:val="00C26517"/>
    <w:rsid w:val="00C26608"/>
    <w:rsid w:val="00C26931"/>
    <w:rsid w:val="00C2699B"/>
    <w:rsid w:val="00C269EC"/>
    <w:rsid w:val="00C26A23"/>
    <w:rsid w:val="00C26A38"/>
    <w:rsid w:val="00C26B7D"/>
    <w:rsid w:val="00C26C43"/>
    <w:rsid w:val="00C26C46"/>
    <w:rsid w:val="00C26CA0"/>
    <w:rsid w:val="00C26DA8"/>
    <w:rsid w:val="00C26DEC"/>
    <w:rsid w:val="00C26EF3"/>
    <w:rsid w:val="00C27001"/>
    <w:rsid w:val="00C270AD"/>
    <w:rsid w:val="00C2711E"/>
    <w:rsid w:val="00C27226"/>
    <w:rsid w:val="00C27254"/>
    <w:rsid w:val="00C27284"/>
    <w:rsid w:val="00C272C9"/>
    <w:rsid w:val="00C27311"/>
    <w:rsid w:val="00C27356"/>
    <w:rsid w:val="00C274A3"/>
    <w:rsid w:val="00C274B8"/>
    <w:rsid w:val="00C275A3"/>
    <w:rsid w:val="00C276B1"/>
    <w:rsid w:val="00C276FE"/>
    <w:rsid w:val="00C2781F"/>
    <w:rsid w:val="00C278FC"/>
    <w:rsid w:val="00C278FF"/>
    <w:rsid w:val="00C279A1"/>
    <w:rsid w:val="00C279B2"/>
    <w:rsid w:val="00C27AD5"/>
    <w:rsid w:val="00C27B3E"/>
    <w:rsid w:val="00C27B94"/>
    <w:rsid w:val="00C27C52"/>
    <w:rsid w:val="00C27D47"/>
    <w:rsid w:val="00C27F0D"/>
    <w:rsid w:val="00C27F3B"/>
    <w:rsid w:val="00C2D1A9"/>
    <w:rsid w:val="00C30002"/>
    <w:rsid w:val="00C30021"/>
    <w:rsid w:val="00C30024"/>
    <w:rsid w:val="00C301AC"/>
    <w:rsid w:val="00C30271"/>
    <w:rsid w:val="00C30293"/>
    <w:rsid w:val="00C30405"/>
    <w:rsid w:val="00C30639"/>
    <w:rsid w:val="00C30766"/>
    <w:rsid w:val="00C3084F"/>
    <w:rsid w:val="00C30A00"/>
    <w:rsid w:val="00C30A41"/>
    <w:rsid w:val="00C30A8D"/>
    <w:rsid w:val="00C30DEA"/>
    <w:rsid w:val="00C30E70"/>
    <w:rsid w:val="00C30F18"/>
    <w:rsid w:val="00C30F26"/>
    <w:rsid w:val="00C30F84"/>
    <w:rsid w:val="00C30FFA"/>
    <w:rsid w:val="00C311CF"/>
    <w:rsid w:val="00C311E8"/>
    <w:rsid w:val="00C311F8"/>
    <w:rsid w:val="00C3124E"/>
    <w:rsid w:val="00C31269"/>
    <w:rsid w:val="00C314CD"/>
    <w:rsid w:val="00C3151C"/>
    <w:rsid w:val="00C3153F"/>
    <w:rsid w:val="00C31592"/>
    <w:rsid w:val="00C316B8"/>
    <w:rsid w:val="00C3177C"/>
    <w:rsid w:val="00C31B39"/>
    <w:rsid w:val="00C31BAF"/>
    <w:rsid w:val="00C31CD9"/>
    <w:rsid w:val="00C31D09"/>
    <w:rsid w:val="00C31DA7"/>
    <w:rsid w:val="00C31FB9"/>
    <w:rsid w:val="00C32218"/>
    <w:rsid w:val="00C3225D"/>
    <w:rsid w:val="00C323A7"/>
    <w:rsid w:val="00C323CB"/>
    <w:rsid w:val="00C32423"/>
    <w:rsid w:val="00C32435"/>
    <w:rsid w:val="00C324BC"/>
    <w:rsid w:val="00C32583"/>
    <w:rsid w:val="00C325D4"/>
    <w:rsid w:val="00C326EB"/>
    <w:rsid w:val="00C32701"/>
    <w:rsid w:val="00C3274C"/>
    <w:rsid w:val="00C327C0"/>
    <w:rsid w:val="00C3296D"/>
    <w:rsid w:val="00C32A3D"/>
    <w:rsid w:val="00C32A47"/>
    <w:rsid w:val="00C32A93"/>
    <w:rsid w:val="00C32A97"/>
    <w:rsid w:val="00C32B77"/>
    <w:rsid w:val="00C32C06"/>
    <w:rsid w:val="00C32C0F"/>
    <w:rsid w:val="00C32D27"/>
    <w:rsid w:val="00C32D68"/>
    <w:rsid w:val="00C32DAE"/>
    <w:rsid w:val="00C32DCF"/>
    <w:rsid w:val="00C32E7B"/>
    <w:rsid w:val="00C32F64"/>
    <w:rsid w:val="00C32F8E"/>
    <w:rsid w:val="00C32F8F"/>
    <w:rsid w:val="00C32FBA"/>
    <w:rsid w:val="00C3325D"/>
    <w:rsid w:val="00C332D6"/>
    <w:rsid w:val="00C3330E"/>
    <w:rsid w:val="00C33372"/>
    <w:rsid w:val="00C33437"/>
    <w:rsid w:val="00C33646"/>
    <w:rsid w:val="00C3369B"/>
    <w:rsid w:val="00C3382E"/>
    <w:rsid w:val="00C33993"/>
    <w:rsid w:val="00C339A0"/>
    <w:rsid w:val="00C339E9"/>
    <w:rsid w:val="00C33A24"/>
    <w:rsid w:val="00C33A65"/>
    <w:rsid w:val="00C33A71"/>
    <w:rsid w:val="00C33A72"/>
    <w:rsid w:val="00C33B06"/>
    <w:rsid w:val="00C33BC4"/>
    <w:rsid w:val="00C33BD7"/>
    <w:rsid w:val="00C33C4C"/>
    <w:rsid w:val="00C33CAA"/>
    <w:rsid w:val="00C33CF7"/>
    <w:rsid w:val="00C33E91"/>
    <w:rsid w:val="00C33EC8"/>
    <w:rsid w:val="00C33EE4"/>
    <w:rsid w:val="00C33EEC"/>
    <w:rsid w:val="00C33F73"/>
    <w:rsid w:val="00C33F80"/>
    <w:rsid w:val="00C33FCB"/>
    <w:rsid w:val="00C340F5"/>
    <w:rsid w:val="00C341AB"/>
    <w:rsid w:val="00C34311"/>
    <w:rsid w:val="00C34490"/>
    <w:rsid w:val="00C346EE"/>
    <w:rsid w:val="00C3473B"/>
    <w:rsid w:val="00C3477E"/>
    <w:rsid w:val="00C347E2"/>
    <w:rsid w:val="00C348F8"/>
    <w:rsid w:val="00C349D4"/>
    <w:rsid w:val="00C34ACB"/>
    <w:rsid w:val="00C34ACE"/>
    <w:rsid w:val="00C34AD0"/>
    <w:rsid w:val="00C34C5B"/>
    <w:rsid w:val="00C34CA1"/>
    <w:rsid w:val="00C34CE1"/>
    <w:rsid w:val="00C34DCA"/>
    <w:rsid w:val="00C34DEA"/>
    <w:rsid w:val="00C34DEB"/>
    <w:rsid w:val="00C34E1F"/>
    <w:rsid w:val="00C34E6B"/>
    <w:rsid w:val="00C34FEE"/>
    <w:rsid w:val="00C3504A"/>
    <w:rsid w:val="00C3532A"/>
    <w:rsid w:val="00C3533C"/>
    <w:rsid w:val="00C3534B"/>
    <w:rsid w:val="00C35428"/>
    <w:rsid w:val="00C35488"/>
    <w:rsid w:val="00C3549F"/>
    <w:rsid w:val="00C354A2"/>
    <w:rsid w:val="00C35541"/>
    <w:rsid w:val="00C357C6"/>
    <w:rsid w:val="00C359B7"/>
    <w:rsid w:val="00C35A73"/>
    <w:rsid w:val="00C35A80"/>
    <w:rsid w:val="00C35B90"/>
    <w:rsid w:val="00C35B94"/>
    <w:rsid w:val="00C35BA1"/>
    <w:rsid w:val="00C35BA9"/>
    <w:rsid w:val="00C35BD3"/>
    <w:rsid w:val="00C35CFD"/>
    <w:rsid w:val="00C35D58"/>
    <w:rsid w:val="00C35D5B"/>
    <w:rsid w:val="00C35DFC"/>
    <w:rsid w:val="00C35E3C"/>
    <w:rsid w:val="00C35E7C"/>
    <w:rsid w:val="00C35EAA"/>
    <w:rsid w:val="00C35F9E"/>
    <w:rsid w:val="00C35FDA"/>
    <w:rsid w:val="00C35FEA"/>
    <w:rsid w:val="00C36090"/>
    <w:rsid w:val="00C3611A"/>
    <w:rsid w:val="00C361A1"/>
    <w:rsid w:val="00C361B3"/>
    <w:rsid w:val="00C361FA"/>
    <w:rsid w:val="00C36245"/>
    <w:rsid w:val="00C3631D"/>
    <w:rsid w:val="00C3634B"/>
    <w:rsid w:val="00C36428"/>
    <w:rsid w:val="00C3642F"/>
    <w:rsid w:val="00C364B8"/>
    <w:rsid w:val="00C36930"/>
    <w:rsid w:val="00C3693F"/>
    <w:rsid w:val="00C36962"/>
    <w:rsid w:val="00C369EA"/>
    <w:rsid w:val="00C36A8A"/>
    <w:rsid w:val="00C36A99"/>
    <w:rsid w:val="00C36AB6"/>
    <w:rsid w:val="00C36BB4"/>
    <w:rsid w:val="00C36BB5"/>
    <w:rsid w:val="00C36D6E"/>
    <w:rsid w:val="00C36E18"/>
    <w:rsid w:val="00C36E31"/>
    <w:rsid w:val="00C36EC6"/>
    <w:rsid w:val="00C36ED4"/>
    <w:rsid w:val="00C36EE9"/>
    <w:rsid w:val="00C37117"/>
    <w:rsid w:val="00C3717A"/>
    <w:rsid w:val="00C37203"/>
    <w:rsid w:val="00C3730B"/>
    <w:rsid w:val="00C37317"/>
    <w:rsid w:val="00C3733F"/>
    <w:rsid w:val="00C37409"/>
    <w:rsid w:val="00C3740E"/>
    <w:rsid w:val="00C37666"/>
    <w:rsid w:val="00C376BC"/>
    <w:rsid w:val="00C3773C"/>
    <w:rsid w:val="00C3789E"/>
    <w:rsid w:val="00C37984"/>
    <w:rsid w:val="00C3798E"/>
    <w:rsid w:val="00C37B58"/>
    <w:rsid w:val="00C37B5C"/>
    <w:rsid w:val="00C37BBD"/>
    <w:rsid w:val="00C37CB0"/>
    <w:rsid w:val="00C37E6F"/>
    <w:rsid w:val="00C4006F"/>
    <w:rsid w:val="00C400A8"/>
    <w:rsid w:val="00C40122"/>
    <w:rsid w:val="00C4034E"/>
    <w:rsid w:val="00C404A9"/>
    <w:rsid w:val="00C4055A"/>
    <w:rsid w:val="00C405FE"/>
    <w:rsid w:val="00C408B9"/>
    <w:rsid w:val="00C408C5"/>
    <w:rsid w:val="00C40B94"/>
    <w:rsid w:val="00C40D9A"/>
    <w:rsid w:val="00C40F13"/>
    <w:rsid w:val="00C40F18"/>
    <w:rsid w:val="00C41096"/>
    <w:rsid w:val="00C41149"/>
    <w:rsid w:val="00C411A1"/>
    <w:rsid w:val="00C4122B"/>
    <w:rsid w:val="00C41430"/>
    <w:rsid w:val="00C41439"/>
    <w:rsid w:val="00C41464"/>
    <w:rsid w:val="00C41582"/>
    <w:rsid w:val="00C417A5"/>
    <w:rsid w:val="00C417C1"/>
    <w:rsid w:val="00C419E9"/>
    <w:rsid w:val="00C41AB7"/>
    <w:rsid w:val="00C41AFE"/>
    <w:rsid w:val="00C41B23"/>
    <w:rsid w:val="00C41BCB"/>
    <w:rsid w:val="00C41C49"/>
    <w:rsid w:val="00C41CBC"/>
    <w:rsid w:val="00C41E4A"/>
    <w:rsid w:val="00C4205A"/>
    <w:rsid w:val="00C42080"/>
    <w:rsid w:val="00C420FF"/>
    <w:rsid w:val="00C42180"/>
    <w:rsid w:val="00C421DD"/>
    <w:rsid w:val="00C421E4"/>
    <w:rsid w:val="00C42293"/>
    <w:rsid w:val="00C422D5"/>
    <w:rsid w:val="00C423B5"/>
    <w:rsid w:val="00C423EB"/>
    <w:rsid w:val="00C42521"/>
    <w:rsid w:val="00C42750"/>
    <w:rsid w:val="00C429C9"/>
    <w:rsid w:val="00C42A23"/>
    <w:rsid w:val="00C42C3A"/>
    <w:rsid w:val="00C42E95"/>
    <w:rsid w:val="00C42EBD"/>
    <w:rsid w:val="00C42EE3"/>
    <w:rsid w:val="00C42FBA"/>
    <w:rsid w:val="00C430B1"/>
    <w:rsid w:val="00C43353"/>
    <w:rsid w:val="00C43395"/>
    <w:rsid w:val="00C433A9"/>
    <w:rsid w:val="00C436A2"/>
    <w:rsid w:val="00C43861"/>
    <w:rsid w:val="00C43906"/>
    <w:rsid w:val="00C4396E"/>
    <w:rsid w:val="00C43B12"/>
    <w:rsid w:val="00C43BAD"/>
    <w:rsid w:val="00C43BF7"/>
    <w:rsid w:val="00C43C12"/>
    <w:rsid w:val="00C43CC0"/>
    <w:rsid w:val="00C43D10"/>
    <w:rsid w:val="00C441DF"/>
    <w:rsid w:val="00C4420F"/>
    <w:rsid w:val="00C44214"/>
    <w:rsid w:val="00C44232"/>
    <w:rsid w:val="00C442DB"/>
    <w:rsid w:val="00C443AB"/>
    <w:rsid w:val="00C44482"/>
    <w:rsid w:val="00C444A5"/>
    <w:rsid w:val="00C444AA"/>
    <w:rsid w:val="00C44606"/>
    <w:rsid w:val="00C44710"/>
    <w:rsid w:val="00C4472F"/>
    <w:rsid w:val="00C44736"/>
    <w:rsid w:val="00C44891"/>
    <w:rsid w:val="00C4491A"/>
    <w:rsid w:val="00C44955"/>
    <w:rsid w:val="00C4495B"/>
    <w:rsid w:val="00C44B4A"/>
    <w:rsid w:val="00C44C94"/>
    <w:rsid w:val="00C44CF1"/>
    <w:rsid w:val="00C44F38"/>
    <w:rsid w:val="00C44F3B"/>
    <w:rsid w:val="00C45024"/>
    <w:rsid w:val="00C450CC"/>
    <w:rsid w:val="00C4511C"/>
    <w:rsid w:val="00C4535A"/>
    <w:rsid w:val="00C4535E"/>
    <w:rsid w:val="00C4539D"/>
    <w:rsid w:val="00C454DF"/>
    <w:rsid w:val="00C45606"/>
    <w:rsid w:val="00C4569C"/>
    <w:rsid w:val="00C4571B"/>
    <w:rsid w:val="00C457FB"/>
    <w:rsid w:val="00C45921"/>
    <w:rsid w:val="00C45A97"/>
    <w:rsid w:val="00C45BEE"/>
    <w:rsid w:val="00C45BF9"/>
    <w:rsid w:val="00C45C46"/>
    <w:rsid w:val="00C45DD8"/>
    <w:rsid w:val="00C45E02"/>
    <w:rsid w:val="00C45F9C"/>
    <w:rsid w:val="00C46295"/>
    <w:rsid w:val="00C462EC"/>
    <w:rsid w:val="00C46344"/>
    <w:rsid w:val="00C463FC"/>
    <w:rsid w:val="00C4649A"/>
    <w:rsid w:val="00C46614"/>
    <w:rsid w:val="00C46818"/>
    <w:rsid w:val="00C46B17"/>
    <w:rsid w:val="00C46B63"/>
    <w:rsid w:val="00C46B73"/>
    <w:rsid w:val="00C46BBE"/>
    <w:rsid w:val="00C46CFA"/>
    <w:rsid w:val="00C46D2E"/>
    <w:rsid w:val="00C46D34"/>
    <w:rsid w:val="00C46DA7"/>
    <w:rsid w:val="00C46E12"/>
    <w:rsid w:val="00C46E7F"/>
    <w:rsid w:val="00C46EAD"/>
    <w:rsid w:val="00C46FB7"/>
    <w:rsid w:val="00C470DC"/>
    <w:rsid w:val="00C473BA"/>
    <w:rsid w:val="00C473C2"/>
    <w:rsid w:val="00C47461"/>
    <w:rsid w:val="00C47589"/>
    <w:rsid w:val="00C475C1"/>
    <w:rsid w:val="00C4765F"/>
    <w:rsid w:val="00C47787"/>
    <w:rsid w:val="00C47841"/>
    <w:rsid w:val="00C47917"/>
    <w:rsid w:val="00C4791D"/>
    <w:rsid w:val="00C47DF8"/>
    <w:rsid w:val="00C47E41"/>
    <w:rsid w:val="00C47F08"/>
    <w:rsid w:val="00C50029"/>
    <w:rsid w:val="00C5004C"/>
    <w:rsid w:val="00C50078"/>
    <w:rsid w:val="00C50097"/>
    <w:rsid w:val="00C5009D"/>
    <w:rsid w:val="00C501D7"/>
    <w:rsid w:val="00C504D6"/>
    <w:rsid w:val="00C504DD"/>
    <w:rsid w:val="00C5073E"/>
    <w:rsid w:val="00C507EA"/>
    <w:rsid w:val="00C5093F"/>
    <w:rsid w:val="00C50A76"/>
    <w:rsid w:val="00C50CB0"/>
    <w:rsid w:val="00C50D3C"/>
    <w:rsid w:val="00C50DA4"/>
    <w:rsid w:val="00C50DEB"/>
    <w:rsid w:val="00C50DFD"/>
    <w:rsid w:val="00C50EEF"/>
    <w:rsid w:val="00C50F25"/>
    <w:rsid w:val="00C50FCF"/>
    <w:rsid w:val="00C50FED"/>
    <w:rsid w:val="00C51083"/>
    <w:rsid w:val="00C5114D"/>
    <w:rsid w:val="00C5118C"/>
    <w:rsid w:val="00C511D8"/>
    <w:rsid w:val="00C511EF"/>
    <w:rsid w:val="00C51219"/>
    <w:rsid w:val="00C512B0"/>
    <w:rsid w:val="00C512EF"/>
    <w:rsid w:val="00C51306"/>
    <w:rsid w:val="00C51445"/>
    <w:rsid w:val="00C51466"/>
    <w:rsid w:val="00C51469"/>
    <w:rsid w:val="00C514EA"/>
    <w:rsid w:val="00C5151F"/>
    <w:rsid w:val="00C515BC"/>
    <w:rsid w:val="00C51801"/>
    <w:rsid w:val="00C5184E"/>
    <w:rsid w:val="00C518DA"/>
    <w:rsid w:val="00C518EC"/>
    <w:rsid w:val="00C51C4C"/>
    <w:rsid w:val="00C51DA4"/>
    <w:rsid w:val="00C51DA7"/>
    <w:rsid w:val="00C51EBE"/>
    <w:rsid w:val="00C51EE2"/>
    <w:rsid w:val="00C51FC5"/>
    <w:rsid w:val="00C52104"/>
    <w:rsid w:val="00C52183"/>
    <w:rsid w:val="00C522D8"/>
    <w:rsid w:val="00C52336"/>
    <w:rsid w:val="00C52377"/>
    <w:rsid w:val="00C524E2"/>
    <w:rsid w:val="00C52588"/>
    <w:rsid w:val="00C525A3"/>
    <w:rsid w:val="00C5263E"/>
    <w:rsid w:val="00C526AA"/>
    <w:rsid w:val="00C52757"/>
    <w:rsid w:val="00C5285B"/>
    <w:rsid w:val="00C528ED"/>
    <w:rsid w:val="00C5298B"/>
    <w:rsid w:val="00C52992"/>
    <w:rsid w:val="00C52998"/>
    <w:rsid w:val="00C529E5"/>
    <w:rsid w:val="00C52B81"/>
    <w:rsid w:val="00C52E75"/>
    <w:rsid w:val="00C52EA4"/>
    <w:rsid w:val="00C52F9E"/>
    <w:rsid w:val="00C531A0"/>
    <w:rsid w:val="00C531DB"/>
    <w:rsid w:val="00C5329F"/>
    <w:rsid w:val="00C53389"/>
    <w:rsid w:val="00C5339E"/>
    <w:rsid w:val="00C534B9"/>
    <w:rsid w:val="00C537C2"/>
    <w:rsid w:val="00C539B9"/>
    <w:rsid w:val="00C53A93"/>
    <w:rsid w:val="00C53ADB"/>
    <w:rsid w:val="00C53B52"/>
    <w:rsid w:val="00C53B92"/>
    <w:rsid w:val="00C53BE7"/>
    <w:rsid w:val="00C53EFF"/>
    <w:rsid w:val="00C54034"/>
    <w:rsid w:val="00C54243"/>
    <w:rsid w:val="00C54314"/>
    <w:rsid w:val="00C5443B"/>
    <w:rsid w:val="00C54543"/>
    <w:rsid w:val="00C545E6"/>
    <w:rsid w:val="00C54AE1"/>
    <w:rsid w:val="00C54B60"/>
    <w:rsid w:val="00C54BBB"/>
    <w:rsid w:val="00C54BCA"/>
    <w:rsid w:val="00C54EE1"/>
    <w:rsid w:val="00C54EED"/>
    <w:rsid w:val="00C54F3C"/>
    <w:rsid w:val="00C54F46"/>
    <w:rsid w:val="00C54FC1"/>
    <w:rsid w:val="00C55024"/>
    <w:rsid w:val="00C5505E"/>
    <w:rsid w:val="00C550EA"/>
    <w:rsid w:val="00C5510C"/>
    <w:rsid w:val="00C5523D"/>
    <w:rsid w:val="00C553E2"/>
    <w:rsid w:val="00C553E8"/>
    <w:rsid w:val="00C554B2"/>
    <w:rsid w:val="00C5554D"/>
    <w:rsid w:val="00C55578"/>
    <w:rsid w:val="00C555E3"/>
    <w:rsid w:val="00C5572E"/>
    <w:rsid w:val="00C558C7"/>
    <w:rsid w:val="00C55937"/>
    <w:rsid w:val="00C55ABF"/>
    <w:rsid w:val="00C55BBF"/>
    <w:rsid w:val="00C55BEE"/>
    <w:rsid w:val="00C55CD2"/>
    <w:rsid w:val="00C55D1F"/>
    <w:rsid w:val="00C55D6B"/>
    <w:rsid w:val="00C55E30"/>
    <w:rsid w:val="00C55F7D"/>
    <w:rsid w:val="00C55FA9"/>
    <w:rsid w:val="00C55FC1"/>
    <w:rsid w:val="00C5605B"/>
    <w:rsid w:val="00C561D7"/>
    <w:rsid w:val="00C56362"/>
    <w:rsid w:val="00C56501"/>
    <w:rsid w:val="00C565C6"/>
    <w:rsid w:val="00C565E1"/>
    <w:rsid w:val="00C56674"/>
    <w:rsid w:val="00C56696"/>
    <w:rsid w:val="00C56859"/>
    <w:rsid w:val="00C5696D"/>
    <w:rsid w:val="00C56A92"/>
    <w:rsid w:val="00C56B0D"/>
    <w:rsid w:val="00C56BBA"/>
    <w:rsid w:val="00C56C55"/>
    <w:rsid w:val="00C56D4D"/>
    <w:rsid w:val="00C56D6D"/>
    <w:rsid w:val="00C56E7D"/>
    <w:rsid w:val="00C56EF0"/>
    <w:rsid w:val="00C56F10"/>
    <w:rsid w:val="00C56FD1"/>
    <w:rsid w:val="00C57193"/>
    <w:rsid w:val="00C57224"/>
    <w:rsid w:val="00C57226"/>
    <w:rsid w:val="00C57292"/>
    <w:rsid w:val="00C5730D"/>
    <w:rsid w:val="00C57356"/>
    <w:rsid w:val="00C573ED"/>
    <w:rsid w:val="00C574C2"/>
    <w:rsid w:val="00C575BF"/>
    <w:rsid w:val="00C575CE"/>
    <w:rsid w:val="00C575D0"/>
    <w:rsid w:val="00C57646"/>
    <w:rsid w:val="00C57682"/>
    <w:rsid w:val="00C576C5"/>
    <w:rsid w:val="00C5785F"/>
    <w:rsid w:val="00C578AB"/>
    <w:rsid w:val="00C579B0"/>
    <w:rsid w:val="00C57AF2"/>
    <w:rsid w:val="00C57B95"/>
    <w:rsid w:val="00C57BBB"/>
    <w:rsid w:val="00C57BC3"/>
    <w:rsid w:val="00C57C4C"/>
    <w:rsid w:val="00C57EAD"/>
    <w:rsid w:val="00C57EE0"/>
    <w:rsid w:val="00C57F07"/>
    <w:rsid w:val="00C57F83"/>
    <w:rsid w:val="00C57FF9"/>
    <w:rsid w:val="00C583B8"/>
    <w:rsid w:val="00C6010F"/>
    <w:rsid w:val="00C60123"/>
    <w:rsid w:val="00C60151"/>
    <w:rsid w:val="00C6027F"/>
    <w:rsid w:val="00C60295"/>
    <w:rsid w:val="00C60395"/>
    <w:rsid w:val="00C603BE"/>
    <w:rsid w:val="00C6049C"/>
    <w:rsid w:val="00C60562"/>
    <w:rsid w:val="00C60589"/>
    <w:rsid w:val="00C60686"/>
    <w:rsid w:val="00C60722"/>
    <w:rsid w:val="00C60763"/>
    <w:rsid w:val="00C60929"/>
    <w:rsid w:val="00C60D0A"/>
    <w:rsid w:val="00C60D80"/>
    <w:rsid w:val="00C60DC8"/>
    <w:rsid w:val="00C60DDF"/>
    <w:rsid w:val="00C60DFC"/>
    <w:rsid w:val="00C60E38"/>
    <w:rsid w:val="00C60E66"/>
    <w:rsid w:val="00C60E7B"/>
    <w:rsid w:val="00C60EB6"/>
    <w:rsid w:val="00C60F4A"/>
    <w:rsid w:val="00C610A8"/>
    <w:rsid w:val="00C610AE"/>
    <w:rsid w:val="00C610CA"/>
    <w:rsid w:val="00C61173"/>
    <w:rsid w:val="00C6119A"/>
    <w:rsid w:val="00C611EF"/>
    <w:rsid w:val="00C611F0"/>
    <w:rsid w:val="00C612A9"/>
    <w:rsid w:val="00C612AE"/>
    <w:rsid w:val="00C612DA"/>
    <w:rsid w:val="00C61357"/>
    <w:rsid w:val="00C61486"/>
    <w:rsid w:val="00C614AF"/>
    <w:rsid w:val="00C61531"/>
    <w:rsid w:val="00C61565"/>
    <w:rsid w:val="00C615AD"/>
    <w:rsid w:val="00C61632"/>
    <w:rsid w:val="00C6164B"/>
    <w:rsid w:val="00C61716"/>
    <w:rsid w:val="00C6173C"/>
    <w:rsid w:val="00C6175B"/>
    <w:rsid w:val="00C6197A"/>
    <w:rsid w:val="00C61998"/>
    <w:rsid w:val="00C61A6D"/>
    <w:rsid w:val="00C61AA8"/>
    <w:rsid w:val="00C61BE1"/>
    <w:rsid w:val="00C61C82"/>
    <w:rsid w:val="00C61D78"/>
    <w:rsid w:val="00C62135"/>
    <w:rsid w:val="00C62267"/>
    <w:rsid w:val="00C6227E"/>
    <w:rsid w:val="00C624A3"/>
    <w:rsid w:val="00C62616"/>
    <w:rsid w:val="00C62763"/>
    <w:rsid w:val="00C6285E"/>
    <w:rsid w:val="00C6290A"/>
    <w:rsid w:val="00C629C7"/>
    <w:rsid w:val="00C62A8A"/>
    <w:rsid w:val="00C62D45"/>
    <w:rsid w:val="00C62E08"/>
    <w:rsid w:val="00C62E2F"/>
    <w:rsid w:val="00C62FA3"/>
    <w:rsid w:val="00C62FC4"/>
    <w:rsid w:val="00C630B3"/>
    <w:rsid w:val="00C6312A"/>
    <w:rsid w:val="00C6320B"/>
    <w:rsid w:val="00C6329A"/>
    <w:rsid w:val="00C63422"/>
    <w:rsid w:val="00C6342F"/>
    <w:rsid w:val="00C6345A"/>
    <w:rsid w:val="00C6349A"/>
    <w:rsid w:val="00C63532"/>
    <w:rsid w:val="00C63605"/>
    <w:rsid w:val="00C6385F"/>
    <w:rsid w:val="00C6395C"/>
    <w:rsid w:val="00C6398E"/>
    <w:rsid w:val="00C63A12"/>
    <w:rsid w:val="00C63A5D"/>
    <w:rsid w:val="00C63CB6"/>
    <w:rsid w:val="00C63D7F"/>
    <w:rsid w:val="00C63DD5"/>
    <w:rsid w:val="00C63E76"/>
    <w:rsid w:val="00C63F33"/>
    <w:rsid w:val="00C63FEB"/>
    <w:rsid w:val="00C64046"/>
    <w:rsid w:val="00C641A1"/>
    <w:rsid w:val="00C64291"/>
    <w:rsid w:val="00C6436A"/>
    <w:rsid w:val="00C6440D"/>
    <w:rsid w:val="00C64427"/>
    <w:rsid w:val="00C645BF"/>
    <w:rsid w:val="00C6476F"/>
    <w:rsid w:val="00C647D7"/>
    <w:rsid w:val="00C648AF"/>
    <w:rsid w:val="00C649D2"/>
    <w:rsid w:val="00C649FF"/>
    <w:rsid w:val="00C64AB4"/>
    <w:rsid w:val="00C64AF2"/>
    <w:rsid w:val="00C64B3A"/>
    <w:rsid w:val="00C64BE0"/>
    <w:rsid w:val="00C64DEC"/>
    <w:rsid w:val="00C65166"/>
    <w:rsid w:val="00C651AC"/>
    <w:rsid w:val="00C651E3"/>
    <w:rsid w:val="00C65295"/>
    <w:rsid w:val="00C65375"/>
    <w:rsid w:val="00C653A7"/>
    <w:rsid w:val="00C6543F"/>
    <w:rsid w:val="00C65445"/>
    <w:rsid w:val="00C654DA"/>
    <w:rsid w:val="00C6574E"/>
    <w:rsid w:val="00C6587F"/>
    <w:rsid w:val="00C658C1"/>
    <w:rsid w:val="00C6592B"/>
    <w:rsid w:val="00C65946"/>
    <w:rsid w:val="00C65951"/>
    <w:rsid w:val="00C659DE"/>
    <w:rsid w:val="00C659E0"/>
    <w:rsid w:val="00C65A5D"/>
    <w:rsid w:val="00C65B60"/>
    <w:rsid w:val="00C65BA7"/>
    <w:rsid w:val="00C65C79"/>
    <w:rsid w:val="00C65CB6"/>
    <w:rsid w:val="00C65CEC"/>
    <w:rsid w:val="00C65D3E"/>
    <w:rsid w:val="00C65D89"/>
    <w:rsid w:val="00C65E68"/>
    <w:rsid w:val="00C65E6A"/>
    <w:rsid w:val="00C65F6D"/>
    <w:rsid w:val="00C65F7E"/>
    <w:rsid w:val="00C66098"/>
    <w:rsid w:val="00C66127"/>
    <w:rsid w:val="00C661F2"/>
    <w:rsid w:val="00C6622C"/>
    <w:rsid w:val="00C6624C"/>
    <w:rsid w:val="00C66265"/>
    <w:rsid w:val="00C66331"/>
    <w:rsid w:val="00C663C9"/>
    <w:rsid w:val="00C663CE"/>
    <w:rsid w:val="00C664B6"/>
    <w:rsid w:val="00C66556"/>
    <w:rsid w:val="00C665A9"/>
    <w:rsid w:val="00C66754"/>
    <w:rsid w:val="00C667A6"/>
    <w:rsid w:val="00C668B3"/>
    <w:rsid w:val="00C668C1"/>
    <w:rsid w:val="00C6695E"/>
    <w:rsid w:val="00C66980"/>
    <w:rsid w:val="00C66A06"/>
    <w:rsid w:val="00C66A36"/>
    <w:rsid w:val="00C66D8C"/>
    <w:rsid w:val="00C66DAE"/>
    <w:rsid w:val="00C66DE7"/>
    <w:rsid w:val="00C66E5B"/>
    <w:rsid w:val="00C6708B"/>
    <w:rsid w:val="00C67243"/>
    <w:rsid w:val="00C6744F"/>
    <w:rsid w:val="00C674D2"/>
    <w:rsid w:val="00C67681"/>
    <w:rsid w:val="00C67880"/>
    <w:rsid w:val="00C67892"/>
    <w:rsid w:val="00C678BA"/>
    <w:rsid w:val="00C67B1A"/>
    <w:rsid w:val="00C67B9B"/>
    <w:rsid w:val="00C67DD9"/>
    <w:rsid w:val="00C67E4D"/>
    <w:rsid w:val="00C67F08"/>
    <w:rsid w:val="00C67F0A"/>
    <w:rsid w:val="00C67F26"/>
    <w:rsid w:val="00C67F80"/>
    <w:rsid w:val="00C67FBD"/>
    <w:rsid w:val="00C70088"/>
    <w:rsid w:val="00C700F5"/>
    <w:rsid w:val="00C702C9"/>
    <w:rsid w:val="00C7032B"/>
    <w:rsid w:val="00C703F2"/>
    <w:rsid w:val="00C70771"/>
    <w:rsid w:val="00C70784"/>
    <w:rsid w:val="00C70A24"/>
    <w:rsid w:val="00C70A43"/>
    <w:rsid w:val="00C70A62"/>
    <w:rsid w:val="00C70B46"/>
    <w:rsid w:val="00C70BDB"/>
    <w:rsid w:val="00C70C1C"/>
    <w:rsid w:val="00C70C5F"/>
    <w:rsid w:val="00C70C81"/>
    <w:rsid w:val="00C70CB7"/>
    <w:rsid w:val="00C70CF7"/>
    <w:rsid w:val="00C70D22"/>
    <w:rsid w:val="00C70D8F"/>
    <w:rsid w:val="00C70E58"/>
    <w:rsid w:val="00C70E80"/>
    <w:rsid w:val="00C7104F"/>
    <w:rsid w:val="00C71105"/>
    <w:rsid w:val="00C71202"/>
    <w:rsid w:val="00C71210"/>
    <w:rsid w:val="00C712AA"/>
    <w:rsid w:val="00C712BC"/>
    <w:rsid w:val="00C713A8"/>
    <w:rsid w:val="00C713C8"/>
    <w:rsid w:val="00C71433"/>
    <w:rsid w:val="00C71502"/>
    <w:rsid w:val="00C7157F"/>
    <w:rsid w:val="00C715DA"/>
    <w:rsid w:val="00C71757"/>
    <w:rsid w:val="00C71842"/>
    <w:rsid w:val="00C71994"/>
    <w:rsid w:val="00C719A9"/>
    <w:rsid w:val="00C71AAA"/>
    <w:rsid w:val="00C71BFE"/>
    <w:rsid w:val="00C71D47"/>
    <w:rsid w:val="00C71E8E"/>
    <w:rsid w:val="00C71F9A"/>
    <w:rsid w:val="00C71FB3"/>
    <w:rsid w:val="00C72085"/>
    <w:rsid w:val="00C720D9"/>
    <w:rsid w:val="00C7212C"/>
    <w:rsid w:val="00C7215F"/>
    <w:rsid w:val="00C722EE"/>
    <w:rsid w:val="00C7230A"/>
    <w:rsid w:val="00C72454"/>
    <w:rsid w:val="00C72473"/>
    <w:rsid w:val="00C7257F"/>
    <w:rsid w:val="00C7262A"/>
    <w:rsid w:val="00C72665"/>
    <w:rsid w:val="00C72685"/>
    <w:rsid w:val="00C72722"/>
    <w:rsid w:val="00C728DE"/>
    <w:rsid w:val="00C72C83"/>
    <w:rsid w:val="00C72CDE"/>
    <w:rsid w:val="00C72DAB"/>
    <w:rsid w:val="00C72E7B"/>
    <w:rsid w:val="00C72F60"/>
    <w:rsid w:val="00C7325A"/>
    <w:rsid w:val="00C735B2"/>
    <w:rsid w:val="00C737A5"/>
    <w:rsid w:val="00C737AB"/>
    <w:rsid w:val="00C7392F"/>
    <w:rsid w:val="00C73AB6"/>
    <w:rsid w:val="00C73BE6"/>
    <w:rsid w:val="00C73C9E"/>
    <w:rsid w:val="00C73E2A"/>
    <w:rsid w:val="00C74070"/>
    <w:rsid w:val="00C741C4"/>
    <w:rsid w:val="00C74204"/>
    <w:rsid w:val="00C743F7"/>
    <w:rsid w:val="00C7446B"/>
    <w:rsid w:val="00C74476"/>
    <w:rsid w:val="00C7449F"/>
    <w:rsid w:val="00C745AE"/>
    <w:rsid w:val="00C746B6"/>
    <w:rsid w:val="00C74780"/>
    <w:rsid w:val="00C747E8"/>
    <w:rsid w:val="00C74872"/>
    <w:rsid w:val="00C74883"/>
    <w:rsid w:val="00C748B2"/>
    <w:rsid w:val="00C74968"/>
    <w:rsid w:val="00C74AD4"/>
    <w:rsid w:val="00C74AE8"/>
    <w:rsid w:val="00C74BC1"/>
    <w:rsid w:val="00C74BD5"/>
    <w:rsid w:val="00C74CB4"/>
    <w:rsid w:val="00C74CFF"/>
    <w:rsid w:val="00C74DB5"/>
    <w:rsid w:val="00C74E0C"/>
    <w:rsid w:val="00C74E28"/>
    <w:rsid w:val="00C74ECD"/>
    <w:rsid w:val="00C74FE8"/>
    <w:rsid w:val="00C7513D"/>
    <w:rsid w:val="00C751DF"/>
    <w:rsid w:val="00C751F4"/>
    <w:rsid w:val="00C753B2"/>
    <w:rsid w:val="00C75452"/>
    <w:rsid w:val="00C754C5"/>
    <w:rsid w:val="00C75549"/>
    <w:rsid w:val="00C755C6"/>
    <w:rsid w:val="00C7563C"/>
    <w:rsid w:val="00C75849"/>
    <w:rsid w:val="00C75B09"/>
    <w:rsid w:val="00C75B59"/>
    <w:rsid w:val="00C75B7C"/>
    <w:rsid w:val="00C75B9E"/>
    <w:rsid w:val="00C75BC7"/>
    <w:rsid w:val="00C75C15"/>
    <w:rsid w:val="00C75C7D"/>
    <w:rsid w:val="00C75CD6"/>
    <w:rsid w:val="00C75D1F"/>
    <w:rsid w:val="00C75D68"/>
    <w:rsid w:val="00C75D8B"/>
    <w:rsid w:val="00C75E10"/>
    <w:rsid w:val="00C75E47"/>
    <w:rsid w:val="00C75EC1"/>
    <w:rsid w:val="00C75F01"/>
    <w:rsid w:val="00C75F31"/>
    <w:rsid w:val="00C76072"/>
    <w:rsid w:val="00C76090"/>
    <w:rsid w:val="00C760BF"/>
    <w:rsid w:val="00C760FA"/>
    <w:rsid w:val="00C76141"/>
    <w:rsid w:val="00C76175"/>
    <w:rsid w:val="00C76201"/>
    <w:rsid w:val="00C762B3"/>
    <w:rsid w:val="00C76313"/>
    <w:rsid w:val="00C7631F"/>
    <w:rsid w:val="00C7639E"/>
    <w:rsid w:val="00C763E6"/>
    <w:rsid w:val="00C763EA"/>
    <w:rsid w:val="00C764FD"/>
    <w:rsid w:val="00C76536"/>
    <w:rsid w:val="00C766A4"/>
    <w:rsid w:val="00C7684C"/>
    <w:rsid w:val="00C7696E"/>
    <w:rsid w:val="00C76974"/>
    <w:rsid w:val="00C7697C"/>
    <w:rsid w:val="00C76A2F"/>
    <w:rsid w:val="00C76A7F"/>
    <w:rsid w:val="00C76AEE"/>
    <w:rsid w:val="00C76B97"/>
    <w:rsid w:val="00C76CAF"/>
    <w:rsid w:val="00C76D44"/>
    <w:rsid w:val="00C76E30"/>
    <w:rsid w:val="00C76FBD"/>
    <w:rsid w:val="00C7714D"/>
    <w:rsid w:val="00C77163"/>
    <w:rsid w:val="00C771E1"/>
    <w:rsid w:val="00C77234"/>
    <w:rsid w:val="00C7724A"/>
    <w:rsid w:val="00C77371"/>
    <w:rsid w:val="00C77459"/>
    <w:rsid w:val="00C774A2"/>
    <w:rsid w:val="00C775C0"/>
    <w:rsid w:val="00C775E2"/>
    <w:rsid w:val="00C77652"/>
    <w:rsid w:val="00C77667"/>
    <w:rsid w:val="00C776CD"/>
    <w:rsid w:val="00C776F3"/>
    <w:rsid w:val="00C7778A"/>
    <w:rsid w:val="00C7780C"/>
    <w:rsid w:val="00C778AA"/>
    <w:rsid w:val="00C7793B"/>
    <w:rsid w:val="00C77B98"/>
    <w:rsid w:val="00C77C6A"/>
    <w:rsid w:val="00C77F32"/>
    <w:rsid w:val="00C77F44"/>
    <w:rsid w:val="00C77F82"/>
    <w:rsid w:val="00C77FEC"/>
    <w:rsid w:val="00C800A4"/>
    <w:rsid w:val="00C80139"/>
    <w:rsid w:val="00C80191"/>
    <w:rsid w:val="00C801E6"/>
    <w:rsid w:val="00C8020E"/>
    <w:rsid w:val="00C802EF"/>
    <w:rsid w:val="00C80373"/>
    <w:rsid w:val="00C80497"/>
    <w:rsid w:val="00C80559"/>
    <w:rsid w:val="00C807BC"/>
    <w:rsid w:val="00C8085D"/>
    <w:rsid w:val="00C808B9"/>
    <w:rsid w:val="00C808F5"/>
    <w:rsid w:val="00C808FC"/>
    <w:rsid w:val="00C8097C"/>
    <w:rsid w:val="00C809A7"/>
    <w:rsid w:val="00C809C4"/>
    <w:rsid w:val="00C80B4F"/>
    <w:rsid w:val="00C80C0F"/>
    <w:rsid w:val="00C80C45"/>
    <w:rsid w:val="00C80F8F"/>
    <w:rsid w:val="00C8106F"/>
    <w:rsid w:val="00C810AE"/>
    <w:rsid w:val="00C811A7"/>
    <w:rsid w:val="00C8120C"/>
    <w:rsid w:val="00C81224"/>
    <w:rsid w:val="00C81290"/>
    <w:rsid w:val="00C812F3"/>
    <w:rsid w:val="00C8138D"/>
    <w:rsid w:val="00C814B1"/>
    <w:rsid w:val="00C814FE"/>
    <w:rsid w:val="00C815E7"/>
    <w:rsid w:val="00C81699"/>
    <w:rsid w:val="00C816B7"/>
    <w:rsid w:val="00C816DF"/>
    <w:rsid w:val="00C816EF"/>
    <w:rsid w:val="00C8173F"/>
    <w:rsid w:val="00C81833"/>
    <w:rsid w:val="00C81887"/>
    <w:rsid w:val="00C81993"/>
    <w:rsid w:val="00C81A68"/>
    <w:rsid w:val="00C81B26"/>
    <w:rsid w:val="00C81BA5"/>
    <w:rsid w:val="00C81BD7"/>
    <w:rsid w:val="00C81CF3"/>
    <w:rsid w:val="00C81F46"/>
    <w:rsid w:val="00C81FDD"/>
    <w:rsid w:val="00C81FEB"/>
    <w:rsid w:val="00C820D5"/>
    <w:rsid w:val="00C82228"/>
    <w:rsid w:val="00C822F9"/>
    <w:rsid w:val="00C82341"/>
    <w:rsid w:val="00C8235C"/>
    <w:rsid w:val="00C823CE"/>
    <w:rsid w:val="00C823FF"/>
    <w:rsid w:val="00C82499"/>
    <w:rsid w:val="00C82500"/>
    <w:rsid w:val="00C82574"/>
    <w:rsid w:val="00C8261D"/>
    <w:rsid w:val="00C82654"/>
    <w:rsid w:val="00C8266A"/>
    <w:rsid w:val="00C828E1"/>
    <w:rsid w:val="00C82944"/>
    <w:rsid w:val="00C829CF"/>
    <w:rsid w:val="00C82CA1"/>
    <w:rsid w:val="00C82EC6"/>
    <w:rsid w:val="00C82ED3"/>
    <w:rsid w:val="00C82EE4"/>
    <w:rsid w:val="00C82F34"/>
    <w:rsid w:val="00C8301A"/>
    <w:rsid w:val="00C831FD"/>
    <w:rsid w:val="00C8323F"/>
    <w:rsid w:val="00C833A3"/>
    <w:rsid w:val="00C83401"/>
    <w:rsid w:val="00C8352A"/>
    <w:rsid w:val="00C83552"/>
    <w:rsid w:val="00C8372C"/>
    <w:rsid w:val="00C837E0"/>
    <w:rsid w:val="00C837F5"/>
    <w:rsid w:val="00C83834"/>
    <w:rsid w:val="00C83867"/>
    <w:rsid w:val="00C839F1"/>
    <w:rsid w:val="00C83A10"/>
    <w:rsid w:val="00C83AEC"/>
    <w:rsid w:val="00C83B0F"/>
    <w:rsid w:val="00C83BF8"/>
    <w:rsid w:val="00C83D90"/>
    <w:rsid w:val="00C83EB4"/>
    <w:rsid w:val="00C83ED7"/>
    <w:rsid w:val="00C83EF3"/>
    <w:rsid w:val="00C83F60"/>
    <w:rsid w:val="00C840BC"/>
    <w:rsid w:val="00C84182"/>
    <w:rsid w:val="00C84212"/>
    <w:rsid w:val="00C84311"/>
    <w:rsid w:val="00C844F9"/>
    <w:rsid w:val="00C846F1"/>
    <w:rsid w:val="00C84736"/>
    <w:rsid w:val="00C84746"/>
    <w:rsid w:val="00C848AD"/>
    <w:rsid w:val="00C849D4"/>
    <w:rsid w:val="00C84C78"/>
    <w:rsid w:val="00C84CCE"/>
    <w:rsid w:val="00C84CFD"/>
    <w:rsid w:val="00C84E27"/>
    <w:rsid w:val="00C84FAF"/>
    <w:rsid w:val="00C84FF1"/>
    <w:rsid w:val="00C85260"/>
    <w:rsid w:val="00C852DE"/>
    <w:rsid w:val="00C8539B"/>
    <w:rsid w:val="00C854EA"/>
    <w:rsid w:val="00C85564"/>
    <w:rsid w:val="00C85575"/>
    <w:rsid w:val="00C856B8"/>
    <w:rsid w:val="00C856E7"/>
    <w:rsid w:val="00C85728"/>
    <w:rsid w:val="00C85855"/>
    <w:rsid w:val="00C85918"/>
    <w:rsid w:val="00C85A1A"/>
    <w:rsid w:val="00C85AD4"/>
    <w:rsid w:val="00C85C00"/>
    <w:rsid w:val="00C85C2C"/>
    <w:rsid w:val="00C85CC5"/>
    <w:rsid w:val="00C85DA8"/>
    <w:rsid w:val="00C85F7B"/>
    <w:rsid w:val="00C863A9"/>
    <w:rsid w:val="00C863C2"/>
    <w:rsid w:val="00C864F2"/>
    <w:rsid w:val="00C86512"/>
    <w:rsid w:val="00C86579"/>
    <w:rsid w:val="00C86659"/>
    <w:rsid w:val="00C86710"/>
    <w:rsid w:val="00C86823"/>
    <w:rsid w:val="00C8682E"/>
    <w:rsid w:val="00C868CB"/>
    <w:rsid w:val="00C869E3"/>
    <w:rsid w:val="00C869EA"/>
    <w:rsid w:val="00C86ABF"/>
    <w:rsid w:val="00C86ADC"/>
    <w:rsid w:val="00C86AEC"/>
    <w:rsid w:val="00C86C76"/>
    <w:rsid w:val="00C86D4F"/>
    <w:rsid w:val="00C86E45"/>
    <w:rsid w:val="00C86E5B"/>
    <w:rsid w:val="00C8715A"/>
    <w:rsid w:val="00C871C6"/>
    <w:rsid w:val="00C87431"/>
    <w:rsid w:val="00C87475"/>
    <w:rsid w:val="00C874D7"/>
    <w:rsid w:val="00C8754F"/>
    <w:rsid w:val="00C8769D"/>
    <w:rsid w:val="00C87721"/>
    <w:rsid w:val="00C87879"/>
    <w:rsid w:val="00C878BB"/>
    <w:rsid w:val="00C878E2"/>
    <w:rsid w:val="00C878FD"/>
    <w:rsid w:val="00C87B2D"/>
    <w:rsid w:val="00C87BF2"/>
    <w:rsid w:val="00C87FD7"/>
    <w:rsid w:val="00C87FFD"/>
    <w:rsid w:val="00C900F5"/>
    <w:rsid w:val="00C90215"/>
    <w:rsid w:val="00C90216"/>
    <w:rsid w:val="00C90254"/>
    <w:rsid w:val="00C90266"/>
    <w:rsid w:val="00C90317"/>
    <w:rsid w:val="00C90375"/>
    <w:rsid w:val="00C9040F"/>
    <w:rsid w:val="00C9059A"/>
    <w:rsid w:val="00C9077E"/>
    <w:rsid w:val="00C907AD"/>
    <w:rsid w:val="00C90825"/>
    <w:rsid w:val="00C9086E"/>
    <w:rsid w:val="00C90887"/>
    <w:rsid w:val="00C908E7"/>
    <w:rsid w:val="00C90919"/>
    <w:rsid w:val="00C90925"/>
    <w:rsid w:val="00C9092C"/>
    <w:rsid w:val="00C90A84"/>
    <w:rsid w:val="00C90B8A"/>
    <w:rsid w:val="00C90C46"/>
    <w:rsid w:val="00C90CE2"/>
    <w:rsid w:val="00C90E03"/>
    <w:rsid w:val="00C90E0C"/>
    <w:rsid w:val="00C90EFF"/>
    <w:rsid w:val="00C90FD5"/>
    <w:rsid w:val="00C91049"/>
    <w:rsid w:val="00C91145"/>
    <w:rsid w:val="00C9125B"/>
    <w:rsid w:val="00C9125F"/>
    <w:rsid w:val="00C9135E"/>
    <w:rsid w:val="00C913B0"/>
    <w:rsid w:val="00C9145E"/>
    <w:rsid w:val="00C91566"/>
    <w:rsid w:val="00C915F3"/>
    <w:rsid w:val="00C91736"/>
    <w:rsid w:val="00C917B9"/>
    <w:rsid w:val="00C9185D"/>
    <w:rsid w:val="00C91902"/>
    <w:rsid w:val="00C919F3"/>
    <w:rsid w:val="00C91B4D"/>
    <w:rsid w:val="00C91BDD"/>
    <w:rsid w:val="00C91C71"/>
    <w:rsid w:val="00C91CA0"/>
    <w:rsid w:val="00C91CE8"/>
    <w:rsid w:val="00C92009"/>
    <w:rsid w:val="00C921F5"/>
    <w:rsid w:val="00C921FC"/>
    <w:rsid w:val="00C92249"/>
    <w:rsid w:val="00C92282"/>
    <w:rsid w:val="00C9235F"/>
    <w:rsid w:val="00C9275C"/>
    <w:rsid w:val="00C928AB"/>
    <w:rsid w:val="00C9292B"/>
    <w:rsid w:val="00C92A00"/>
    <w:rsid w:val="00C92ADC"/>
    <w:rsid w:val="00C92B80"/>
    <w:rsid w:val="00C92C5E"/>
    <w:rsid w:val="00C92D6A"/>
    <w:rsid w:val="00C92E00"/>
    <w:rsid w:val="00C92F00"/>
    <w:rsid w:val="00C92FB6"/>
    <w:rsid w:val="00C9307C"/>
    <w:rsid w:val="00C931C0"/>
    <w:rsid w:val="00C9320F"/>
    <w:rsid w:val="00C932F9"/>
    <w:rsid w:val="00C933FA"/>
    <w:rsid w:val="00C9349D"/>
    <w:rsid w:val="00C93552"/>
    <w:rsid w:val="00C935D0"/>
    <w:rsid w:val="00C936A8"/>
    <w:rsid w:val="00C936B4"/>
    <w:rsid w:val="00C937B1"/>
    <w:rsid w:val="00C937FA"/>
    <w:rsid w:val="00C937FF"/>
    <w:rsid w:val="00C93A93"/>
    <w:rsid w:val="00C93A97"/>
    <w:rsid w:val="00C93B0B"/>
    <w:rsid w:val="00C93B50"/>
    <w:rsid w:val="00C93C2F"/>
    <w:rsid w:val="00C93D90"/>
    <w:rsid w:val="00C93DA5"/>
    <w:rsid w:val="00C93E56"/>
    <w:rsid w:val="00C93EA2"/>
    <w:rsid w:val="00C93F80"/>
    <w:rsid w:val="00C93F9C"/>
    <w:rsid w:val="00C93FF8"/>
    <w:rsid w:val="00C94000"/>
    <w:rsid w:val="00C94026"/>
    <w:rsid w:val="00C9433E"/>
    <w:rsid w:val="00C944C4"/>
    <w:rsid w:val="00C9452D"/>
    <w:rsid w:val="00C945B0"/>
    <w:rsid w:val="00C94665"/>
    <w:rsid w:val="00C9490C"/>
    <w:rsid w:val="00C949B5"/>
    <w:rsid w:val="00C94ACD"/>
    <w:rsid w:val="00C94ACE"/>
    <w:rsid w:val="00C94D52"/>
    <w:rsid w:val="00C94D74"/>
    <w:rsid w:val="00C94D9C"/>
    <w:rsid w:val="00C94D9D"/>
    <w:rsid w:val="00C950AE"/>
    <w:rsid w:val="00C950E7"/>
    <w:rsid w:val="00C95108"/>
    <w:rsid w:val="00C95191"/>
    <w:rsid w:val="00C95326"/>
    <w:rsid w:val="00C95547"/>
    <w:rsid w:val="00C95629"/>
    <w:rsid w:val="00C95723"/>
    <w:rsid w:val="00C957D9"/>
    <w:rsid w:val="00C9584D"/>
    <w:rsid w:val="00C959B2"/>
    <w:rsid w:val="00C959C4"/>
    <w:rsid w:val="00C95D41"/>
    <w:rsid w:val="00C95D81"/>
    <w:rsid w:val="00C95E0E"/>
    <w:rsid w:val="00C95EF5"/>
    <w:rsid w:val="00C95F93"/>
    <w:rsid w:val="00C95F95"/>
    <w:rsid w:val="00C961BB"/>
    <w:rsid w:val="00C96284"/>
    <w:rsid w:val="00C962D4"/>
    <w:rsid w:val="00C96331"/>
    <w:rsid w:val="00C96359"/>
    <w:rsid w:val="00C9636D"/>
    <w:rsid w:val="00C9641A"/>
    <w:rsid w:val="00C96477"/>
    <w:rsid w:val="00C964F0"/>
    <w:rsid w:val="00C964FA"/>
    <w:rsid w:val="00C9656E"/>
    <w:rsid w:val="00C965D1"/>
    <w:rsid w:val="00C9666A"/>
    <w:rsid w:val="00C966DE"/>
    <w:rsid w:val="00C96828"/>
    <w:rsid w:val="00C96868"/>
    <w:rsid w:val="00C96A4C"/>
    <w:rsid w:val="00C96B42"/>
    <w:rsid w:val="00C96B6E"/>
    <w:rsid w:val="00C96BB5"/>
    <w:rsid w:val="00C96CA7"/>
    <w:rsid w:val="00C96CB0"/>
    <w:rsid w:val="00C96CD8"/>
    <w:rsid w:val="00C96D47"/>
    <w:rsid w:val="00C96DE1"/>
    <w:rsid w:val="00C96DE3"/>
    <w:rsid w:val="00C96E0B"/>
    <w:rsid w:val="00C96EFF"/>
    <w:rsid w:val="00C96F8D"/>
    <w:rsid w:val="00C96FF0"/>
    <w:rsid w:val="00C971B0"/>
    <w:rsid w:val="00C9735B"/>
    <w:rsid w:val="00C973C2"/>
    <w:rsid w:val="00C974CE"/>
    <w:rsid w:val="00C976E5"/>
    <w:rsid w:val="00C97888"/>
    <w:rsid w:val="00C97950"/>
    <w:rsid w:val="00C979C0"/>
    <w:rsid w:val="00C97B06"/>
    <w:rsid w:val="00C97BB3"/>
    <w:rsid w:val="00C97C83"/>
    <w:rsid w:val="00C97CD5"/>
    <w:rsid w:val="00C97D56"/>
    <w:rsid w:val="00C97DCA"/>
    <w:rsid w:val="00CA0033"/>
    <w:rsid w:val="00CA013D"/>
    <w:rsid w:val="00CA015D"/>
    <w:rsid w:val="00CA0268"/>
    <w:rsid w:val="00CA03DD"/>
    <w:rsid w:val="00CA0467"/>
    <w:rsid w:val="00CA04DB"/>
    <w:rsid w:val="00CA05B5"/>
    <w:rsid w:val="00CA0656"/>
    <w:rsid w:val="00CA07C8"/>
    <w:rsid w:val="00CA0829"/>
    <w:rsid w:val="00CA0880"/>
    <w:rsid w:val="00CA08B2"/>
    <w:rsid w:val="00CA0ACF"/>
    <w:rsid w:val="00CA0C04"/>
    <w:rsid w:val="00CA0C5D"/>
    <w:rsid w:val="00CA0E28"/>
    <w:rsid w:val="00CA0F15"/>
    <w:rsid w:val="00CA108A"/>
    <w:rsid w:val="00CA1135"/>
    <w:rsid w:val="00CA1185"/>
    <w:rsid w:val="00CA1353"/>
    <w:rsid w:val="00CA1464"/>
    <w:rsid w:val="00CA14F9"/>
    <w:rsid w:val="00CA160F"/>
    <w:rsid w:val="00CA16B8"/>
    <w:rsid w:val="00CA16CB"/>
    <w:rsid w:val="00CA1752"/>
    <w:rsid w:val="00CA182C"/>
    <w:rsid w:val="00CA186B"/>
    <w:rsid w:val="00CA18A1"/>
    <w:rsid w:val="00CA18A9"/>
    <w:rsid w:val="00CA18AD"/>
    <w:rsid w:val="00CA195A"/>
    <w:rsid w:val="00CA1A10"/>
    <w:rsid w:val="00CA1ACB"/>
    <w:rsid w:val="00CA1B24"/>
    <w:rsid w:val="00CA1B83"/>
    <w:rsid w:val="00CA1CD6"/>
    <w:rsid w:val="00CA1DC5"/>
    <w:rsid w:val="00CA1F95"/>
    <w:rsid w:val="00CA1FBC"/>
    <w:rsid w:val="00CA20EE"/>
    <w:rsid w:val="00CA2233"/>
    <w:rsid w:val="00CA22B1"/>
    <w:rsid w:val="00CA234D"/>
    <w:rsid w:val="00CA242E"/>
    <w:rsid w:val="00CA24BD"/>
    <w:rsid w:val="00CA253C"/>
    <w:rsid w:val="00CA26EE"/>
    <w:rsid w:val="00CA289C"/>
    <w:rsid w:val="00CA2963"/>
    <w:rsid w:val="00CA2980"/>
    <w:rsid w:val="00CA2A14"/>
    <w:rsid w:val="00CA2B3D"/>
    <w:rsid w:val="00CA2BD9"/>
    <w:rsid w:val="00CA2D2B"/>
    <w:rsid w:val="00CA2D35"/>
    <w:rsid w:val="00CA2DBD"/>
    <w:rsid w:val="00CA2F3B"/>
    <w:rsid w:val="00CA2F3E"/>
    <w:rsid w:val="00CA2F83"/>
    <w:rsid w:val="00CA2FA9"/>
    <w:rsid w:val="00CA2FB3"/>
    <w:rsid w:val="00CA3026"/>
    <w:rsid w:val="00CA309B"/>
    <w:rsid w:val="00CA30BE"/>
    <w:rsid w:val="00CA3157"/>
    <w:rsid w:val="00CA3226"/>
    <w:rsid w:val="00CA3229"/>
    <w:rsid w:val="00CA33C2"/>
    <w:rsid w:val="00CA3626"/>
    <w:rsid w:val="00CA3650"/>
    <w:rsid w:val="00CA36C7"/>
    <w:rsid w:val="00CA37FA"/>
    <w:rsid w:val="00CA38A7"/>
    <w:rsid w:val="00CA3936"/>
    <w:rsid w:val="00CA39B1"/>
    <w:rsid w:val="00CA3A08"/>
    <w:rsid w:val="00CA3A9D"/>
    <w:rsid w:val="00CA3B1D"/>
    <w:rsid w:val="00CA3D9E"/>
    <w:rsid w:val="00CA3E70"/>
    <w:rsid w:val="00CA3EB3"/>
    <w:rsid w:val="00CA3FFF"/>
    <w:rsid w:val="00CA4095"/>
    <w:rsid w:val="00CA4528"/>
    <w:rsid w:val="00CA457A"/>
    <w:rsid w:val="00CA45DC"/>
    <w:rsid w:val="00CA45E6"/>
    <w:rsid w:val="00CA46EB"/>
    <w:rsid w:val="00CA470F"/>
    <w:rsid w:val="00CA477C"/>
    <w:rsid w:val="00CA4799"/>
    <w:rsid w:val="00CA48C6"/>
    <w:rsid w:val="00CA48E6"/>
    <w:rsid w:val="00CA4AF0"/>
    <w:rsid w:val="00CA4BEE"/>
    <w:rsid w:val="00CA4BFC"/>
    <w:rsid w:val="00CA4D4B"/>
    <w:rsid w:val="00CA4DA9"/>
    <w:rsid w:val="00CA4DF3"/>
    <w:rsid w:val="00CA4E47"/>
    <w:rsid w:val="00CA4F98"/>
    <w:rsid w:val="00CA5084"/>
    <w:rsid w:val="00CA5135"/>
    <w:rsid w:val="00CA5193"/>
    <w:rsid w:val="00CA51F1"/>
    <w:rsid w:val="00CA5238"/>
    <w:rsid w:val="00CA531C"/>
    <w:rsid w:val="00CA536E"/>
    <w:rsid w:val="00CA5444"/>
    <w:rsid w:val="00CA5776"/>
    <w:rsid w:val="00CA57AC"/>
    <w:rsid w:val="00CA5856"/>
    <w:rsid w:val="00CA5944"/>
    <w:rsid w:val="00CA597E"/>
    <w:rsid w:val="00CA599C"/>
    <w:rsid w:val="00CA5AE6"/>
    <w:rsid w:val="00CA5BAA"/>
    <w:rsid w:val="00CA5BC0"/>
    <w:rsid w:val="00CA5C0E"/>
    <w:rsid w:val="00CA5C33"/>
    <w:rsid w:val="00CA5C44"/>
    <w:rsid w:val="00CA5C4D"/>
    <w:rsid w:val="00CA5D1C"/>
    <w:rsid w:val="00CA5D7E"/>
    <w:rsid w:val="00CA5DE5"/>
    <w:rsid w:val="00CA5E58"/>
    <w:rsid w:val="00CA5F51"/>
    <w:rsid w:val="00CA6174"/>
    <w:rsid w:val="00CA61C4"/>
    <w:rsid w:val="00CA6367"/>
    <w:rsid w:val="00CA63D2"/>
    <w:rsid w:val="00CA6429"/>
    <w:rsid w:val="00CA658A"/>
    <w:rsid w:val="00CA65BC"/>
    <w:rsid w:val="00CA68EC"/>
    <w:rsid w:val="00CA6A4F"/>
    <w:rsid w:val="00CA6C66"/>
    <w:rsid w:val="00CA6D3C"/>
    <w:rsid w:val="00CA6DD4"/>
    <w:rsid w:val="00CA6DE0"/>
    <w:rsid w:val="00CA6E0D"/>
    <w:rsid w:val="00CA6F4E"/>
    <w:rsid w:val="00CA6F7E"/>
    <w:rsid w:val="00CA700B"/>
    <w:rsid w:val="00CA7069"/>
    <w:rsid w:val="00CA71EC"/>
    <w:rsid w:val="00CA71F1"/>
    <w:rsid w:val="00CA7255"/>
    <w:rsid w:val="00CA72FE"/>
    <w:rsid w:val="00CA73FE"/>
    <w:rsid w:val="00CA743C"/>
    <w:rsid w:val="00CA759E"/>
    <w:rsid w:val="00CA75A7"/>
    <w:rsid w:val="00CA775B"/>
    <w:rsid w:val="00CA77DC"/>
    <w:rsid w:val="00CA7814"/>
    <w:rsid w:val="00CA7839"/>
    <w:rsid w:val="00CA783C"/>
    <w:rsid w:val="00CA7872"/>
    <w:rsid w:val="00CA78A6"/>
    <w:rsid w:val="00CA7A55"/>
    <w:rsid w:val="00CA7A68"/>
    <w:rsid w:val="00CA7AB8"/>
    <w:rsid w:val="00CA7AFF"/>
    <w:rsid w:val="00CA7B90"/>
    <w:rsid w:val="00CA7C63"/>
    <w:rsid w:val="00CA7CA5"/>
    <w:rsid w:val="00CB012B"/>
    <w:rsid w:val="00CB037B"/>
    <w:rsid w:val="00CB0494"/>
    <w:rsid w:val="00CB05C2"/>
    <w:rsid w:val="00CB06A5"/>
    <w:rsid w:val="00CB0782"/>
    <w:rsid w:val="00CB08A1"/>
    <w:rsid w:val="00CB08D0"/>
    <w:rsid w:val="00CB0920"/>
    <w:rsid w:val="00CB0AF1"/>
    <w:rsid w:val="00CB0BAA"/>
    <w:rsid w:val="00CB0BE1"/>
    <w:rsid w:val="00CB0C7B"/>
    <w:rsid w:val="00CB0CC1"/>
    <w:rsid w:val="00CB0E43"/>
    <w:rsid w:val="00CB1061"/>
    <w:rsid w:val="00CB126E"/>
    <w:rsid w:val="00CB12ED"/>
    <w:rsid w:val="00CB12F7"/>
    <w:rsid w:val="00CB1374"/>
    <w:rsid w:val="00CB1436"/>
    <w:rsid w:val="00CB14ED"/>
    <w:rsid w:val="00CB1575"/>
    <w:rsid w:val="00CB15D4"/>
    <w:rsid w:val="00CB1774"/>
    <w:rsid w:val="00CB1784"/>
    <w:rsid w:val="00CB1987"/>
    <w:rsid w:val="00CB1A64"/>
    <w:rsid w:val="00CB1ACB"/>
    <w:rsid w:val="00CB1B33"/>
    <w:rsid w:val="00CB1C9E"/>
    <w:rsid w:val="00CB1CC9"/>
    <w:rsid w:val="00CB1D07"/>
    <w:rsid w:val="00CB1E17"/>
    <w:rsid w:val="00CB1E54"/>
    <w:rsid w:val="00CB1E78"/>
    <w:rsid w:val="00CB1EAF"/>
    <w:rsid w:val="00CB224F"/>
    <w:rsid w:val="00CB234A"/>
    <w:rsid w:val="00CB2385"/>
    <w:rsid w:val="00CB2416"/>
    <w:rsid w:val="00CB246D"/>
    <w:rsid w:val="00CB257F"/>
    <w:rsid w:val="00CB26F7"/>
    <w:rsid w:val="00CB2963"/>
    <w:rsid w:val="00CB29ED"/>
    <w:rsid w:val="00CB2A2F"/>
    <w:rsid w:val="00CB2A68"/>
    <w:rsid w:val="00CB2BCF"/>
    <w:rsid w:val="00CB2C9D"/>
    <w:rsid w:val="00CB2CB8"/>
    <w:rsid w:val="00CB2DF1"/>
    <w:rsid w:val="00CB2F04"/>
    <w:rsid w:val="00CB3043"/>
    <w:rsid w:val="00CB3091"/>
    <w:rsid w:val="00CB3131"/>
    <w:rsid w:val="00CB3273"/>
    <w:rsid w:val="00CB337C"/>
    <w:rsid w:val="00CB33B0"/>
    <w:rsid w:val="00CB33DE"/>
    <w:rsid w:val="00CB33E9"/>
    <w:rsid w:val="00CB3439"/>
    <w:rsid w:val="00CB3563"/>
    <w:rsid w:val="00CB3660"/>
    <w:rsid w:val="00CB36C6"/>
    <w:rsid w:val="00CB3756"/>
    <w:rsid w:val="00CB376B"/>
    <w:rsid w:val="00CB3925"/>
    <w:rsid w:val="00CB3A4A"/>
    <w:rsid w:val="00CB3AC7"/>
    <w:rsid w:val="00CB3B24"/>
    <w:rsid w:val="00CB3C85"/>
    <w:rsid w:val="00CB3E33"/>
    <w:rsid w:val="00CB3E37"/>
    <w:rsid w:val="00CB3EBB"/>
    <w:rsid w:val="00CB3F09"/>
    <w:rsid w:val="00CB3F36"/>
    <w:rsid w:val="00CB3F75"/>
    <w:rsid w:val="00CB3F7B"/>
    <w:rsid w:val="00CB415A"/>
    <w:rsid w:val="00CB418F"/>
    <w:rsid w:val="00CB423F"/>
    <w:rsid w:val="00CB4254"/>
    <w:rsid w:val="00CB425E"/>
    <w:rsid w:val="00CB42B0"/>
    <w:rsid w:val="00CB42D3"/>
    <w:rsid w:val="00CB44A5"/>
    <w:rsid w:val="00CB4512"/>
    <w:rsid w:val="00CB45A8"/>
    <w:rsid w:val="00CB4654"/>
    <w:rsid w:val="00CB46DF"/>
    <w:rsid w:val="00CB4875"/>
    <w:rsid w:val="00CB4920"/>
    <w:rsid w:val="00CB49EA"/>
    <w:rsid w:val="00CB4A2C"/>
    <w:rsid w:val="00CB4A9E"/>
    <w:rsid w:val="00CB4AAF"/>
    <w:rsid w:val="00CB4AD4"/>
    <w:rsid w:val="00CB4B1F"/>
    <w:rsid w:val="00CB4B51"/>
    <w:rsid w:val="00CB4C42"/>
    <w:rsid w:val="00CB4D8A"/>
    <w:rsid w:val="00CB4DB8"/>
    <w:rsid w:val="00CB4E9E"/>
    <w:rsid w:val="00CB4FF9"/>
    <w:rsid w:val="00CB5048"/>
    <w:rsid w:val="00CB506D"/>
    <w:rsid w:val="00CB50B9"/>
    <w:rsid w:val="00CB50D2"/>
    <w:rsid w:val="00CB523A"/>
    <w:rsid w:val="00CB530F"/>
    <w:rsid w:val="00CB5388"/>
    <w:rsid w:val="00CB5445"/>
    <w:rsid w:val="00CB545A"/>
    <w:rsid w:val="00CB555D"/>
    <w:rsid w:val="00CB58F4"/>
    <w:rsid w:val="00CB5901"/>
    <w:rsid w:val="00CB5931"/>
    <w:rsid w:val="00CB59FC"/>
    <w:rsid w:val="00CB5B68"/>
    <w:rsid w:val="00CB5B79"/>
    <w:rsid w:val="00CB5B97"/>
    <w:rsid w:val="00CB5BD3"/>
    <w:rsid w:val="00CB5C5F"/>
    <w:rsid w:val="00CB5C74"/>
    <w:rsid w:val="00CB5CA4"/>
    <w:rsid w:val="00CB5D7D"/>
    <w:rsid w:val="00CB5E95"/>
    <w:rsid w:val="00CB5EF5"/>
    <w:rsid w:val="00CB5F1A"/>
    <w:rsid w:val="00CB5FDE"/>
    <w:rsid w:val="00CB5FFA"/>
    <w:rsid w:val="00CB5FFD"/>
    <w:rsid w:val="00CB6009"/>
    <w:rsid w:val="00CB6160"/>
    <w:rsid w:val="00CB6185"/>
    <w:rsid w:val="00CB61AB"/>
    <w:rsid w:val="00CB64CE"/>
    <w:rsid w:val="00CB659C"/>
    <w:rsid w:val="00CB65EE"/>
    <w:rsid w:val="00CB6651"/>
    <w:rsid w:val="00CB6667"/>
    <w:rsid w:val="00CB66EC"/>
    <w:rsid w:val="00CB6713"/>
    <w:rsid w:val="00CB67DA"/>
    <w:rsid w:val="00CB6844"/>
    <w:rsid w:val="00CB68BD"/>
    <w:rsid w:val="00CB68D4"/>
    <w:rsid w:val="00CB68E3"/>
    <w:rsid w:val="00CB6A54"/>
    <w:rsid w:val="00CB6AC0"/>
    <w:rsid w:val="00CB6CA9"/>
    <w:rsid w:val="00CB6CB7"/>
    <w:rsid w:val="00CB6DCE"/>
    <w:rsid w:val="00CB6DDA"/>
    <w:rsid w:val="00CB6EC0"/>
    <w:rsid w:val="00CB6F70"/>
    <w:rsid w:val="00CB7133"/>
    <w:rsid w:val="00CB7160"/>
    <w:rsid w:val="00CB7162"/>
    <w:rsid w:val="00CB718C"/>
    <w:rsid w:val="00CB722F"/>
    <w:rsid w:val="00CB7265"/>
    <w:rsid w:val="00CB73E4"/>
    <w:rsid w:val="00CB7424"/>
    <w:rsid w:val="00CB74E6"/>
    <w:rsid w:val="00CB76FB"/>
    <w:rsid w:val="00CB7778"/>
    <w:rsid w:val="00CB7865"/>
    <w:rsid w:val="00CB7888"/>
    <w:rsid w:val="00CB7AB6"/>
    <w:rsid w:val="00CB7AD7"/>
    <w:rsid w:val="00CB7B31"/>
    <w:rsid w:val="00CB7BFF"/>
    <w:rsid w:val="00CB7CDB"/>
    <w:rsid w:val="00CB7DBE"/>
    <w:rsid w:val="00CB7E29"/>
    <w:rsid w:val="00CB7F14"/>
    <w:rsid w:val="00CBF584"/>
    <w:rsid w:val="00CC0292"/>
    <w:rsid w:val="00CC02EC"/>
    <w:rsid w:val="00CC0398"/>
    <w:rsid w:val="00CC03C6"/>
    <w:rsid w:val="00CC052B"/>
    <w:rsid w:val="00CC0539"/>
    <w:rsid w:val="00CC0560"/>
    <w:rsid w:val="00CC06DA"/>
    <w:rsid w:val="00CC0853"/>
    <w:rsid w:val="00CC08E3"/>
    <w:rsid w:val="00CC09C2"/>
    <w:rsid w:val="00CC0A57"/>
    <w:rsid w:val="00CC0D23"/>
    <w:rsid w:val="00CC0D3C"/>
    <w:rsid w:val="00CC0DC5"/>
    <w:rsid w:val="00CC0F02"/>
    <w:rsid w:val="00CC0F31"/>
    <w:rsid w:val="00CC10BA"/>
    <w:rsid w:val="00CC10CF"/>
    <w:rsid w:val="00CC11A3"/>
    <w:rsid w:val="00CC11D2"/>
    <w:rsid w:val="00CC1225"/>
    <w:rsid w:val="00CC1281"/>
    <w:rsid w:val="00CC155A"/>
    <w:rsid w:val="00CC1891"/>
    <w:rsid w:val="00CC18E1"/>
    <w:rsid w:val="00CC18F5"/>
    <w:rsid w:val="00CC1A7D"/>
    <w:rsid w:val="00CC1A96"/>
    <w:rsid w:val="00CC1BE5"/>
    <w:rsid w:val="00CC1C0E"/>
    <w:rsid w:val="00CC1C18"/>
    <w:rsid w:val="00CC1EEE"/>
    <w:rsid w:val="00CC1EFE"/>
    <w:rsid w:val="00CC1F80"/>
    <w:rsid w:val="00CC2121"/>
    <w:rsid w:val="00CC216B"/>
    <w:rsid w:val="00CC22F2"/>
    <w:rsid w:val="00CC246A"/>
    <w:rsid w:val="00CC271A"/>
    <w:rsid w:val="00CC2814"/>
    <w:rsid w:val="00CC2843"/>
    <w:rsid w:val="00CC2A82"/>
    <w:rsid w:val="00CC2AE5"/>
    <w:rsid w:val="00CC2B68"/>
    <w:rsid w:val="00CC2C34"/>
    <w:rsid w:val="00CC2DBA"/>
    <w:rsid w:val="00CC2E95"/>
    <w:rsid w:val="00CC2ED0"/>
    <w:rsid w:val="00CC30B4"/>
    <w:rsid w:val="00CC30E6"/>
    <w:rsid w:val="00CC31A7"/>
    <w:rsid w:val="00CC32F8"/>
    <w:rsid w:val="00CC3311"/>
    <w:rsid w:val="00CC3357"/>
    <w:rsid w:val="00CC33B1"/>
    <w:rsid w:val="00CC33DA"/>
    <w:rsid w:val="00CC33DD"/>
    <w:rsid w:val="00CC353F"/>
    <w:rsid w:val="00CC3580"/>
    <w:rsid w:val="00CC3656"/>
    <w:rsid w:val="00CC367C"/>
    <w:rsid w:val="00CC3709"/>
    <w:rsid w:val="00CC37DB"/>
    <w:rsid w:val="00CC3839"/>
    <w:rsid w:val="00CC3855"/>
    <w:rsid w:val="00CC38A3"/>
    <w:rsid w:val="00CC38A4"/>
    <w:rsid w:val="00CC3A30"/>
    <w:rsid w:val="00CC3B37"/>
    <w:rsid w:val="00CC3D90"/>
    <w:rsid w:val="00CC3DE7"/>
    <w:rsid w:val="00CC3E17"/>
    <w:rsid w:val="00CC3EA8"/>
    <w:rsid w:val="00CC3F20"/>
    <w:rsid w:val="00CC3F92"/>
    <w:rsid w:val="00CC4074"/>
    <w:rsid w:val="00CC4077"/>
    <w:rsid w:val="00CC427B"/>
    <w:rsid w:val="00CC42D1"/>
    <w:rsid w:val="00CC4314"/>
    <w:rsid w:val="00CC439D"/>
    <w:rsid w:val="00CC46E3"/>
    <w:rsid w:val="00CC4705"/>
    <w:rsid w:val="00CC4707"/>
    <w:rsid w:val="00CC473E"/>
    <w:rsid w:val="00CC48B2"/>
    <w:rsid w:val="00CC48CD"/>
    <w:rsid w:val="00CC48D5"/>
    <w:rsid w:val="00CC49E2"/>
    <w:rsid w:val="00CC4B8D"/>
    <w:rsid w:val="00CC4D24"/>
    <w:rsid w:val="00CC4EFA"/>
    <w:rsid w:val="00CC5092"/>
    <w:rsid w:val="00CC5275"/>
    <w:rsid w:val="00CC52A4"/>
    <w:rsid w:val="00CC52F8"/>
    <w:rsid w:val="00CC53D0"/>
    <w:rsid w:val="00CC544D"/>
    <w:rsid w:val="00CC555F"/>
    <w:rsid w:val="00CC55EC"/>
    <w:rsid w:val="00CC570E"/>
    <w:rsid w:val="00CC57BC"/>
    <w:rsid w:val="00CC5826"/>
    <w:rsid w:val="00CC5832"/>
    <w:rsid w:val="00CC5917"/>
    <w:rsid w:val="00CC5953"/>
    <w:rsid w:val="00CC59AC"/>
    <w:rsid w:val="00CC5A56"/>
    <w:rsid w:val="00CC5B52"/>
    <w:rsid w:val="00CC5C07"/>
    <w:rsid w:val="00CC5C58"/>
    <w:rsid w:val="00CC5C70"/>
    <w:rsid w:val="00CC5CD0"/>
    <w:rsid w:val="00CC5D29"/>
    <w:rsid w:val="00CC5DCA"/>
    <w:rsid w:val="00CC605F"/>
    <w:rsid w:val="00CC6380"/>
    <w:rsid w:val="00CC638C"/>
    <w:rsid w:val="00CC639C"/>
    <w:rsid w:val="00CC6442"/>
    <w:rsid w:val="00CC64EB"/>
    <w:rsid w:val="00CC64F4"/>
    <w:rsid w:val="00CC6507"/>
    <w:rsid w:val="00CC6583"/>
    <w:rsid w:val="00CC6584"/>
    <w:rsid w:val="00CC65FD"/>
    <w:rsid w:val="00CC66B9"/>
    <w:rsid w:val="00CC66EF"/>
    <w:rsid w:val="00CC6787"/>
    <w:rsid w:val="00CC6872"/>
    <w:rsid w:val="00CC687D"/>
    <w:rsid w:val="00CC694B"/>
    <w:rsid w:val="00CC697E"/>
    <w:rsid w:val="00CC6A68"/>
    <w:rsid w:val="00CC6BA5"/>
    <w:rsid w:val="00CC6BB1"/>
    <w:rsid w:val="00CC6C9E"/>
    <w:rsid w:val="00CC6D56"/>
    <w:rsid w:val="00CC6DA3"/>
    <w:rsid w:val="00CC6DEC"/>
    <w:rsid w:val="00CC6EBF"/>
    <w:rsid w:val="00CC6FFC"/>
    <w:rsid w:val="00CC70AD"/>
    <w:rsid w:val="00CC70E1"/>
    <w:rsid w:val="00CC7107"/>
    <w:rsid w:val="00CC71F2"/>
    <w:rsid w:val="00CC72C7"/>
    <w:rsid w:val="00CC747B"/>
    <w:rsid w:val="00CC78D1"/>
    <w:rsid w:val="00CC7A59"/>
    <w:rsid w:val="00CC7D49"/>
    <w:rsid w:val="00CC7E7B"/>
    <w:rsid w:val="00CC7FAD"/>
    <w:rsid w:val="00CC7FC0"/>
    <w:rsid w:val="00CC7FE7"/>
    <w:rsid w:val="00CD0091"/>
    <w:rsid w:val="00CD00CB"/>
    <w:rsid w:val="00CD04BC"/>
    <w:rsid w:val="00CD050B"/>
    <w:rsid w:val="00CD053B"/>
    <w:rsid w:val="00CD05F5"/>
    <w:rsid w:val="00CD06E2"/>
    <w:rsid w:val="00CD07BA"/>
    <w:rsid w:val="00CD080E"/>
    <w:rsid w:val="00CD09EB"/>
    <w:rsid w:val="00CD0A72"/>
    <w:rsid w:val="00CD0AAA"/>
    <w:rsid w:val="00CD0B6C"/>
    <w:rsid w:val="00CD0C22"/>
    <w:rsid w:val="00CD0D47"/>
    <w:rsid w:val="00CD0D65"/>
    <w:rsid w:val="00CD0D96"/>
    <w:rsid w:val="00CD0E2E"/>
    <w:rsid w:val="00CD0E50"/>
    <w:rsid w:val="00CD0EB7"/>
    <w:rsid w:val="00CD0F42"/>
    <w:rsid w:val="00CD0FE2"/>
    <w:rsid w:val="00CD1054"/>
    <w:rsid w:val="00CD1079"/>
    <w:rsid w:val="00CD11F0"/>
    <w:rsid w:val="00CD1273"/>
    <w:rsid w:val="00CD12A1"/>
    <w:rsid w:val="00CD12C1"/>
    <w:rsid w:val="00CD12F4"/>
    <w:rsid w:val="00CD1325"/>
    <w:rsid w:val="00CD1375"/>
    <w:rsid w:val="00CD14F9"/>
    <w:rsid w:val="00CD1501"/>
    <w:rsid w:val="00CD177E"/>
    <w:rsid w:val="00CD18E6"/>
    <w:rsid w:val="00CD19BB"/>
    <w:rsid w:val="00CD19F0"/>
    <w:rsid w:val="00CD1C46"/>
    <w:rsid w:val="00CD1CB2"/>
    <w:rsid w:val="00CD1CF6"/>
    <w:rsid w:val="00CD1E29"/>
    <w:rsid w:val="00CD1EE0"/>
    <w:rsid w:val="00CD1F57"/>
    <w:rsid w:val="00CD1F9F"/>
    <w:rsid w:val="00CD20D6"/>
    <w:rsid w:val="00CD2163"/>
    <w:rsid w:val="00CD2176"/>
    <w:rsid w:val="00CD2215"/>
    <w:rsid w:val="00CD222E"/>
    <w:rsid w:val="00CD2350"/>
    <w:rsid w:val="00CD2386"/>
    <w:rsid w:val="00CD27AF"/>
    <w:rsid w:val="00CD2986"/>
    <w:rsid w:val="00CD2DD5"/>
    <w:rsid w:val="00CD2EB6"/>
    <w:rsid w:val="00CD2EFF"/>
    <w:rsid w:val="00CD2F5C"/>
    <w:rsid w:val="00CD2F7F"/>
    <w:rsid w:val="00CD3008"/>
    <w:rsid w:val="00CD3059"/>
    <w:rsid w:val="00CD3203"/>
    <w:rsid w:val="00CD326E"/>
    <w:rsid w:val="00CD3270"/>
    <w:rsid w:val="00CD328E"/>
    <w:rsid w:val="00CD338A"/>
    <w:rsid w:val="00CD3466"/>
    <w:rsid w:val="00CD34A5"/>
    <w:rsid w:val="00CD34E1"/>
    <w:rsid w:val="00CD3694"/>
    <w:rsid w:val="00CD378C"/>
    <w:rsid w:val="00CD3792"/>
    <w:rsid w:val="00CD38C6"/>
    <w:rsid w:val="00CD3ACA"/>
    <w:rsid w:val="00CD3B93"/>
    <w:rsid w:val="00CD3CB6"/>
    <w:rsid w:val="00CD3D43"/>
    <w:rsid w:val="00CD3DA9"/>
    <w:rsid w:val="00CD3DDD"/>
    <w:rsid w:val="00CD3E37"/>
    <w:rsid w:val="00CD403F"/>
    <w:rsid w:val="00CD429A"/>
    <w:rsid w:val="00CD430D"/>
    <w:rsid w:val="00CD4467"/>
    <w:rsid w:val="00CD44A3"/>
    <w:rsid w:val="00CD44D7"/>
    <w:rsid w:val="00CD458C"/>
    <w:rsid w:val="00CD46E1"/>
    <w:rsid w:val="00CD4702"/>
    <w:rsid w:val="00CD4755"/>
    <w:rsid w:val="00CD4778"/>
    <w:rsid w:val="00CD47B8"/>
    <w:rsid w:val="00CD487E"/>
    <w:rsid w:val="00CD48D1"/>
    <w:rsid w:val="00CD48DD"/>
    <w:rsid w:val="00CD4959"/>
    <w:rsid w:val="00CD4A3D"/>
    <w:rsid w:val="00CD4C2A"/>
    <w:rsid w:val="00CD4C45"/>
    <w:rsid w:val="00CD4C95"/>
    <w:rsid w:val="00CD4C9E"/>
    <w:rsid w:val="00CD4CF0"/>
    <w:rsid w:val="00CD4E84"/>
    <w:rsid w:val="00CD4F66"/>
    <w:rsid w:val="00CD4F88"/>
    <w:rsid w:val="00CD52CE"/>
    <w:rsid w:val="00CD5552"/>
    <w:rsid w:val="00CD556D"/>
    <w:rsid w:val="00CD5711"/>
    <w:rsid w:val="00CD573A"/>
    <w:rsid w:val="00CD5765"/>
    <w:rsid w:val="00CD57F6"/>
    <w:rsid w:val="00CD5892"/>
    <w:rsid w:val="00CD58AA"/>
    <w:rsid w:val="00CD58B2"/>
    <w:rsid w:val="00CD5A03"/>
    <w:rsid w:val="00CD5A06"/>
    <w:rsid w:val="00CD5A13"/>
    <w:rsid w:val="00CD5A55"/>
    <w:rsid w:val="00CD5B40"/>
    <w:rsid w:val="00CD5C9D"/>
    <w:rsid w:val="00CD5CCC"/>
    <w:rsid w:val="00CD5D08"/>
    <w:rsid w:val="00CD5EE2"/>
    <w:rsid w:val="00CD6190"/>
    <w:rsid w:val="00CD634D"/>
    <w:rsid w:val="00CD657C"/>
    <w:rsid w:val="00CD6631"/>
    <w:rsid w:val="00CD6661"/>
    <w:rsid w:val="00CD684C"/>
    <w:rsid w:val="00CD6926"/>
    <w:rsid w:val="00CD6A4C"/>
    <w:rsid w:val="00CD6BA1"/>
    <w:rsid w:val="00CD6BC5"/>
    <w:rsid w:val="00CD6C1A"/>
    <w:rsid w:val="00CD6C77"/>
    <w:rsid w:val="00CD6D21"/>
    <w:rsid w:val="00CD70E6"/>
    <w:rsid w:val="00CD7131"/>
    <w:rsid w:val="00CD71CF"/>
    <w:rsid w:val="00CD7234"/>
    <w:rsid w:val="00CD729E"/>
    <w:rsid w:val="00CD7399"/>
    <w:rsid w:val="00CD73CD"/>
    <w:rsid w:val="00CD73E0"/>
    <w:rsid w:val="00CD75A3"/>
    <w:rsid w:val="00CD76ED"/>
    <w:rsid w:val="00CD7702"/>
    <w:rsid w:val="00CD7735"/>
    <w:rsid w:val="00CD77C0"/>
    <w:rsid w:val="00CD7804"/>
    <w:rsid w:val="00CD7849"/>
    <w:rsid w:val="00CD7862"/>
    <w:rsid w:val="00CD78EF"/>
    <w:rsid w:val="00CD7955"/>
    <w:rsid w:val="00CD7A0F"/>
    <w:rsid w:val="00CD7ACA"/>
    <w:rsid w:val="00CD7D5E"/>
    <w:rsid w:val="00CE00B5"/>
    <w:rsid w:val="00CE00C4"/>
    <w:rsid w:val="00CE00E8"/>
    <w:rsid w:val="00CE0202"/>
    <w:rsid w:val="00CE022F"/>
    <w:rsid w:val="00CE0236"/>
    <w:rsid w:val="00CE028D"/>
    <w:rsid w:val="00CE04B6"/>
    <w:rsid w:val="00CE04C6"/>
    <w:rsid w:val="00CE0503"/>
    <w:rsid w:val="00CE053D"/>
    <w:rsid w:val="00CE0560"/>
    <w:rsid w:val="00CE05C7"/>
    <w:rsid w:val="00CE05E3"/>
    <w:rsid w:val="00CE064E"/>
    <w:rsid w:val="00CE0685"/>
    <w:rsid w:val="00CE07ED"/>
    <w:rsid w:val="00CE0A10"/>
    <w:rsid w:val="00CE0A6A"/>
    <w:rsid w:val="00CE0A8B"/>
    <w:rsid w:val="00CE0C69"/>
    <w:rsid w:val="00CE0CB7"/>
    <w:rsid w:val="00CE0D1B"/>
    <w:rsid w:val="00CE0E75"/>
    <w:rsid w:val="00CE0EB2"/>
    <w:rsid w:val="00CE0F11"/>
    <w:rsid w:val="00CE0FD2"/>
    <w:rsid w:val="00CE111E"/>
    <w:rsid w:val="00CE1180"/>
    <w:rsid w:val="00CE15F5"/>
    <w:rsid w:val="00CE1834"/>
    <w:rsid w:val="00CE19A5"/>
    <w:rsid w:val="00CE19FB"/>
    <w:rsid w:val="00CE1A06"/>
    <w:rsid w:val="00CE1B8D"/>
    <w:rsid w:val="00CE1DCC"/>
    <w:rsid w:val="00CE1DCE"/>
    <w:rsid w:val="00CE1EB1"/>
    <w:rsid w:val="00CE1FA7"/>
    <w:rsid w:val="00CE1FC6"/>
    <w:rsid w:val="00CE2037"/>
    <w:rsid w:val="00CE2067"/>
    <w:rsid w:val="00CE2075"/>
    <w:rsid w:val="00CE210B"/>
    <w:rsid w:val="00CE2297"/>
    <w:rsid w:val="00CE251C"/>
    <w:rsid w:val="00CE25DA"/>
    <w:rsid w:val="00CE25EA"/>
    <w:rsid w:val="00CE27D9"/>
    <w:rsid w:val="00CE28CE"/>
    <w:rsid w:val="00CE2BB8"/>
    <w:rsid w:val="00CE2BC0"/>
    <w:rsid w:val="00CE2C61"/>
    <w:rsid w:val="00CE2CC0"/>
    <w:rsid w:val="00CE2D55"/>
    <w:rsid w:val="00CE2E10"/>
    <w:rsid w:val="00CE2E52"/>
    <w:rsid w:val="00CE2F17"/>
    <w:rsid w:val="00CE2FAD"/>
    <w:rsid w:val="00CE300A"/>
    <w:rsid w:val="00CE3070"/>
    <w:rsid w:val="00CE30D1"/>
    <w:rsid w:val="00CE30DE"/>
    <w:rsid w:val="00CE30E1"/>
    <w:rsid w:val="00CE3357"/>
    <w:rsid w:val="00CE338B"/>
    <w:rsid w:val="00CE3398"/>
    <w:rsid w:val="00CE34DA"/>
    <w:rsid w:val="00CE34F6"/>
    <w:rsid w:val="00CE34F7"/>
    <w:rsid w:val="00CE358B"/>
    <w:rsid w:val="00CE35B2"/>
    <w:rsid w:val="00CE360D"/>
    <w:rsid w:val="00CE36F5"/>
    <w:rsid w:val="00CE3739"/>
    <w:rsid w:val="00CE373A"/>
    <w:rsid w:val="00CE373C"/>
    <w:rsid w:val="00CE37EC"/>
    <w:rsid w:val="00CE38D2"/>
    <w:rsid w:val="00CE39DB"/>
    <w:rsid w:val="00CE3C2C"/>
    <w:rsid w:val="00CE3D03"/>
    <w:rsid w:val="00CE3D33"/>
    <w:rsid w:val="00CE3DB9"/>
    <w:rsid w:val="00CE4082"/>
    <w:rsid w:val="00CE446E"/>
    <w:rsid w:val="00CE457B"/>
    <w:rsid w:val="00CE4603"/>
    <w:rsid w:val="00CE4677"/>
    <w:rsid w:val="00CE4702"/>
    <w:rsid w:val="00CE4722"/>
    <w:rsid w:val="00CE48BB"/>
    <w:rsid w:val="00CE48C5"/>
    <w:rsid w:val="00CE48CF"/>
    <w:rsid w:val="00CE4974"/>
    <w:rsid w:val="00CE498A"/>
    <w:rsid w:val="00CE49EE"/>
    <w:rsid w:val="00CE4A13"/>
    <w:rsid w:val="00CE4A70"/>
    <w:rsid w:val="00CE4B27"/>
    <w:rsid w:val="00CE4BBF"/>
    <w:rsid w:val="00CE4C4F"/>
    <w:rsid w:val="00CE4D78"/>
    <w:rsid w:val="00CE4F26"/>
    <w:rsid w:val="00CE4F37"/>
    <w:rsid w:val="00CE4F41"/>
    <w:rsid w:val="00CE4FEB"/>
    <w:rsid w:val="00CE5592"/>
    <w:rsid w:val="00CE55DC"/>
    <w:rsid w:val="00CE5722"/>
    <w:rsid w:val="00CE57EE"/>
    <w:rsid w:val="00CE5801"/>
    <w:rsid w:val="00CE591E"/>
    <w:rsid w:val="00CE596D"/>
    <w:rsid w:val="00CE59AA"/>
    <w:rsid w:val="00CE5BE1"/>
    <w:rsid w:val="00CE5C3F"/>
    <w:rsid w:val="00CE5D23"/>
    <w:rsid w:val="00CE5D50"/>
    <w:rsid w:val="00CE5F2B"/>
    <w:rsid w:val="00CE5FD9"/>
    <w:rsid w:val="00CE6210"/>
    <w:rsid w:val="00CE6350"/>
    <w:rsid w:val="00CE6396"/>
    <w:rsid w:val="00CE639F"/>
    <w:rsid w:val="00CE63B3"/>
    <w:rsid w:val="00CE6435"/>
    <w:rsid w:val="00CE6486"/>
    <w:rsid w:val="00CE64B3"/>
    <w:rsid w:val="00CE64DA"/>
    <w:rsid w:val="00CE64F7"/>
    <w:rsid w:val="00CE655D"/>
    <w:rsid w:val="00CE6574"/>
    <w:rsid w:val="00CE65C7"/>
    <w:rsid w:val="00CE6613"/>
    <w:rsid w:val="00CE6834"/>
    <w:rsid w:val="00CE698F"/>
    <w:rsid w:val="00CE6BD3"/>
    <w:rsid w:val="00CE6C6B"/>
    <w:rsid w:val="00CE6D30"/>
    <w:rsid w:val="00CE6EAD"/>
    <w:rsid w:val="00CE702F"/>
    <w:rsid w:val="00CE7161"/>
    <w:rsid w:val="00CE7232"/>
    <w:rsid w:val="00CE7294"/>
    <w:rsid w:val="00CE72DF"/>
    <w:rsid w:val="00CE72EA"/>
    <w:rsid w:val="00CE7303"/>
    <w:rsid w:val="00CE730E"/>
    <w:rsid w:val="00CE74AE"/>
    <w:rsid w:val="00CE7550"/>
    <w:rsid w:val="00CE7554"/>
    <w:rsid w:val="00CE75D9"/>
    <w:rsid w:val="00CE7677"/>
    <w:rsid w:val="00CE7738"/>
    <w:rsid w:val="00CE7751"/>
    <w:rsid w:val="00CE7799"/>
    <w:rsid w:val="00CE77D7"/>
    <w:rsid w:val="00CE7892"/>
    <w:rsid w:val="00CE793D"/>
    <w:rsid w:val="00CE7950"/>
    <w:rsid w:val="00CE7958"/>
    <w:rsid w:val="00CE79F6"/>
    <w:rsid w:val="00CE7A6C"/>
    <w:rsid w:val="00CE7AD3"/>
    <w:rsid w:val="00CE7B06"/>
    <w:rsid w:val="00CE7B5D"/>
    <w:rsid w:val="00CE7BA4"/>
    <w:rsid w:val="00CE7C89"/>
    <w:rsid w:val="00CE7C92"/>
    <w:rsid w:val="00CE7CAC"/>
    <w:rsid w:val="00CE7D56"/>
    <w:rsid w:val="00CE7E3E"/>
    <w:rsid w:val="00CE7EE8"/>
    <w:rsid w:val="00CF008D"/>
    <w:rsid w:val="00CF00D5"/>
    <w:rsid w:val="00CF01DF"/>
    <w:rsid w:val="00CF0297"/>
    <w:rsid w:val="00CF02B6"/>
    <w:rsid w:val="00CF0373"/>
    <w:rsid w:val="00CF0448"/>
    <w:rsid w:val="00CF0530"/>
    <w:rsid w:val="00CF0648"/>
    <w:rsid w:val="00CF0726"/>
    <w:rsid w:val="00CF07F3"/>
    <w:rsid w:val="00CF07FC"/>
    <w:rsid w:val="00CF0912"/>
    <w:rsid w:val="00CF095C"/>
    <w:rsid w:val="00CF0A3D"/>
    <w:rsid w:val="00CF0D02"/>
    <w:rsid w:val="00CF0DBF"/>
    <w:rsid w:val="00CF0FEF"/>
    <w:rsid w:val="00CF101E"/>
    <w:rsid w:val="00CF10EA"/>
    <w:rsid w:val="00CF114C"/>
    <w:rsid w:val="00CF127E"/>
    <w:rsid w:val="00CF12A9"/>
    <w:rsid w:val="00CF13A8"/>
    <w:rsid w:val="00CF1424"/>
    <w:rsid w:val="00CF1502"/>
    <w:rsid w:val="00CF152E"/>
    <w:rsid w:val="00CF1629"/>
    <w:rsid w:val="00CF17DA"/>
    <w:rsid w:val="00CF18C4"/>
    <w:rsid w:val="00CF19C5"/>
    <w:rsid w:val="00CF19F4"/>
    <w:rsid w:val="00CF1BF2"/>
    <w:rsid w:val="00CF1C0F"/>
    <w:rsid w:val="00CF1CB4"/>
    <w:rsid w:val="00CF1CC9"/>
    <w:rsid w:val="00CF1CD9"/>
    <w:rsid w:val="00CF1E50"/>
    <w:rsid w:val="00CF1F05"/>
    <w:rsid w:val="00CF1FA2"/>
    <w:rsid w:val="00CF2105"/>
    <w:rsid w:val="00CF228A"/>
    <w:rsid w:val="00CF22B6"/>
    <w:rsid w:val="00CF2361"/>
    <w:rsid w:val="00CF2430"/>
    <w:rsid w:val="00CF2499"/>
    <w:rsid w:val="00CF25AF"/>
    <w:rsid w:val="00CF25F6"/>
    <w:rsid w:val="00CF268F"/>
    <w:rsid w:val="00CF26D0"/>
    <w:rsid w:val="00CF27D4"/>
    <w:rsid w:val="00CF2844"/>
    <w:rsid w:val="00CF2848"/>
    <w:rsid w:val="00CF288D"/>
    <w:rsid w:val="00CF2A8E"/>
    <w:rsid w:val="00CF2BE5"/>
    <w:rsid w:val="00CF2C7D"/>
    <w:rsid w:val="00CF2CAA"/>
    <w:rsid w:val="00CF2CB2"/>
    <w:rsid w:val="00CF2E3B"/>
    <w:rsid w:val="00CF2EC2"/>
    <w:rsid w:val="00CF2F46"/>
    <w:rsid w:val="00CF2F59"/>
    <w:rsid w:val="00CF2FCD"/>
    <w:rsid w:val="00CF30F6"/>
    <w:rsid w:val="00CF3245"/>
    <w:rsid w:val="00CF3391"/>
    <w:rsid w:val="00CF33F4"/>
    <w:rsid w:val="00CF34E8"/>
    <w:rsid w:val="00CF3523"/>
    <w:rsid w:val="00CF35A0"/>
    <w:rsid w:val="00CF35E7"/>
    <w:rsid w:val="00CF3604"/>
    <w:rsid w:val="00CF3620"/>
    <w:rsid w:val="00CF365B"/>
    <w:rsid w:val="00CF366D"/>
    <w:rsid w:val="00CF36E1"/>
    <w:rsid w:val="00CF37A2"/>
    <w:rsid w:val="00CF3826"/>
    <w:rsid w:val="00CF38A8"/>
    <w:rsid w:val="00CF3A32"/>
    <w:rsid w:val="00CF3ABE"/>
    <w:rsid w:val="00CF3C83"/>
    <w:rsid w:val="00CF3E40"/>
    <w:rsid w:val="00CF3F84"/>
    <w:rsid w:val="00CF4002"/>
    <w:rsid w:val="00CF41A4"/>
    <w:rsid w:val="00CF4305"/>
    <w:rsid w:val="00CF439E"/>
    <w:rsid w:val="00CF43F7"/>
    <w:rsid w:val="00CF441D"/>
    <w:rsid w:val="00CF46B5"/>
    <w:rsid w:val="00CF46B9"/>
    <w:rsid w:val="00CF46C9"/>
    <w:rsid w:val="00CF46CF"/>
    <w:rsid w:val="00CF4767"/>
    <w:rsid w:val="00CF4850"/>
    <w:rsid w:val="00CF48AC"/>
    <w:rsid w:val="00CF4903"/>
    <w:rsid w:val="00CF4B30"/>
    <w:rsid w:val="00CF4D85"/>
    <w:rsid w:val="00CF4DA1"/>
    <w:rsid w:val="00CF4DA6"/>
    <w:rsid w:val="00CF4EA2"/>
    <w:rsid w:val="00CF4FCF"/>
    <w:rsid w:val="00CF5017"/>
    <w:rsid w:val="00CF5039"/>
    <w:rsid w:val="00CF503C"/>
    <w:rsid w:val="00CF5104"/>
    <w:rsid w:val="00CF5241"/>
    <w:rsid w:val="00CF52E7"/>
    <w:rsid w:val="00CF52F6"/>
    <w:rsid w:val="00CF5354"/>
    <w:rsid w:val="00CF53DA"/>
    <w:rsid w:val="00CF545A"/>
    <w:rsid w:val="00CF5517"/>
    <w:rsid w:val="00CF5616"/>
    <w:rsid w:val="00CF5720"/>
    <w:rsid w:val="00CF57F1"/>
    <w:rsid w:val="00CF588A"/>
    <w:rsid w:val="00CF5949"/>
    <w:rsid w:val="00CF59F6"/>
    <w:rsid w:val="00CF5A45"/>
    <w:rsid w:val="00CF5D1F"/>
    <w:rsid w:val="00CF5DC7"/>
    <w:rsid w:val="00CF5DD7"/>
    <w:rsid w:val="00CF5EFF"/>
    <w:rsid w:val="00CF5FAA"/>
    <w:rsid w:val="00CF5FAD"/>
    <w:rsid w:val="00CF6053"/>
    <w:rsid w:val="00CF6134"/>
    <w:rsid w:val="00CF615B"/>
    <w:rsid w:val="00CF6360"/>
    <w:rsid w:val="00CF63E7"/>
    <w:rsid w:val="00CF641C"/>
    <w:rsid w:val="00CF65F2"/>
    <w:rsid w:val="00CF6614"/>
    <w:rsid w:val="00CF6653"/>
    <w:rsid w:val="00CF6929"/>
    <w:rsid w:val="00CF6966"/>
    <w:rsid w:val="00CF6987"/>
    <w:rsid w:val="00CF6989"/>
    <w:rsid w:val="00CF69BB"/>
    <w:rsid w:val="00CF69F0"/>
    <w:rsid w:val="00CF6AFE"/>
    <w:rsid w:val="00CF6B3E"/>
    <w:rsid w:val="00CF6C22"/>
    <w:rsid w:val="00CF6C85"/>
    <w:rsid w:val="00CF6E72"/>
    <w:rsid w:val="00CF6FDC"/>
    <w:rsid w:val="00CF6FF2"/>
    <w:rsid w:val="00CF70D1"/>
    <w:rsid w:val="00CF711D"/>
    <w:rsid w:val="00CF71F9"/>
    <w:rsid w:val="00CF7279"/>
    <w:rsid w:val="00CF72B8"/>
    <w:rsid w:val="00CF7322"/>
    <w:rsid w:val="00CF734B"/>
    <w:rsid w:val="00CF738E"/>
    <w:rsid w:val="00CF7415"/>
    <w:rsid w:val="00CF7529"/>
    <w:rsid w:val="00CF75CD"/>
    <w:rsid w:val="00CF75E8"/>
    <w:rsid w:val="00CF7622"/>
    <w:rsid w:val="00CF7669"/>
    <w:rsid w:val="00CF7675"/>
    <w:rsid w:val="00CF7686"/>
    <w:rsid w:val="00CF76BB"/>
    <w:rsid w:val="00CF76E4"/>
    <w:rsid w:val="00CF7737"/>
    <w:rsid w:val="00CF779A"/>
    <w:rsid w:val="00CF7821"/>
    <w:rsid w:val="00CF788A"/>
    <w:rsid w:val="00CF7A08"/>
    <w:rsid w:val="00CF7C75"/>
    <w:rsid w:val="00CF7CFB"/>
    <w:rsid w:val="00CF7D93"/>
    <w:rsid w:val="00CF7E5B"/>
    <w:rsid w:val="00CF7EB8"/>
    <w:rsid w:val="00CF7EE3"/>
    <w:rsid w:val="00CF7EFE"/>
    <w:rsid w:val="00CF7F35"/>
    <w:rsid w:val="00CF7F9A"/>
    <w:rsid w:val="00CFD2FF"/>
    <w:rsid w:val="00CFDACB"/>
    <w:rsid w:val="00D0000D"/>
    <w:rsid w:val="00D000B4"/>
    <w:rsid w:val="00D001F1"/>
    <w:rsid w:val="00D0020A"/>
    <w:rsid w:val="00D00290"/>
    <w:rsid w:val="00D003A3"/>
    <w:rsid w:val="00D00485"/>
    <w:rsid w:val="00D00548"/>
    <w:rsid w:val="00D0066B"/>
    <w:rsid w:val="00D00858"/>
    <w:rsid w:val="00D008F2"/>
    <w:rsid w:val="00D0094E"/>
    <w:rsid w:val="00D00DA6"/>
    <w:rsid w:val="00D00E20"/>
    <w:rsid w:val="00D00E2A"/>
    <w:rsid w:val="00D00EA7"/>
    <w:rsid w:val="00D00F69"/>
    <w:rsid w:val="00D00FA2"/>
    <w:rsid w:val="00D010A6"/>
    <w:rsid w:val="00D011B7"/>
    <w:rsid w:val="00D0122C"/>
    <w:rsid w:val="00D0124D"/>
    <w:rsid w:val="00D0137F"/>
    <w:rsid w:val="00D013CB"/>
    <w:rsid w:val="00D0150A"/>
    <w:rsid w:val="00D015AA"/>
    <w:rsid w:val="00D015DE"/>
    <w:rsid w:val="00D015E6"/>
    <w:rsid w:val="00D01658"/>
    <w:rsid w:val="00D0179C"/>
    <w:rsid w:val="00D017AC"/>
    <w:rsid w:val="00D017B5"/>
    <w:rsid w:val="00D017F9"/>
    <w:rsid w:val="00D0182F"/>
    <w:rsid w:val="00D01862"/>
    <w:rsid w:val="00D018F7"/>
    <w:rsid w:val="00D019FF"/>
    <w:rsid w:val="00D01AB7"/>
    <w:rsid w:val="00D01B3C"/>
    <w:rsid w:val="00D01B5A"/>
    <w:rsid w:val="00D01BC7"/>
    <w:rsid w:val="00D01D0B"/>
    <w:rsid w:val="00D01DA0"/>
    <w:rsid w:val="00D01DA5"/>
    <w:rsid w:val="00D01FDE"/>
    <w:rsid w:val="00D01FE4"/>
    <w:rsid w:val="00D02235"/>
    <w:rsid w:val="00D02592"/>
    <w:rsid w:val="00D02692"/>
    <w:rsid w:val="00D026E4"/>
    <w:rsid w:val="00D02729"/>
    <w:rsid w:val="00D02757"/>
    <w:rsid w:val="00D027D6"/>
    <w:rsid w:val="00D02828"/>
    <w:rsid w:val="00D02885"/>
    <w:rsid w:val="00D02904"/>
    <w:rsid w:val="00D029DB"/>
    <w:rsid w:val="00D029FA"/>
    <w:rsid w:val="00D02A8E"/>
    <w:rsid w:val="00D02AA5"/>
    <w:rsid w:val="00D02D1D"/>
    <w:rsid w:val="00D02E32"/>
    <w:rsid w:val="00D03059"/>
    <w:rsid w:val="00D030DD"/>
    <w:rsid w:val="00D03183"/>
    <w:rsid w:val="00D031D9"/>
    <w:rsid w:val="00D03312"/>
    <w:rsid w:val="00D03386"/>
    <w:rsid w:val="00D033F9"/>
    <w:rsid w:val="00D0342A"/>
    <w:rsid w:val="00D035F4"/>
    <w:rsid w:val="00D03701"/>
    <w:rsid w:val="00D03752"/>
    <w:rsid w:val="00D037A5"/>
    <w:rsid w:val="00D03816"/>
    <w:rsid w:val="00D0389E"/>
    <w:rsid w:val="00D0390B"/>
    <w:rsid w:val="00D03A45"/>
    <w:rsid w:val="00D03CAD"/>
    <w:rsid w:val="00D03E8E"/>
    <w:rsid w:val="00D03F1F"/>
    <w:rsid w:val="00D04054"/>
    <w:rsid w:val="00D041AD"/>
    <w:rsid w:val="00D0422D"/>
    <w:rsid w:val="00D04362"/>
    <w:rsid w:val="00D0443C"/>
    <w:rsid w:val="00D0482F"/>
    <w:rsid w:val="00D048E1"/>
    <w:rsid w:val="00D04910"/>
    <w:rsid w:val="00D04984"/>
    <w:rsid w:val="00D04A17"/>
    <w:rsid w:val="00D04A38"/>
    <w:rsid w:val="00D04A68"/>
    <w:rsid w:val="00D04AC6"/>
    <w:rsid w:val="00D04D04"/>
    <w:rsid w:val="00D04D44"/>
    <w:rsid w:val="00D04DB3"/>
    <w:rsid w:val="00D04DD5"/>
    <w:rsid w:val="00D04EBC"/>
    <w:rsid w:val="00D0502C"/>
    <w:rsid w:val="00D05135"/>
    <w:rsid w:val="00D051EA"/>
    <w:rsid w:val="00D05212"/>
    <w:rsid w:val="00D05214"/>
    <w:rsid w:val="00D05230"/>
    <w:rsid w:val="00D0525F"/>
    <w:rsid w:val="00D05286"/>
    <w:rsid w:val="00D0530D"/>
    <w:rsid w:val="00D0548B"/>
    <w:rsid w:val="00D054C7"/>
    <w:rsid w:val="00D0557F"/>
    <w:rsid w:val="00D0571A"/>
    <w:rsid w:val="00D05784"/>
    <w:rsid w:val="00D05947"/>
    <w:rsid w:val="00D0594F"/>
    <w:rsid w:val="00D05953"/>
    <w:rsid w:val="00D05A08"/>
    <w:rsid w:val="00D05A23"/>
    <w:rsid w:val="00D05AEF"/>
    <w:rsid w:val="00D05B14"/>
    <w:rsid w:val="00D05B38"/>
    <w:rsid w:val="00D05B6A"/>
    <w:rsid w:val="00D05C92"/>
    <w:rsid w:val="00D05D47"/>
    <w:rsid w:val="00D05FD7"/>
    <w:rsid w:val="00D0605F"/>
    <w:rsid w:val="00D06343"/>
    <w:rsid w:val="00D063C4"/>
    <w:rsid w:val="00D063FC"/>
    <w:rsid w:val="00D0644F"/>
    <w:rsid w:val="00D06555"/>
    <w:rsid w:val="00D065FB"/>
    <w:rsid w:val="00D066F2"/>
    <w:rsid w:val="00D0686F"/>
    <w:rsid w:val="00D06922"/>
    <w:rsid w:val="00D06ACC"/>
    <w:rsid w:val="00D06B0A"/>
    <w:rsid w:val="00D06B0B"/>
    <w:rsid w:val="00D06B29"/>
    <w:rsid w:val="00D06D46"/>
    <w:rsid w:val="00D06D4C"/>
    <w:rsid w:val="00D06D5A"/>
    <w:rsid w:val="00D06F3C"/>
    <w:rsid w:val="00D07127"/>
    <w:rsid w:val="00D07175"/>
    <w:rsid w:val="00D072B0"/>
    <w:rsid w:val="00D073AF"/>
    <w:rsid w:val="00D0742D"/>
    <w:rsid w:val="00D0745C"/>
    <w:rsid w:val="00D0769D"/>
    <w:rsid w:val="00D076A2"/>
    <w:rsid w:val="00D07778"/>
    <w:rsid w:val="00D0778E"/>
    <w:rsid w:val="00D0786D"/>
    <w:rsid w:val="00D07930"/>
    <w:rsid w:val="00D07980"/>
    <w:rsid w:val="00D07A4E"/>
    <w:rsid w:val="00D07CC1"/>
    <w:rsid w:val="00D07EE3"/>
    <w:rsid w:val="00D0F544"/>
    <w:rsid w:val="00D10033"/>
    <w:rsid w:val="00D10098"/>
    <w:rsid w:val="00D1025E"/>
    <w:rsid w:val="00D10267"/>
    <w:rsid w:val="00D102D6"/>
    <w:rsid w:val="00D102EA"/>
    <w:rsid w:val="00D103A9"/>
    <w:rsid w:val="00D10417"/>
    <w:rsid w:val="00D10430"/>
    <w:rsid w:val="00D104D9"/>
    <w:rsid w:val="00D1059C"/>
    <w:rsid w:val="00D106D2"/>
    <w:rsid w:val="00D107BA"/>
    <w:rsid w:val="00D10952"/>
    <w:rsid w:val="00D10A22"/>
    <w:rsid w:val="00D10A32"/>
    <w:rsid w:val="00D10A65"/>
    <w:rsid w:val="00D10A70"/>
    <w:rsid w:val="00D10AC8"/>
    <w:rsid w:val="00D10B1A"/>
    <w:rsid w:val="00D10C2F"/>
    <w:rsid w:val="00D10CA4"/>
    <w:rsid w:val="00D10D07"/>
    <w:rsid w:val="00D10D63"/>
    <w:rsid w:val="00D10D7C"/>
    <w:rsid w:val="00D10DE1"/>
    <w:rsid w:val="00D10E19"/>
    <w:rsid w:val="00D10F34"/>
    <w:rsid w:val="00D1100F"/>
    <w:rsid w:val="00D110A2"/>
    <w:rsid w:val="00D11131"/>
    <w:rsid w:val="00D11353"/>
    <w:rsid w:val="00D113BB"/>
    <w:rsid w:val="00D113D9"/>
    <w:rsid w:val="00D11569"/>
    <w:rsid w:val="00D1162A"/>
    <w:rsid w:val="00D11672"/>
    <w:rsid w:val="00D11792"/>
    <w:rsid w:val="00D11976"/>
    <w:rsid w:val="00D11A46"/>
    <w:rsid w:val="00D11A67"/>
    <w:rsid w:val="00D11B35"/>
    <w:rsid w:val="00D11BB5"/>
    <w:rsid w:val="00D11CBB"/>
    <w:rsid w:val="00D11D25"/>
    <w:rsid w:val="00D11E6C"/>
    <w:rsid w:val="00D11EE0"/>
    <w:rsid w:val="00D12055"/>
    <w:rsid w:val="00D120E7"/>
    <w:rsid w:val="00D12406"/>
    <w:rsid w:val="00D12435"/>
    <w:rsid w:val="00D12523"/>
    <w:rsid w:val="00D12543"/>
    <w:rsid w:val="00D125A3"/>
    <w:rsid w:val="00D125CC"/>
    <w:rsid w:val="00D1270A"/>
    <w:rsid w:val="00D12777"/>
    <w:rsid w:val="00D1284A"/>
    <w:rsid w:val="00D12939"/>
    <w:rsid w:val="00D12967"/>
    <w:rsid w:val="00D12976"/>
    <w:rsid w:val="00D12A74"/>
    <w:rsid w:val="00D12AA0"/>
    <w:rsid w:val="00D12C4A"/>
    <w:rsid w:val="00D12CA5"/>
    <w:rsid w:val="00D12CFE"/>
    <w:rsid w:val="00D12D1A"/>
    <w:rsid w:val="00D12D61"/>
    <w:rsid w:val="00D12F8F"/>
    <w:rsid w:val="00D13001"/>
    <w:rsid w:val="00D13252"/>
    <w:rsid w:val="00D1326E"/>
    <w:rsid w:val="00D13278"/>
    <w:rsid w:val="00D133B8"/>
    <w:rsid w:val="00D13427"/>
    <w:rsid w:val="00D13524"/>
    <w:rsid w:val="00D1353B"/>
    <w:rsid w:val="00D13650"/>
    <w:rsid w:val="00D1368A"/>
    <w:rsid w:val="00D1373F"/>
    <w:rsid w:val="00D139F0"/>
    <w:rsid w:val="00D13ABD"/>
    <w:rsid w:val="00D13B0A"/>
    <w:rsid w:val="00D13DBF"/>
    <w:rsid w:val="00D13E12"/>
    <w:rsid w:val="00D13E93"/>
    <w:rsid w:val="00D13F1C"/>
    <w:rsid w:val="00D13F4E"/>
    <w:rsid w:val="00D141D5"/>
    <w:rsid w:val="00D141FE"/>
    <w:rsid w:val="00D14356"/>
    <w:rsid w:val="00D143BB"/>
    <w:rsid w:val="00D14551"/>
    <w:rsid w:val="00D14553"/>
    <w:rsid w:val="00D14589"/>
    <w:rsid w:val="00D145B4"/>
    <w:rsid w:val="00D14603"/>
    <w:rsid w:val="00D14690"/>
    <w:rsid w:val="00D146B2"/>
    <w:rsid w:val="00D148BC"/>
    <w:rsid w:val="00D14951"/>
    <w:rsid w:val="00D14A39"/>
    <w:rsid w:val="00D14A71"/>
    <w:rsid w:val="00D14B59"/>
    <w:rsid w:val="00D14B62"/>
    <w:rsid w:val="00D14B96"/>
    <w:rsid w:val="00D14B9D"/>
    <w:rsid w:val="00D14C17"/>
    <w:rsid w:val="00D14D66"/>
    <w:rsid w:val="00D14DA2"/>
    <w:rsid w:val="00D14E6D"/>
    <w:rsid w:val="00D14EC3"/>
    <w:rsid w:val="00D14F68"/>
    <w:rsid w:val="00D15045"/>
    <w:rsid w:val="00D1513D"/>
    <w:rsid w:val="00D1513E"/>
    <w:rsid w:val="00D1514A"/>
    <w:rsid w:val="00D15159"/>
    <w:rsid w:val="00D151B9"/>
    <w:rsid w:val="00D151FC"/>
    <w:rsid w:val="00D15239"/>
    <w:rsid w:val="00D15275"/>
    <w:rsid w:val="00D1535F"/>
    <w:rsid w:val="00D153CD"/>
    <w:rsid w:val="00D15409"/>
    <w:rsid w:val="00D15522"/>
    <w:rsid w:val="00D155A3"/>
    <w:rsid w:val="00D155B4"/>
    <w:rsid w:val="00D1561B"/>
    <w:rsid w:val="00D1563D"/>
    <w:rsid w:val="00D15667"/>
    <w:rsid w:val="00D157CC"/>
    <w:rsid w:val="00D15991"/>
    <w:rsid w:val="00D15A25"/>
    <w:rsid w:val="00D15A58"/>
    <w:rsid w:val="00D15AC1"/>
    <w:rsid w:val="00D15AC9"/>
    <w:rsid w:val="00D15BA5"/>
    <w:rsid w:val="00D15BD0"/>
    <w:rsid w:val="00D15CDD"/>
    <w:rsid w:val="00D15CEA"/>
    <w:rsid w:val="00D15E15"/>
    <w:rsid w:val="00D15EDA"/>
    <w:rsid w:val="00D15EF1"/>
    <w:rsid w:val="00D15F4F"/>
    <w:rsid w:val="00D15F92"/>
    <w:rsid w:val="00D16034"/>
    <w:rsid w:val="00D1609A"/>
    <w:rsid w:val="00D1611D"/>
    <w:rsid w:val="00D16131"/>
    <w:rsid w:val="00D16219"/>
    <w:rsid w:val="00D1622B"/>
    <w:rsid w:val="00D162D9"/>
    <w:rsid w:val="00D1634F"/>
    <w:rsid w:val="00D16449"/>
    <w:rsid w:val="00D16874"/>
    <w:rsid w:val="00D1688B"/>
    <w:rsid w:val="00D1689B"/>
    <w:rsid w:val="00D16ACC"/>
    <w:rsid w:val="00D16AE1"/>
    <w:rsid w:val="00D16BD9"/>
    <w:rsid w:val="00D16D04"/>
    <w:rsid w:val="00D16D40"/>
    <w:rsid w:val="00D16DB9"/>
    <w:rsid w:val="00D16E61"/>
    <w:rsid w:val="00D16ED5"/>
    <w:rsid w:val="00D16F02"/>
    <w:rsid w:val="00D16F5B"/>
    <w:rsid w:val="00D16FDE"/>
    <w:rsid w:val="00D170EA"/>
    <w:rsid w:val="00D1718E"/>
    <w:rsid w:val="00D171F9"/>
    <w:rsid w:val="00D17237"/>
    <w:rsid w:val="00D17276"/>
    <w:rsid w:val="00D1737A"/>
    <w:rsid w:val="00D173B2"/>
    <w:rsid w:val="00D173F2"/>
    <w:rsid w:val="00D174D3"/>
    <w:rsid w:val="00D177BE"/>
    <w:rsid w:val="00D17973"/>
    <w:rsid w:val="00D17A35"/>
    <w:rsid w:val="00D17BF4"/>
    <w:rsid w:val="00D17C18"/>
    <w:rsid w:val="00D17C5B"/>
    <w:rsid w:val="00D17CCA"/>
    <w:rsid w:val="00D17DDA"/>
    <w:rsid w:val="00D17EE2"/>
    <w:rsid w:val="00D17FB0"/>
    <w:rsid w:val="00D20006"/>
    <w:rsid w:val="00D20029"/>
    <w:rsid w:val="00D20351"/>
    <w:rsid w:val="00D20564"/>
    <w:rsid w:val="00D207CE"/>
    <w:rsid w:val="00D20836"/>
    <w:rsid w:val="00D20905"/>
    <w:rsid w:val="00D209EC"/>
    <w:rsid w:val="00D20A00"/>
    <w:rsid w:val="00D20DA7"/>
    <w:rsid w:val="00D20DDF"/>
    <w:rsid w:val="00D20F2C"/>
    <w:rsid w:val="00D20F8F"/>
    <w:rsid w:val="00D2112B"/>
    <w:rsid w:val="00D21163"/>
    <w:rsid w:val="00D212CC"/>
    <w:rsid w:val="00D21307"/>
    <w:rsid w:val="00D21349"/>
    <w:rsid w:val="00D21491"/>
    <w:rsid w:val="00D214CE"/>
    <w:rsid w:val="00D21593"/>
    <w:rsid w:val="00D21753"/>
    <w:rsid w:val="00D217EB"/>
    <w:rsid w:val="00D217FA"/>
    <w:rsid w:val="00D21867"/>
    <w:rsid w:val="00D218D9"/>
    <w:rsid w:val="00D21B73"/>
    <w:rsid w:val="00D21B7A"/>
    <w:rsid w:val="00D21B90"/>
    <w:rsid w:val="00D21BC1"/>
    <w:rsid w:val="00D21CC4"/>
    <w:rsid w:val="00D21E0C"/>
    <w:rsid w:val="00D21E9F"/>
    <w:rsid w:val="00D21EA6"/>
    <w:rsid w:val="00D22090"/>
    <w:rsid w:val="00D22097"/>
    <w:rsid w:val="00D220BC"/>
    <w:rsid w:val="00D221A4"/>
    <w:rsid w:val="00D222EF"/>
    <w:rsid w:val="00D224D3"/>
    <w:rsid w:val="00D22659"/>
    <w:rsid w:val="00D22682"/>
    <w:rsid w:val="00D22696"/>
    <w:rsid w:val="00D22778"/>
    <w:rsid w:val="00D2286F"/>
    <w:rsid w:val="00D228A4"/>
    <w:rsid w:val="00D229F1"/>
    <w:rsid w:val="00D22A2B"/>
    <w:rsid w:val="00D22A9B"/>
    <w:rsid w:val="00D22B31"/>
    <w:rsid w:val="00D22B61"/>
    <w:rsid w:val="00D22B6A"/>
    <w:rsid w:val="00D22BF2"/>
    <w:rsid w:val="00D22CFD"/>
    <w:rsid w:val="00D22D47"/>
    <w:rsid w:val="00D22D5A"/>
    <w:rsid w:val="00D22F89"/>
    <w:rsid w:val="00D23212"/>
    <w:rsid w:val="00D232B8"/>
    <w:rsid w:val="00D2345F"/>
    <w:rsid w:val="00D2346E"/>
    <w:rsid w:val="00D23563"/>
    <w:rsid w:val="00D2357F"/>
    <w:rsid w:val="00D23589"/>
    <w:rsid w:val="00D23662"/>
    <w:rsid w:val="00D236DA"/>
    <w:rsid w:val="00D23764"/>
    <w:rsid w:val="00D23796"/>
    <w:rsid w:val="00D23798"/>
    <w:rsid w:val="00D237BD"/>
    <w:rsid w:val="00D2387E"/>
    <w:rsid w:val="00D238C3"/>
    <w:rsid w:val="00D239C1"/>
    <w:rsid w:val="00D23B73"/>
    <w:rsid w:val="00D23BA9"/>
    <w:rsid w:val="00D23BF5"/>
    <w:rsid w:val="00D23C31"/>
    <w:rsid w:val="00D23C44"/>
    <w:rsid w:val="00D23E3B"/>
    <w:rsid w:val="00D240CD"/>
    <w:rsid w:val="00D2410E"/>
    <w:rsid w:val="00D24298"/>
    <w:rsid w:val="00D243A9"/>
    <w:rsid w:val="00D244A7"/>
    <w:rsid w:val="00D2450B"/>
    <w:rsid w:val="00D24582"/>
    <w:rsid w:val="00D24598"/>
    <w:rsid w:val="00D24704"/>
    <w:rsid w:val="00D2470E"/>
    <w:rsid w:val="00D248AA"/>
    <w:rsid w:val="00D2490C"/>
    <w:rsid w:val="00D249C8"/>
    <w:rsid w:val="00D24B74"/>
    <w:rsid w:val="00D24BBB"/>
    <w:rsid w:val="00D24C35"/>
    <w:rsid w:val="00D24DD9"/>
    <w:rsid w:val="00D24E52"/>
    <w:rsid w:val="00D24E64"/>
    <w:rsid w:val="00D24F1C"/>
    <w:rsid w:val="00D24F51"/>
    <w:rsid w:val="00D24F7F"/>
    <w:rsid w:val="00D24F96"/>
    <w:rsid w:val="00D24FED"/>
    <w:rsid w:val="00D2502D"/>
    <w:rsid w:val="00D25110"/>
    <w:rsid w:val="00D254EE"/>
    <w:rsid w:val="00D2550E"/>
    <w:rsid w:val="00D25603"/>
    <w:rsid w:val="00D256DA"/>
    <w:rsid w:val="00D256FD"/>
    <w:rsid w:val="00D25801"/>
    <w:rsid w:val="00D25865"/>
    <w:rsid w:val="00D25AD1"/>
    <w:rsid w:val="00D25AFC"/>
    <w:rsid w:val="00D25B4D"/>
    <w:rsid w:val="00D25BE7"/>
    <w:rsid w:val="00D25C0D"/>
    <w:rsid w:val="00D25C49"/>
    <w:rsid w:val="00D25CE9"/>
    <w:rsid w:val="00D25DEA"/>
    <w:rsid w:val="00D260C6"/>
    <w:rsid w:val="00D261D8"/>
    <w:rsid w:val="00D26270"/>
    <w:rsid w:val="00D26289"/>
    <w:rsid w:val="00D262F4"/>
    <w:rsid w:val="00D263B7"/>
    <w:rsid w:val="00D2649F"/>
    <w:rsid w:val="00D264C7"/>
    <w:rsid w:val="00D2657B"/>
    <w:rsid w:val="00D266DE"/>
    <w:rsid w:val="00D266E5"/>
    <w:rsid w:val="00D266F1"/>
    <w:rsid w:val="00D26858"/>
    <w:rsid w:val="00D26AC1"/>
    <w:rsid w:val="00D26B57"/>
    <w:rsid w:val="00D26C43"/>
    <w:rsid w:val="00D26CBD"/>
    <w:rsid w:val="00D26D18"/>
    <w:rsid w:val="00D26D77"/>
    <w:rsid w:val="00D26E01"/>
    <w:rsid w:val="00D26E4C"/>
    <w:rsid w:val="00D26ED1"/>
    <w:rsid w:val="00D26EF1"/>
    <w:rsid w:val="00D27049"/>
    <w:rsid w:val="00D270BA"/>
    <w:rsid w:val="00D270C6"/>
    <w:rsid w:val="00D27139"/>
    <w:rsid w:val="00D27295"/>
    <w:rsid w:val="00D27507"/>
    <w:rsid w:val="00D275FA"/>
    <w:rsid w:val="00D2770F"/>
    <w:rsid w:val="00D2786A"/>
    <w:rsid w:val="00D278B3"/>
    <w:rsid w:val="00D27958"/>
    <w:rsid w:val="00D27C40"/>
    <w:rsid w:val="00D27C50"/>
    <w:rsid w:val="00D27CC4"/>
    <w:rsid w:val="00D27CCF"/>
    <w:rsid w:val="00D27DE3"/>
    <w:rsid w:val="00D27E85"/>
    <w:rsid w:val="00D27EB7"/>
    <w:rsid w:val="00D27FBA"/>
    <w:rsid w:val="00D3004C"/>
    <w:rsid w:val="00D301C2"/>
    <w:rsid w:val="00D301C5"/>
    <w:rsid w:val="00D3033C"/>
    <w:rsid w:val="00D303DC"/>
    <w:rsid w:val="00D30574"/>
    <w:rsid w:val="00D30579"/>
    <w:rsid w:val="00D30788"/>
    <w:rsid w:val="00D3094C"/>
    <w:rsid w:val="00D3097E"/>
    <w:rsid w:val="00D30B3E"/>
    <w:rsid w:val="00D30BA5"/>
    <w:rsid w:val="00D30BA7"/>
    <w:rsid w:val="00D30C1F"/>
    <w:rsid w:val="00D30CD4"/>
    <w:rsid w:val="00D30DB7"/>
    <w:rsid w:val="00D30E18"/>
    <w:rsid w:val="00D30ECB"/>
    <w:rsid w:val="00D30EFC"/>
    <w:rsid w:val="00D30F2E"/>
    <w:rsid w:val="00D31060"/>
    <w:rsid w:val="00D31281"/>
    <w:rsid w:val="00D31296"/>
    <w:rsid w:val="00D312A6"/>
    <w:rsid w:val="00D312F9"/>
    <w:rsid w:val="00D31506"/>
    <w:rsid w:val="00D3171F"/>
    <w:rsid w:val="00D3183E"/>
    <w:rsid w:val="00D31993"/>
    <w:rsid w:val="00D319B4"/>
    <w:rsid w:val="00D31A70"/>
    <w:rsid w:val="00D31B38"/>
    <w:rsid w:val="00D31B40"/>
    <w:rsid w:val="00D31C32"/>
    <w:rsid w:val="00D31C5D"/>
    <w:rsid w:val="00D31C7B"/>
    <w:rsid w:val="00D31CA7"/>
    <w:rsid w:val="00D31CB3"/>
    <w:rsid w:val="00D31EE1"/>
    <w:rsid w:val="00D31F7B"/>
    <w:rsid w:val="00D32192"/>
    <w:rsid w:val="00D32224"/>
    <w:rsid w:val="00D323AD"/>
    <w:rsid w:val="00D32492"/>
    <w:rsid w:val="00D324DC"/>
    <w:rsid w:val="00D325DA"/>
    <w:rsid w:val="00D3276C"/>
    <w:rsid w:val="00D328DF"/>
    <w:rsid w:val="00D32935"/>
    <w:rsid w:val="00D3299B"/>
    <w:rsid w:val="00D329AB"/>
    <w:rsid w:val="00D329C7"/>
    <w:rsid w:val="00D32AAC"/>
    <w:rsid w:val="00D32B26"/>
    <w:rsid w:val="00D32B29"/>
    <w:rsid w:val="00D32D4C"/>
    <w:rsid w:val="00D32D60"/>
    <w:rsid w:val="00D32E09"/>
    <w:rsid w:val="00D33061"/>
    <w:rsid w:val="00D33118"/>
    <w:rsid w:val="00D331AC"/>
    <w:rsid w:val="00D331E8"/>
    <w:rsid w:val="00D33202"/>
    <w:rsid w:val="00D333FD"/>
    <w:rsid w:val="00D334CC"/>
    <w:rsid w:val="00D33502"/>
    <w:rsid w:val="00D3356E"/>
    <w:rsid w:val="00D3363E"/>
    <w:rsid w:val="00D336AB"/>
    <w:rsid w:val="00D338CB"/>
    <w:rsid w:val="00D338D5"/>
    <w:rsid w:val="00D33927"/>
    <w:rsid w:val="00D339C7"/>
    <w:rsid w:val="00D33AA7"/>
    <w:rsid w:val="00D33AB8"/>
    <w:rsid w:val="00D33BA7"/>
    <w:rsid w:val="00D33BBD"/>
    <w:rsid w:val="00D33CDB"/>
    <w:rsid w:val="00D33D52"/>
    <w:rsid w:val="00D33D86"/>
    <w:rsid w:val="00D33DB6"/>
    <w:rsid w:val="00D33DEE"/>
    <w:rsid w:val="00D33ECF"/>
    <w:rsid w:val="00D33F09"/>
    <w:rsid w:val="00D33F59"/>
    <w:rsid w:val="00D34020"/>
    <w:rsid w:val="00D341A5"/>
    <w:rsid w:val="00D34271"/>
    <w:rsid w:val="00D34275"/>
    <w:rsid w:val="00D342CE"/>
    <w:rsid w:val="00D34406"/>
    <w:rsid w:val="00D34501"/>
    <w:rsid w:val="00D34641"/>
    <w:rsid w:val="00D34848"/>
    <w:rsid w:val="00D3495A"/>
    <w:rsid w:val="00D34964"/>
    <w:rsid w:val="00D34B05"/>
    <w:rsid w:val="00D34B19"/>
    <w:rsid w:val="00D34DFC"/>
    <w:rsid w:val="00D34E2A"/>
    <w:rsid w:val="00D34E3C"/>
    <w:rsid w:val="00D34F88"/>
    <w:rsid w:val="00D35049"/>
    <w:rsid w:val="00D35228"/>
    <w:rsid w:val="00D35283"/>
    <w:rsid w:val="00D3529D"/>
    <w:rsid w:val="00D352AE"/>
    <w:rsid w:val="00D35425"/>
    <w:rsid w:val="00D35531"/>
    <w:rsid w:val="00D355A4"/>
    <w:rsid w:val="00D35611"/>
    <w:rsid w:val="00D3569D"/>
    <w:rsid w:val="00D35741"/>
    <w:rsid w:val="00D35795"/>
    <w:rsid w:val="00D35860"/>
    <w:rsid w:val="00D35959"/>
    <w:rsid w:val="00D359DE"/>
    <w:rsid w:val="00D35A59"/>
    <w:rsid w:val="00D35BB4"/>
    <w:rsid w:val="00D35BD1"/>
    <w:rsid w:val="00D35C4D"/>
    <w:rsid w:val="00D35D32"/>
    <w:rsid w:val="00D35D4D"/>
    <w:rsid w:val="00D35D6D"/>
    <w:rsid w:val="00D35E41"/>
    <w:rsid w:val="00D35F22"/>
    <w:rsid w:val="00D35FBD"/>
    <w:rsid w:val="00D360F9"/>
    <w:rsid w:val="00D3616C"/>
    <w:rsid w:val="00D361CE"/>
    <w:rsid w:val="00D36289"/>
    <w:rsid w:val="00D362C4"/>
    <w:rsid w:val="00D3644A"/>
    <w:rsid w:val="00D3649A"/>
    <w:rsid w:val="00D364A1"/>
    <w:rsid w:val="00D364A7"/>
    <w:rsid w:val="00D3652B"/>
    <w:rsid w:val="00D36613"/>
    <w:rsid w:val="00D3666B"/>
    <w:rsid w:val="00D366AD"/>
    <w:rsid w:val="00D367D9"/>
    <w:rsid w:val="00D36846"/>
    <w:rsid w:val="00D36955"/>
    <w:rsid w:val="00D36983"/>
    <w:rsid w:val="00D369F9"/>
    <w:rsid w:val="00D36A98"/>
    <w:rsid w:val="00D36AA1"/>
    <w:rsid w:val="00D36CC8"/>
    <w:rsid w:val="00D36D0B"/>
    <w:rsid w:val="00D36DC0"/>
    <w:rsid w:val="00D36E47"/>
    <w:rsid w:val="00D36EBC"/>
    <w:rsid w:val="00D3704C"/>
    <w:rsid w:val="00D370CC"/>
    <w:rsid w:val="00D371E4"/>
    <w:rsid w:val="00D37204"/>
    <w:rsid w:val="00D37209"/>
    <w:rsid w:val="00D372C6"/>
    <w:rsid w:val="00D3733B"/>
    <w:rsid w:val="00D376AB"/>
    <w:rsid w:val="00D376B2"/>
    <w:rsid w:val="00D3771C"/>
    <w:rsid w:val="00D377D3"/>
    <w:rsid w:val="00D37816"/>
    <w:rsid w:val="00D3787C"/>
    <w:rsid w:val="00D378B8"/>
    <w:rsid w:val="00D37958"/>
    <w:rsid w:val="00D37A5D"/>
    <w:rsid w:val="00D37A60"/>
    <w:rsid w:val="00D37B98"/>
    <w:rsid w:val="00D37BF4"/>
    <w:rsid w:val="00D37D87"/>
    <w:rsid w:val="00D37E74"/>
    <w:rsid w:val="00D4011B"/>
    <w:rsid w:val="00D401AC"/>
    <w:rsid w:val="00D401F9"/>
    <w:rsid w:val="00D40231"/>
    <w:rsid w:val="00D40236"/>
    <w:rsid w:val="00D402A5"/>
    <w:rsid w:val="00D4034D"/>
    <w:rsid w:val="00D40392"/>
    <w:rsid w:val="00D403AD"/>
    <w:rsid w:val="00D403F6"/>
    <w:rsid w:val="00D405D2"/>
    <w:rsid w:val="00D40601"/>
    <w:rsid w:val="00D40809"/>
    <w:rsid w:val="00D40A6C"/>
    <w:rsid w:val="00D40A75"/>
    <w:rsid w:val="00D40B02"/>
    <w:rsid w:val="00D40B15"/>
    <w:rsid w:val="00D40B82"/>
    <w:rsid w:val="00D40C9C"/>
    <w:rsid w:val="00D40D84"/>
    <w:rsid w:val="00D40EAA"/>
    <w:rsid w:val="00D40F45"/>
    <w:rsid w:val="00D40FE4"/>
    <w:rsid w:val="00D41019"/>
    <w:rsid w:val="00D41110"/>
    <w:rsid w:val="00D4112B"/>
    <w:rsid w:val="00D412C4"/>
    <w:rsid w:val="00D41336"/>
    <w:rsid w:val="00D41490"/>
    <w:rsid w:val="00D415F4"/>
    <w:rsid w:val="00D4167D"/>
    <w:rsid w:val="00D41832"/>
    <w:rsid w:val="00D4193D"/>
    <w:rsid w:val="00D419CF"/>
    <w:rsid w:val="00D419E8"/>
    <w:rsid w:val="00D41A60"/>
    <w:rsid w:val="00D41C70"/>
    <w:rsid w:val="00D41CA9"/>
    <w:rsid w:val="00D42019"/>
    <w:rsid w:val="00D42071"/>
    <w:rsid w:val="00D4209D"/>
    <w:rsid w:val="00D421DA"/>
    <w:rsid w:val="00D4221F"/>
    <w:rsid w:val="00D4223E"/>
    <w:rsid w:val="00D42549"/>
    <w:rsid w:val="00D42558"/>
    <w:rsid w:val="00D42586"/>
    <w:rsid w:val="00D42610"/>
    <w:rsid w:val="00D42667"/>
    <w:rsid w:val="00D426F5"/>
    <w:rsid w:val="00D4271C"/>
    <w:rsid w:val="00D42A67"/>
    <w:rsid w:val="00D42A78"/>
    <w:rsid w:val="00D42BD1"/>
    <w:rsid w:val="00D42E1D"/>
    <w:rsid w:val="00D42E41"/>
    <w:rsid w:val="00D42E7C"/>
    <w:rsid w:val="00D42EB6"/>
    <w:rsid w:val="00D43144"/>
    <w:rsid w:val="00D43175"/>
    <w:rsid w:val="00D433A3"/>
    <w:rsid w:val="00D433FD"/>
    <w:rsid w:val="00D434DD"/>
    <w:rsid w:val="00D434FA"/>
    <w:rsid w:val="00D43532"/>
    <w:rsid w:val="00D4358D"/>
    <w:rsid w:val="00D4360F"/>
    <w:rsid w:val="00D436E5"/>
    <w:rsid w:val="00D437CC"/>
    <w:rsid w:val="00D437DC"/>
    <w:rsid w:val="00D438A2"/>
    <w:rsid w:val="00D43904"/>
    <w:rsid w:val="00D43905"/>
    <w:rsid w:val="00D43997"/>
    <w:rsid w:val="00D43A8D"/>
    <w:rsid w:val="00D43A95"/>
    <w:rsid w:val="00D43B95"/>
    <w:rsid w:val="00D43C86"/>
    <w:rsid w:val="00D43D30"/>
    <w:rsid w:val="00D43D3F"/>
    <w:rsid w:val="00D43DD1"/>
    <w:rsid w:val="00D43E91"/>
    <w:rsid w:val="00D44073"/>
    <w:rsid w:val="00D440F1"/>
    <w:rsid w:val="00D44129"/>
    <w:rsid w:val="00D4413E"/>
    <w:rsid w:val="00D442E1"/>
    <w:rsid w:val="00D44311"/>
    <w:rsid w:val="00D44325"/>
    <w:rsid w:val="00D44387"/>
    <w:rsid w:val="00D443B0"/>
    <w:rsid w:val="00D443CF"/>
    <w:rsid w:val="00D44417"/>
    <w:rsid w:val="00D44419"/>
    <w:rsid w:val="00D444BD"/>
    <w:rsid w:val="00D44534"/>
    <w:rsid w:val="00D44566"/>
    <w:rsid w:val="00D4472C"/>
    <w:rsid w:val="00D44829"/>
    <w:rsid w:val="00D4485E"/>
    <w:rsid w:val="00D448C7"/>
    <w:rsid w:val="00D44995"/>
    <w:rsid w:val="00D44A3E"/>
    <w:rsid w:val="00D44B85"/>
    <w:rsid w:val="00D44C1A"/>
    <w:rsid w:val="00D44C5B"/>
    <w:rsid w:val="00D44CA4"/>
    <w:rsid w:val="00D44F7E"/>
    <w:rsid w:val="00D44FDF"/>
    <w:rsid w:val="00D450A8"/>
    <w:rsid w:val="00D450BF"/>
    <w:rsid w:val="00D45191"/>
    <w:rsid w:val="00D45324"/>
    <w:rsid w:val="00D45355"/>
    <w:rsid w:val="00D4537F"/>
    <w:rsid w:val="00D45397"/>
    <w:rsid w:val="00D453E2"/>
    <w:rsid w:val="00D45429"/>
    <w:rsid w:val="00D45532"/>
    <w:rsid w:val="00D45689"/>
    <w:rsid w:val="00D4569D"/>
    <w:rsid w:val="00D45742"/>
    <w:rsid w:val="00D457A0"/>
    <w:rsid w:val="00D457E8"/>
    <w:rsid w:val="00D458F5"/>
    <w:rsid w:val="00D459E1"/>
    <w:rsid w:val="00D459F3"/>
    <w:rsid w:val="00D45AA8"/>
    <w:rsid w:val="00D45BF0"/>
    <w:rsid w:val="00D45EE4"/>
    <w:rsid w:val="00D45F01"/>
    <w:rsid w:val="00D45FCE"/>
    <w:rsid w:val="00D45FFD"/>
    <w:rsid w:val="00D460A5"/>
    <w:rsid w:val="00D460E0"/>
    <w:rsid w:val="00D46177"/>
    <w:rsid w:val="00D461DC"/>
    <w:rsid w:val="00D463B4"/>
    <w:rsid w:val="00D464A6"/>
    <w:rsid w:val="00D464DC"/>
    <w:rsid w:val="00D46513"/>
    <w:rsid w:val="00D46570"/>
    <w:rsid w:val="00D46915"/>
    <w:rsid w:val="00D469F5"/>
    <w:rsid w:val="00D46B16"/>
    <w:rsid w:val="00D46B79"/>
    <w:rsid w:val="00D46E78"/>
    <w:rsid w:val="00D470E7"/>
    <w:rsid w:val="00D4719F"/>
    <w:rsid w:val="00D47222"/>
    <w:rsid w:val="00D475B0"/>
    <w:rsid w:val="00D475B8"/>
    <w:rsid w:val="00D476BD"/>
    <w:rsid w:val="00D47720"/>
    <w:rsid w:val="00D4772F"/>
    <w:rsid w:val="00D47801"/>
    <w:rsid w:val="00D47860"/>
    <w:rsid w:val="00D478EA"/>
    <w:rsid w:val="00D47941"/>
    <w:rsid w:val="00D47977"/>
    <w:rsid w:val="00D47A99"/>
    <w:rsid w:val="00D47B2D"/>
    <w:rsid w:val="00D47B95"/>
    <w:rsid w:val="00D47C47"/>
    <w:rsid w:val="00D47C4A"/>
    <w:rsid w:val="00D47C74"/>
    <w:rsid w:val="00D47C7A"/>
    <w:rsid w:val="00D47CF3"/>
    <w:rsid w:val="00D47D1B"/>
    <w:rsid w:val="00D47D9C"/>
    <w:rsid w:val="00D47E03"/>
    <w:rsid w:val="00D50192"/>
    <w:rsid w:val="00D50195"/>
    <w:rsid w:val="00D5020D"/>
    <w:rsid w:val="00D502FF"/>
    <w:rsid w:val="00D5035A"/>
    <w:rsid w:val="00D503AF"/>
    <w:rsid w:val="00D5066F"/>
    <w:rsid w:val="00D506D8"/>
    <w:rsid w:val="00D5072E"/>
    <w:rsid w:val="00D50815"/>
    <w:rsid w:val="00D50832"/>
    <w:rsid w:val="00D508AD"/>
    <w:rsid w:val="00D508BF"/>
    <w:rsid w:val="00D509CE"/>
    <w:rsid w:val="00D50AD9"/>
    <w:rsid w:val="00D50B24"/>
    <w:rsid w:val="00D50C16"/>
    <w:rsid w:val="00D50C59"/>
    <w:rsid w:val="00D50D22"/>
    <w:rsid w:val="00D50E2B"/>
    <w:rsid w:val="00D50EF9"/>
    <w:rsid w:val="00D50F47"/>
    <w:rsid w:val="00D50F59"/>
    <w:rsid w:val="00D51001"/>
    <w:rsid w:val="00D51006"/>
    <w:rsid w:val="00D51230"/>
    <w:rsid w:val="00D51339"/>
    <w:rsid w:val="00D5133B"/>
    <w:rsid w:val="00D5143B"/>
    <w:rsid w:val="00D5157A"/>
    <w:rsid w:val="00D5162A"/>
    <w:rsid w:val="00D5168D"/>
    <w:rsid w:val="00D51757"/>
    <w:rsid w:val="00D517DA"/>
    <w:rsid w:val="00D517F3"/>
    <w:rsid w:val="00D517FB"/>
    <w:rsid w:val="00D518DD"/>
    <w:rsid w:val="00D5194D"/>
    <w:rsid w:val="00D51A3B"/>
    <w:rsid w:val="00D51A48"/>
    <w:rsid w:val="00D51B69"/>
    <w:rsid w:val="00D51C39"/>
    <w:rsid w:val="00D51CB0"/>
    <w:rsid w:val="00D51CE6"/>
    <w:rsid w:val="00D51EB6"/>
    <w:rsid w:val="00D51F3A"/>
    <w:rsid w:val="00D51F79"/>
    <w:rsid w:val="00D52061"/>
    <w:rsid w:val="00D520C6"/>
    <w:rsid w:val="00D5210F"/>
    <w:rsid w:val="00D52268"/>
    <w:rsid w:val="00D522F1"/>
    <w:rsid w:val="00D52333"/>
    <w:rsid w:val="00D52539"/>
    <w:rsid w:val="00D525AC"/>
    <w:rsid w:val="00D525B1"/>
    <w:rsid w:val="00D525E4"/>
    <w:rsid w:val="00D52643"/>
    <w:rsid w:val="00D52670"/>
    <w:rsid w:val="00D526D5"/>
    <w:rsid w:val="00D526F5"/>
    <w:rsid w:val="00D52769"/>
    <w:rsid w:val="00D52790"/>
    <w:rsid w:val="00D528FE"/>
    <w:rsid w:val="00D52911"/>
    <w:rsid w:val="00D52A43"/>
    <w:rsid w:val="00D52A6E"/>
    <w:rsid w:val="00D52B2A"/>
    <w:rsid w:val="00D52CA0"/>
    <w:rsid w:val="00D52F96"/>
    <w:rsid w:val="00D52FAF"/>
    <w:rsid w:val="00D52FD1"/>
    <w:rsid w:val="00D53121"/>
    <w:rsid w:val="00D5314E"/>
    <w:rsid w:val="00D53173"/>
    <w:rsid w:val="00D531A2"/>
    <w:rsid w:val="00D532BB"/>
    <w:rsid w:val="00D5331F"/>
    <w:rsid w:val="00D53366"/>
    <w:rsid w:val="00D53541"/>
    <w:rsid w:val="00D53604"/>
    <w:rsid w:val="00D53654"/>
    <w:rsid w:val="00D536B2"/>
    <w:rsid w:val="00D53A09"/>
    <w:rsid w:val="00D53AF4"/>
    <w:rsid w:val="00D53B32"/>
    <w:rsid w:val="00D53C71"/>
    <w:rsid w:val="00D53E06"/>
    <w:rsid w:val="00D53EA3"/>
    <w:rsid w:val="00D53F73"/>
    <w:rsid w:val="00D53F98"/>
    <w:rsid w:val="00D53FFC"/>
    <w:rsid w:val="00D54042"/>
    <w:rsid w:val="00D541A4"/>
    <w:rsid w:val="00D54207"/>
    <w:rsid w:val="00D54265"/>
    <w:rsid w:val="00D54269"/>
    <w:rsid w:val="00D543D8"/>
    <w:rsid w:val="00D54460"/>
    <w:rsid w:val="00D54468"/>
    <w:rsid w:val="00D544A9"/>
    <w:rsid w:val="00D545C5"/>
    <w:rsid w:val="00D54602"/>
    <w:rsid w:val="00D546DD"/>
    <w:rsid w:val="00D54716"/>
    <w:rsid w:val="00D54751"/>
    <w:rsid w:val="00D547A5"/>
    <w:rsid w:val="00D547FA"/>
    <w:rsid w:val="00D54A4A"/>
    <w:rsid w:val="00D54E04"/>
    <w:rsid w:val="00D54F25"/>
    <w:rsid w:val="00D54F2A"/>
    <w:rsid w:val="00D55046"/>
    <w:rsid w:val="00D55078"/>
    <w:rsid w:val="00D5518D"/>
    <w:rsid w:val="00D5535B"/>
    <w:rsid w:val="00D55384"/>
    <w:rsid w:val="00D553F3"/>
    <w:rsid w:val="00D55458"/>
    <w:rsid w:val="00D554BB"/>
    <w:rsid w:val="00D555AE"/>
    <w:rsid w:val="00D55638"/>
    <w:rsid w:val="00D55680"/>
    <w:rsid w:val="00D556F1"/>
    <w:rsid w:val="00D55A9C"/>
    <w:rsid w:val="00D55AFD"/>
    <w:rsid w:val="00D55B89"/>
    <w:rsid w:val="00D55CAA"/>
    <w:rsid w:val="00D55E3B"/>
    <w:rsid w:val="00D55F33"/>
    <w:rsid w:val="00D560FC"/>
    <w:rsid w:val="00D56351"/>
    <w:rsid w:val="00D563A1"/>
    <w:rsid w:val="00D563E6"/>
    <w:rsid w:val="00D56460"/>
    <w:rsid w:val="00D56525"/>
    <w:rsid w:val="00D5658D"/>
    <w:rsid w:val="00D566A2"/>
    <w:rsid w:val="00D5684D"/>
    <w:rsid w:val="00D56875"/>
    <w:rsid w:val="00D568BC"/>
    <w:rsid w:val="00D5694C"/>
    <w:rsid w:val="00D56AAA"/>
    <w:rsid w:val="00D56B6C"/>
    <w:rsid w:val="00D56BDD"/>
    <w:rsid w:val="00D56D1E"/>
    <w:rsid w:val="00D56EBC"/>
    <w:rsid w:val="00D56EC5"/>
    <w:rsid w:val="00D56F87"/>
    <w:rsid w:val="00D57005"/>
    <w:rsid w:val="00D57090"/>
    <w:rsid w:val="00D5720D"/>
    <w:rsid w:val="00D57264"/>
    <w:rsid w:val="00D57454"/>
    <w:rsid w:val="00D57500"/>
    <w:rsid w:val="00D57539"/>
    <w:rsid w:val="00D5787F"/>
    <w:rsid w:val="00D5795B"/>
    <w:rsid w:val="00D57A01"/>
    <w:rsid w:val="00D57D2D"/>
    <w:rsid w:val="00D57DB7"/>
    <w:rsid w:val="00D57EED"/>
    <w:rsid w:val="00D57FBB"/>
    <w:rsid w:val="00D6006E"/>
    <w:rsid w:val="00D60220"/>
    <w:rsid w:val="00D60243"/>
    <w:rsid w:val="00D60388"/>
    <w:rsid w:val="00D603C9"/>
    <w:rsid w:val="00D604C4"/>
    <w:rsid w:val="00D605AF"/>
    <w:rsid w:val="00D60976"/>
    <w:rsid w:val="00D609CA"/>
    <w:rsid w:val="00D60ADA"/>
    <w:rsid w:val="00D60F24"/>
    <w:rsid w:val="00D60F8A"/>
    <w:rsid w:val="00D60FE9"/>
    <w:rsid w:val="00D6104A"/>
    <w:rsid w:val="00D610CD"/>
    <w:rsid w:val="00D6121D"/>
    <w:rsid w:val="00D61268"/>
    <w:rsid w:val="00D613C1"/>
    <w:rsid w:val="00D613C2"/>
    <w:rsid w:val="00D614F7"/>
    <w:rsid w:val="00D61533"/>
    <w:rsid w:val="00D6156C"/>
    <w:rsid w:val="00D6170E"/>
    <w:rsid w:val="00D618F5"/>
    <w:rsid w:val="00D61947"/>
    <w:rsid w:val="00D6197F"/>
    <w:rsid w:val="00D61B55"/>
    <w:rsid w:val="00D61BD4"/>
    <w:rsid w:val="00D61C38"/>
    <w:rsid w:val="00D61C78"/>
    <w:rsid w:val="00D61EE4"/>
    <w:rsid w:val="00D62006"/>
    <w:rsid w:val="00D62177"/>
    <w:rsid w:val="00D621C7"/>
    <w:rsid w:val="00D62322"/>
    <w:rsid w:val="00D62377"/>
    <w:rsid w:val="00D623C6"/>
    <w:rsid w:val="00D624B8"/>
    <w:rsid w:val="00D62561"/>
    <w:rsid w:val="00D625A7"/>
    <w:rsid w:val="00D625B9"/>
    <w:rsid w:val="00D625D3"/>
    <w:rsid w:val="00D625FE"/>
    <w:rsid w:val="00D6260B"/>
    <w:rsid w:val="00D6262C"/>
    <w:rsid w:val="00D626CB"/>
    <w:rsid w:val="00D626E7"/>
    <w:rsid w:val="00D626EB"/>
    <w:rsid w:val="00D62706"/>
    <w:rsid w:val="00D6287E"/>
    <w:rsid w:val="00D62A63"/>
    <w:rsid w:val="00D62A6B"/>
    <w:rsid w:val="00D62ABE"/>
    <w:rsid w:val="00D62B31"/>
    <w:rsid w:val="00D62B4E"/>
    <w:rsid w:val="00D62B8D"/>
    <w:rsid w:val="00D62BC7"/>
    <w:rsid w:val="00D62C1F"/>
    <w:rsid w:val="00D62C22"/>
    <w:rsid w:val="00D62D0B"/>
    <w:rsid w:val="00D62DAE"/>
    <w:rsid w:val="00D62E24"/>
    <w:rsid w:val="00D62EB1"/>
    <w:rsid w:val="00D62F61"/>
    <w:rsid w:val="00D63209"/>
    <w:rsid w:val="00D63263"/>
    <w:rsid w:val="00D6348D"/>
    <w:rsid w:val="00D634A3"/>
    <w:rsid w:val="00D63684"/>
    <w:rsid w:val="00D636C9"/>
    <w:rsid w:val="00D63753"/>
    <w:rsid w:val="00D6394E"/>
    <w:rsid w:val="00D63968"/>
    <w:rsid w:val="00D639F7"/>
    <w:rsid w:val="00D63A79"/>
    <w:rsid w:val="00D63B6C"/>
    <w:rsid w:val="00D63B77"/>
    <w:rsid w:val="00D63C07"/>
    <w:rsid w:val="00D63D5A"/>
    <w:rsid w:val="00D63DAE"/>
    <w:rsid w:val="00D63E03"/>
    <w:rsid w:val="00D63E06"/>
    <w:rsid w:val="00D63F02"/>
    <w:rsid w:val="00D63F94"/>
    <w:rsid w:val="00D63FB8"/>
    <w:rsid w:val="00D64207"/>
    <w:rsid w:val="00D64291"/>
    <w:rsid w:val="00D6451C"/>
    <w:rsid w:val="00D64554"/>
    <w:rsid w:val="00D645A7"/>
    <w:rsid w:val="00D64629"/>
    <w:rsid w:val="00D646B5"/>
    <w:rsid w:val="00D646BE"/>
    <w:rsid w:val="00D64740"/>
    <w:rsid w:val="00D64748"/>
    <w:rsid w:val="00D6475D"/>
    <w:rsid w:val="00D647A4"/>
    <w:rsid w:val="00D647A6"/>
    <w:rsid w:val="00D6485A"/>
    <w:rsid w:val="00D6487D"/>
    <w:rsid w:val="00D64B15"/>
    <w:rsid w:val="00D64B4B"/>
    <w:rsid w:val="00D64BC1"/>
    <w:rsid w:val="00D64BCD"/>
    <w:rsid w:val="00D64BE2"/>
    <w:rsid w:val="00D64BF4"/>
    <w:rsid w:val="00D64C36"/>
    <w:rsid w:val="00D64D4B"/>
    <w:rsid w:val="00D64DF8"/>
    <w:rsid w:val="00D64F16"/>
    <w:rsid w:val="00D64F32"/>
    <w:rsid w:val="00D65009"/>
    <w:rsid w:val="00D6502A"/>
    <w:rsid w:val="00D651A9"/>
    <w:rsid w:val="00D651CE"/>
    <w:rsid w:val="00D651E1"/>
    <w:rsid w:val="00D6523D"/>
    <w:rsid w:val="00D6527C"/>
    <w:rsid w:val="00D652F2"/>
    <w:rsid w:val="00D6556C"/>
    <w:rsid w:val="00D655A6"/>
    <w:rsid w:val="00D65606"/>
    <w:rsid w:val="00D656BE"/>
    <w:rsid w:val="00D656D8"/>
    <w:rsid w:val="00D657AF"/>
    <w:rsid w:val="00D657F8"/>
    <w:rsid w:val="00D65848"/>
    <w:rsid w:val="00D658B0"/>
    <w:rsid w:val="00D658E3"/>
    <w:rsid w:val="00D659C3"/>
    <w:rsid w:val="00D659D1"/>
    <w:rsid w:val="00D65A0D"/>
    <w:rsid w:val="00D65A5C"/>
    <w:rsid w:val="00D65A82"/>
    <w:rsid w:val="00D65B07"/>
    <w:rsid w:val="00D65B13"/>
    <w:rsid w:val="00D65BBE"/>
    <w:rsid w:val="00D65BC0"/>
    <w:rsid w:val="00D65C75"/>
    <w:rsid w:val="00D65CA6"/>
    <w:rsid w:val="00D65E10"/>
    <w:rsid w:val="00D65E17"/>
    <w:rsid w:val="00D65E5F"/>
    <w:rsid w:val="00D65EFC"/>
    <w:rsid w:val="00D65F21"/>
    <w:rsid w:val="00D65F55"/>
    <w:rsid w:val="00D65F5F"/>
    <w:rsid w:val="00D66041"/>
    <w:rsid w:val="00D66067"/>
    <w:rsid w:val="00D6608D"/>
    <w:rsid w:val="00D660C9"/>
    <w:rsid w:val="00D66154"/>
    <w:rsid w:val="00D6620F"/>
    <w:rsid w:val="00D66327"/>
    <w:rsid w:val="00D6647F"/>
    <w:rsid w:val="00D664E6"/>
    <w:rsid w:val="00D6655E"/>
    <w:rsid w:val="00D6664E"/>
    <w:rsid w:val="00D66654"/>
    <w:rsid w:val="00D666E3"/>
    <w:rsid w:val="00D667C2"/>
    <w:rsid w:val="00D6685E"/>
    <w:rsid w:val="00D6690D"/>
    <w:rsid w:val="00D6691F"/>
    <w:rsid w:val="00D66ACA"/>
    <w:rsid w:val="00D66CBE"/>
    <w:rsid w:val="00D66DEA"/>
    <w:rsid w:val="00D66E51"/>
    <w:rsid w:val="00D66EE2"/>
    <w:rsid w:val="00D66FCC"/>
    <w:rsid w:val="00D66FDB"/>
    <w:rsid w:val="00D67039"/>
    <w:rsid w:val="00D670AA"/>
    <w:rsid w:val="00D670EB"/>
    <w:rsid w:val="00D672B3"/>
    <w:rsid w:val="00D672EC"/>
    <w:rsid w:val="00D67303"/>
    <w:rsid w:val="00D6740D"/>
    <w:rsid w:val="00D675E9"/>
    <w:rsid w:val="00D67774"/>
    <w:rsid w:val="00D6793F"/>
    <w:rsid w:val="00D67BC2"/>
    <w:rsid w:val="00D67D76"/>
    <w:rsid w:val="00D67DC9"/>
    <w:rsid w:val="00D67DFF"/>
    <w:rsid w:val="00D67E82"/>
    <w:rsid w:val="00D67F11"/>
    <w:rsid w:val="00D6E05B"/>
    <w:rsid w:val="00D7010B"/>
    <w:rsid w:val="00D70110"/>
    <w:rsid w:val="00D7059E"/>
    <w:rsid w:val="00D70603"/>
    <w:rsid w:val="00D70638"/>
    <w:rsid w:val="00D70642"/>
    <w:rsid w:val="00D706AB"/>
    <w:rsid w:val="00D7086E"/>
    <w:rsid w:val="00D708F7"/>
    <w:rsid w:val="00D7090D"/>
    <w:rsid w:val="00D7095D"/>
    <w:rsid w:val="00D70CCC"/>
    <w:rsid w:val="00D70CFE"/>
    <w:rsid w:val="00D70EA6"/>
    <w:rsid w:val="00D70FBA"/>
    <w:rsid w:val="00D71058"/>
    <w:rsid w:val="00D7108F"/>
    <w:rsid w:val="00D71240"/>
    <w:rsid w:val="00D71457"/>
    <w:rsid w:val="00D7165F"/>
    <w:rsid w:val="00D716A0"/>
    <w:rsid w:val="00D71735"/>
    <w:rsid w:val="00D717C5"/>
    <w:rsid w:val="00D7181E"/>
    <w:rsid w:val="00D718CC"/>
    <w:rsid w:val="00D718F9"/>
    <w:rsid w:val="00D71982"/>
    <w:rsid w:val="00D71989"/>
    <w:rsid w:val="00D71AE4"/>
    <w:rsid w:val="00D71B0D"/>
    <w:rsid w:val="00D71B3A"/>
    <w:rsid w:val="00D71C0A"/>
    <w:rsid w:val="00D71CFA"/>
    <w:rsid w:val="00D71D05"/>
    <w:rsid w:val="00D71D7A"/>
    <w:rsid w:val="00D71DAF"/>
    <w:rsid w:val="00D71E44"/>
    <w:rsid w:val="00D71EC0"/>
    <w:rsid w:val="00D71FD9"/>
    <w:rsid w:val="00D71FEF"/>
    <w:rsid w:val="00D7209A"/>
    <w:rsid w:val="00D72123"/>
    <w:rsid w:val="00D7213E"/>
    <w:rsid w:val="00D7232F"/>
    <w:rsid w:val="00D723D0"/>
    <w:rsid w:val="00D7252F"/>
    <w:rsid w:val="00D726F5"/>
    <w:rsid w:val="00D727CF"/>
    <w:rsid w:val="00D727D7"/>
    <w:rsid w:val="00D728D6"/>
    <w:rsid w:val="00D72921"/>
    <w:rsid w:val="00D72953"/>
    <w:rsid w:val="00D72984"/>
    <w:rsid w:val="00D729B6"/>
    <w:rsid w:val="00D729D7"/>
    <w:rsid w:val="00D72AC7"/>
    <w:rsid w:val="00D72B10"/>
    <w:rsid w:val="00D72CD8"/>
    <w:rsid w:val="00D72DC2"/>
    <w:rsid w:val="00D72EC5"/>
    <w:rsid w:val="00D73229"/>
    <w:rsid w:val="00D73259"/>
    <w:rsid w:val="00D732E5"/>
    <w:rsid w:val="00D73490"/>
    <w:rsid w:val="00D73630"/>
    <w:rsid w:val="00D73641"/>
    <w:rsid w:val="00D738AC"/>
    <w:rsid w:val="00D738FA"/>
    <w:rsid w:val="00D739C7"/>
    <w:rsid w:val="00D739DF"/>
    <w:rsid w:val="00D73A7F"/>
    <w:rsid w:val="00D73ABF"/>
    <w:rsid w:val="00D73B6D"/>
    <w:rsid w:val="00D73BF7"/>
    <w:rsid w:val="00D73C1D"/>
    <w:rsid w:val="00D73C63"/>
    <w:rsid w:val="00D73CC1"/>
    <w:rsid w:val="00D73CFD"/>
    <w:rsid w:val="00D73D02"/>
    <w:rsid w:val="00D73D76"/>
    <w:rsid w:val="00D73E05"/>
    <w:rsid w:val="00D73E4C"/>
    <w:rsid w:val="00D73F03"/>
    <w:rsid w:val="00D73F19"/>
    <w:rsid w:val="00D73F1D"/>
    <w:rsid w:val="00D73F29"/>
    <w:rsid w:val="00D7400A"/>
    <w:rsid w:val="00D74019"/>
    <w:rsid w:val="00D7407C"/>
    <w:rsid w:val="00D74188"/>
    <w:rsid w:val="00D74235"/>
    <w:rsid w:val="00D74297"/>
    <w:rsid w:val="00D742CD"/>
    <w:rsid w:val="00D742D3"/>
    <w:rsid w:val="00D742EA"/>
    <w:rsid w:val="00D744AE"/>
    <w:rsid w:val="00D744F4"/>
    <w:rsid w:val="00D745DB"/>
    <w:rsid w:val="00D74610"/>
    <w:rsid w:val="00D74739"/>
    <w:rsid w:val="00D7481E"/>
    <w:rsid w:val="00D74922"/>
    <w:rsid w:val="00D74986"/>
    <w:rsid w:val="00D749C1"/>
    <w:rsid w:val="00D74AA0"/>
    <w:rsid w:val="00D74B6C"/>
    <w:rsid w:val="00D74C82"/>
    <w:rsid w:val="00D74D3F"/>
    <w:rsid w:val="00D74D95"/>
    <w:rsid w:val="00D7513F"/>
    <w:rsid w:val="00D75245"/>
    <w:rsid w:val="00D754A3"/>
    <w:rsid w:val="00D754D2"/>
    <w:rsid w:val="00D757D2"/>
    <w:rsid w:val="00D7589D"/>
    <w:rsid w:val="00D75A87"/>
    <w:rsid w:val="00D75AB5"/>
    <w:rsid w:val="00D75B29"/>
    <w:rsid w:val="00D75B55"/>
    <w:rsid w:val="00D75C65"/>
    <w:rsid w:val="00D75DA1"/>
    <w:rsid w:val="00D75E08"/>
    <w:rsid w:val="00D76086"/>
    <w:rsid w:val="00D761A0"/>
    <w:rsid w:val="00D761D7"/>
    <w:rsid w:val="00D762A8"/>
    <w:rsid w:val="00D76340"/>
    <w:rsid w:val="00D7638A"/>
    <w:rsid w:val="00D763A3"/>
    <w:rsid w:val="00D76525"/>
    <w:rsid w:val="00D7656F"/>
    <w:rsid w:val="00D7672F"/>
    <w:rsid w:val="00D767BA"/>
    <w:rsid w:val="00D76AD3"/>
    <w:rsid w:val="00D76AD9"/>
    <w:rsid w:val="00D76B8F"/>
    <w:rsid w:val="00D76CB6"/>
    <w:rsid w:val="00D76E66"/>
    <w:rsid w:val="00D77028"/>
    <w:rsid w:val="00D77040"/>
    <w:rsid w:val="00D771A6"/>
    <w:rsid w:val="00D77210"/>
    <w:rsid w:val="00D772D4"/>
    <w:rsid w:val="00D77690"/>
    <w:rsid w:val="00D776DD"/>
    <w:rsid w:val="00D77711"/>
    <w:rsid w:val="00D77780"/>
    <w:rsid w:val="00D778A4"/>
    <w:rsid w:val="00D77A33"/>
    <w:rsid w:val="00D77A56"/>
    <w:rsid w:val="00D77AD4"/>
    <w:rsid w:val="00D77AD5"/>
    <w:rsid w:val="00D77B59"/>
    <w:rsid w:val="00D77E57"/>
    <w:rsid w:val="00D80286"/>
    <w:rsid w:val="00D80377"/>
    <w:rsid w:val="00D80402"/>
    <w:rsid w:val="00D80429"/>
    <w:rsid w:val="00D8045F"/>
    <w:rsid w:val="00D804DD"/>
    <w:rsid w:val="00D80622"/>
    <w:rsid w:val="00D80731"/>
    <w:rsid w:val="00D80766"/>
    <w:rsid w:val="00D807AE"/>
    <w:rsid w:val="00D80805"/>
    <w:rsid w:val="00D8087F"/>
    <w:rsid w:val="00D809F4"/>
    <w:rsid w:val="00D809FD"/>
    <w:rsid w:val="00D80AA9"/>
    <w:rsid w:val="00D80B09"/>
    <w:rsid w:val="00D80CE2"/>
    <w:rsid w:val="00D80DD9"/>
    <w:rsid w:val="00D80F55"/>
    <w:rsid w:val="00D8104D"/>
    <w:rsid w:val="00D8107B"/>
    <w:rsid w:val="00D810E7"/>
    <w:rsid w:val="00D811AF"/>
    <w:rsid w:val="00D811B7"/>
    <w:rsid w:val="00D811C7"/>
    <w:rsid w:val="00D8122E"/>
    <w:rsid w:val="00D812B5"/>
    <w:rsid w:val="00D814DF"/>
    <w:rsid w:val="00D814FC"/>
    <w:rsid w:val="00D81696"/>
    <w:rsid w:val="00D817A4"/>
    <w:rsid w:val="00D81830"/>
    <w:rsid w:val="00D8185A"/>
    <w:rsid w:val="00D818DE"/>
    <w:rsid w:val="00D81A68"/>
    <w:rsid w:val="00D81AB3"/>
    <w:rsid w:val="00D81AE9"/>
    <w:rsid w:val="00D81B17"/>
    <w:rsid w:val="00D81B9A"/>
    <w:rsid w:val="00D81C12"/>
    <w:rsid w:val="00D81CF7"/>
    <w:rsid w:val="00D81D06"/>
    <w:rsid w:val="00D81D79"/>
    <w:rsid w:val="00D82224"/>
    <w:rsid w:val="00D822CE"/>
    <w:rsid w:val="00D82397"/>
    <w:rsid w:val="00D8254B"/>
    <w:rsid w:val="00D82641"/>
    <w:rsid w:val="00D82651"/>
    <w:rsid w:val="00D82719"/>
    <w:rsid w:val="00D8273D"/>
    <w:rsid w:val="00D82743"/>
    <w:rsid w:val="00D8296C"/>
    <w:rsid w:val="00D82986"/>
    <w:rsid w:val="00D829B5"/>
    <w:rsid w:val="00D82A1E"/>
    <w:rsid w:val="00D82AB7"/>
    <w:rsid w:val="00D82B6C"/>
    <w:rsid w:val="00D82B87"/>
    <w:rsid w:val="00D82B9C"/>
    <w:rsid w:val="00D82BC5"/>
    <w:rsid w:val="00D82CAC"/>
    <w:rsid w:val="00D82CBD"/>
    <w:rsid w:val="00D82CE6"/>
    <w:rsid w:val="00D82D04"/>
    <w:rsid w:val="00D82D07"/>
    <w:rsid w:val="00D82E49"/>
    <w:rsid w:val="00D82EA3"/>
    <w:rsid w:val="00D83229"/>
    <w:rsid w:val="00D83391"/>
    <w:rsid w:val="00D8348B"/>
    <w:rsid w:val="00D835D4"/>
    <w:rsid w:val="00D837D3"/>
    <w:rsid w:val="00D83873"/>
    <w:rsid w:val="00D8388E"/>
    <w:rsid w:val="00D83C93"/>
    <w:rsid w:val="00D83CD9"/>
    <w:rsid w:val="00D83D5D"/>
    <w:rsid w:val="00D83EB8"/>
    <w:rsid w:val="00D83F10"/>
    <w:rsid w:val="00D83F17"/>
    <w:rsid w:val="00D84083"/>
    <w:rsid w:val="00D840E6"/>
    <w:rsid w:val="00D842BD"/>
    <w:rsid w:val="00D84357"/>
    <w:rsid w:val="00D84403"/>
    <w:rsid w:val="00D8447D"/>
    <w:rsid w:val="00D8450B"/>
    <w:rsid w:val="00D845D4"/>
    <w:rsid w:val="00D84657"/>
    <w:rsid w:val="00D847F7"/>
    <w:rsid w:val="00D84842"/>
    <w:rsid w:val="00D848BA"/>
    <w:rsid w:val="00D84960"/>
    <w:rsid w:val="00D84A29"/>
    <w:rsid w:val="00D84ACB"/>
    <w:rsid w:val="00D84B2F"/>
    <w:rsid w:val="00D84C32"/>
    <w:rsid w:val="00D84E57"/>
    <w:rsid w:val="00D84F35"/>
    <w:rsid w:val="00D84FF7"/>
    <w:rsid w:val="00D8502A"/>
    <w:rsid w:val="00D850F2"/>
    <w:rsid w:val="00D8510A"/>
    <w:rsid w:val="00D85145"/>
    <w:rsid w:val="00D85283"/>
    <w:rsid w:val="00D852DC"/>
    <w:rsid w:val="00D8539A"/>
    <w:rsid w:val="00D8540F"/>
    <w:rsid w:val="00D85412"/>
    <w:rsid w:val="00D85657"/>
    <w:rsid w:val="00D85687"/>
    <w:rsid w:val="00D856D3"/>
    <w:rsid w:val="00D857A9"/>
    <w:rsid w:val="00D857BC"/>
    <w:rsid w:val="00D857EA"/>
    <w:rsid w:val="00D8580B"/>
    <w:rsid w:val="00D8581E"/>
    <w:rsid w:val="00D85868"/>
    <w:rsid w:val="00D858FF"/>
    <w:rsid w:val="00D8599A"/>
    <w:rsid w:val="00D85AA6"/>
    <w:rsid w:val="00D85C94"/>
    <w:rsid w:val="00D85CAA"/>
    <w:rsid w:val="00D85D1B"/>
    <w:rsid w:val="00D860E6"/>
    <w:rsid w:val="00D861D4"/>
    <w:rsid w:val="00D86217"/>
    <w:rsid w:val="00D8636E"/>
    <w:rsid w:val="00D86632"/>
    <w:rsid w:val="00D866E3"/>
    <w:rsid w:val="00D8672F"/>
    <w:rsid w:val="00D868DF"/>
    <w:rsid w:val="00D86908"/>
    <w:rsid w:val="00D86A46"/>
    <w:rsid w:val="00D86AA5"/>
    <w:rsid w:val="00D86BC3"/>
    <w:rsid w:val="00D86D01"/>
    <w:rsid w:val="00D86D5B"/>
    <w:rsid w:val="00D86D8F"/>
    <w:rsid w:val="00D86E24"/>
    <w:rsid w:val="00D86E99"/>
    <w:rsid w:val="00D86F46"/>
    <w:rsid w:val="00D86F80"/>
    <w:rsid w:val="00D870BF"/>
    <w:rsid w:val="00D870F3"/>
    <w:rsid w:val="00D87102"/>
    <w:rsid w:val="00D8716A"/>
    <w:rsid w:val="00D87171"/>
    <w:rsid w:val="00D871D3"/>
    <w:rsid w:val="00D87213"/>
    <w:rsid w:val="00D872E3"/>
    <w:rsid w:val="00D8734F"/>
    <w:rsid w:val="00D873DF"/>
    <w:rsid w:val="00D8750D"/>
    <w:rsid w:val="00D8757E"/>
    <w:rsid w:val="00D87622"/>
    <w:rsid w:val="00D8767D"/>
    <w:rsid w:val="00D87A1D"/>
    <w:rsid w:val="00D87AC8"/>
    <w:rsid w:val="00D87BA8"/>
    <w:rsid w:val="00D87C92"/>
    <w:rsid w:val="00D87DD8"/>
    <w:rsid w:val="00D87F9B"/>
    <w:rsid w:val="00D9011C"/>
    <w:rsid w:val="00D90467"/>
    <w:rsid w:val="00D9077B"/>
    <w:rsid w:val="00D907DC"/>
    <w:rsid w:val="00D90800"/>
    <w:rsid w:val="00D90970"/>
    <w:rsid w:val="00D90982"/>
    <w:rsid w:val="00D909F9"/>
    <w:rsid w:val="00D90AFB"/>
    <w:rsid w:val="00D90BA6"/>
    <w:rsid w:val="00D90C65"/>
    <w:rsid w:val="00D90D7C"/>
    <w:rsid w:val="00D90EDD"/>
    <w:rsid w:val="00D90EE7"/>
    <w:rsid w:val="00D90F73"/>
    <w:rsid w:val="00D91024"/>
    <w:rsid w:val="00D9119C"/>
    <w:rsid w:val="00D91263"/>
    <w:rsid w:val="00D912B8"/>
    <w:rsid w:val="00D912F9"/>
    <w:rsid w:val="00D91349"/>
    <w:rsid w:val="00D9136C"/>
    <w:rsid w:val="00D91436"/>
    <w:rsid w:val="00D915AC"/>
    <w:rsid w:val="00D915DE"/>
    <w:rsid w:val="00D91812"/>
    <w:rsid w:val="00D9195F"/>
    <w:rsid w:val="00D919AC"/>
    <w:rsid w:val="00D91A5C"/>
    <w:rsid w:val="00D91AF3"/>
    <w:rsid w:val="00D91B2A"/>
    <w:rsid w:val="00D91CDC"/>
    <w:rsid w:val="00D91E08"/>
    <w:rsid w:val="00D91E52"/>
    <w:rsid w:val="00D92014"/>
    <w:rsid w:val="00D92051"/>
    <w:rsid w:val="00D9208D"/>
    <w:rsid w:val="00D920A2"/>
    <w:rsid w:val="00D92182"/>
    <w:rsid w:val="00D92185"/>
    <w:rsid w:val="00D921F2"/>
    <w:rsid w:val="00D9225E"/>
    <w:rsid w:val="00D922E1"/>
    <w:rsid w:val="00D92327"/>
    <w:rsid w:val="00D92392"/>
    <w:rsid w:val="00D923A5"/>
    <w:rsid w:val="00D9259F"/>
    <w:rsid w:val="00D926F8"/>
    <w:rsid w:val="00D927C9"/>
    <w:rsid w:val="00D9283A"/>
    <w:rsid w:val="00D929BC"/>
    <w:rsid w:val="00D92A50"/>
    <w:rsid w:val="00D92ACE"/>
    <w:rsid w:val="00D92B5F"/>
    <w:rsid w:val="00D92C78"/>
    <w:rsid w:val="00D92D0F"/>
    <w:rsid w:val="00D92D54"/>
    <w:rsid w:val="00D92F4E"/>
    <w:rsid w:val="00D9308E"/>
    <w:rsid w:val="00D93213"/>
    <w:rsid w:val="00D932A7"/>
    <w:rsid w:val="00D9342F"/>
    <w:rsid w:val="00D934C1"/>
    <w:rsid w:val="00D9351B"/>
    <w:rsid w:val="00D9354E"/>
    <w:rsid w:val="00D93750"/>
    <w:rsid w:val="00D9387A"/>
    <w:rsid w:val="00D93A31"/>
    <w:rsid w:val="00D93B77"/>
    <w:rsid w:val="00D93FC2"/>
    <w:rsid w:val="00D93FE4"/>
    <w:rsid w:val="00D93FE5"/>
    <w:rsid w:val="00D94084"/>
    <w:rsid w:val="00D9408D"/>
    <w:rsid w:val="00D940C7"/>
    <w:rsid w:val="00D94101"/>
    <w:rsid w:val="00D94407"/>
    <w:rsid w:val="00D944C1"/>
    <w:rsid w:val="00D94529"/>
    <w:rsid w:val="00D9453C"/>
    <w:rsid w:val="00D9463D"/>
    <w:rsid w:val="00D94689"/>
    <w:rsid w:val="00D94725"/>
    <w:rsid w:val="00D94777"/>
    <w:rsid w:val="00D94795"/>
    <w:rsid w:val="00D948C8"/>
    <w:rsid w:val="00D9494E"/>
    <w:rsid w:val="00D94A2A"/>
    <w:rsid w:val="00D94A80"/>
    <w:rsid w:val="00D94AC1"/>
    <w:rsid w:val="00D94BAC"/>
    <w:rsid w:val="00D94CA8"/>
    <w:rsid w:val="00D94CB2"/>
    <w:rsid w:val="00D94D05"/>
    <w:rsid w:val="00D94F02"/>
    <w:rsid w:val="00D94FA3"/>
    <w:rsid w:val="00D9504B"/>
    <w:rsid w:val="00D950A2"/>
    <w:rsid w:val="00D9525B"/>
    <w:rsid w:val="00D95297"/>
    <w:rsid w:val="00D95420"/>
    <w:rsid w:val="00D95543"/>
    <w:rsid w:val="00D955FA"/>
    <w:rsid w:val="00D95631"/>
    <w:rsid w:val="00D956D2"/>
    <w:rsid w:val="00D957B4"/>
    <w:rsid w:val="00D957CA"/>
    <w:rsid w:val="00D957D0"/>
    <w:rsid w:val="00D95857"/>
    <w:rsid w:val="00D958A8"/>
    <w:rsid w:val="00D958B1"/>
    <w:rsid w:val="00D958EA"/>
    <w:rsid w:val="00D95956"/>
    <w:rsid w:val="00D95977"/>
    <w:rsid w:val="00D959D8"/>
    <w:rsid w:val="00D95B86"/>
    <w:rsid w:val="00D95DCD"/>
    <w:rsid w:val="00D95FA6"/>
    <w:rsid w:val="00D9618A"/>
    <w:rsid w:val="00D96242"/>
    <w:rsid w:val="00D962A6"/>
    <w:rsid w:val="00D96355"/>
    <w:rsid w:val="00D9638B"/>
    <w:rsid w:val="00D963AB"/>
    <w:rsid w:val="00D9646A"/>
    <w:rsid w:val="00D9659A"/>
    <w:rsid w:val="00D965D4"/>
    <w:rsid w:val="00D96649"/>
    <w:rsid w:val="00D96669"/>
    <w:rsid w:val="00D966FC"/>
    <w:rsid w:val="00D967AE"/>
    <w:rsid w:val="00D967F7"/>
    <w:rsid w:val="00D968C4"/>
    <w:rsid w:val="00D96A26"/>
    <w:rsid w:val="00D96A41"/>
    <w:rsid w:val="00D96AC1"/>
    <w:rsid w:val="00D96AC7"/>
    <w:rsid w:val="00D96AD7"/>
    <w:rsid w:val="00D96C96"/>
    <w:rsid w:val="00D96D36"/>
    <w:rsid w:val="00D96D4F"/>
    <w:rsid w:val="00D96F75"/>
    <w:rsid w:val="00D971B3"/>
    <w:rsid w:val="00D97205"/>
    <w:rsid w:val="00D972C7"/>
    <w:rsid w:val="00D97501"/>
    <w:rsid w:val="00D975C2"/>
    <w:rsid w:val="00D97753"/>
    <w:rsid w:val="00D9787F"/>
    <w:rsid w:val="00D97933"/>
    <w:rsid w:val="00D97AB8"/>
    <w:rsid w:val="00D97B1D"/>
    <w:rsid w:val="00D97BA3"/>
    <w:rsid w:val="00D97D63"/>
    <w:rsid w:val="00D97D81"/>
    <w:rsid w:val="00D97F14"/>
    <w:rsid w:val="00D97F58"/>
    <w:rsid w:val="00D97F5F"/>
    <w:rsid w:val="00D97F9A"/>
    <w:rsid w:val="00DA00A9"/>
    <w:rsid w:val="00DA00B1"/>
    <w:rsid w:val="00DA0178"/>
    <w:rsid w:val="00DA0288"/>
    <w:rsid w:val="00DA0361"/>
    <w:rsid w:val="00DA039D"/>
    <w:rsid w:val="00DA042A"/>
    <w:rsid w:val="00DA0441"/>
    <w:rsid w:val="00DA04AA"/>
    <w:rsid w:val="00DA04B1"/>
    <w:rsid w:val="00DA04B6"/>
    <w:rsid w:val="00DA04C4"/>
    <w:rsid w:val="00DA07B8"/>
    <w:rsid w:val="00DA091F"/>
    <w:rsid w:val="00DA0A6B"/>
    <w:rsid w:val="00DA0A7A"/>
    <w:rsid w:val="00DA0D99"/>
    <w:rsid w:val="00DA0F76"/>
    <w:rsid w:val="00DA0F9E"/>
    <w:rsid w:val="00DA0FC3"/>
    <w:rsid w:val="00DA0FC6"/>
    <w:rsid w:val="00DA1066"/>
    <w:rsid w:val="00DA1107"/>
    <w:rsid w:val="00DA1220"/>
    <w:rsid w:val="00DA1263"/>
    <w:rsid w:val="00DA12F4"/>
    <w:rsid w:val="00DA13B2"/>
    <w:rsid w:val="00DA13CF"/>
    <w:rsid w:val="00DA14FB"/>
    <w:rsid w:val="00DA15B3"/>
    <w:rsid w:val="00DA166C"/>
    <w:rsid w:val="00DA168F"/>
    <w:rsid w:val="00DA1855"/>
    <w:rsid w:val="00DA18FE"/>
    <w:rsid w:val="00DA191B"/>
    <w:rsid w:val="00DA1A07"/>
    <w:rsid w:val="00DA1B37"/>
    <w:rsid w:val="00DA1CF3"/>
    <w:rsid w:val="00DA1DC6"/>
    <w:rsid w:val="00DA1E09"/>
    <w:rsid w:val="00DA1FA1"/>
    <w:rsid w:val="00DA20A2"/>
    <w:rsid w:val="00DA20FA"/>
    <w:rsid w:val="00DA21E0"/>
    <w:rsid w:val="00DA220C"/>
    <w:rsid w:val="00DA222E"/>
    <w:rsid w:val="00DA2290"/>
    <w:rsid w:val="00DA22B8"/>
    <w:rsid w:val="00DA23C6"/>
    <w:rsid w:val="00DA248F"/>
    <w:rsid w:val="00DA24DE"/>
    <w:rsid w:val="00DA2576"/>
    <w:rsid w:val="00DA25E2"/>
    <w:rsid w:val="00DA2644"/>
    <w:rsid w:val="00DA26ED"/>
    <w:rsid w:val="00DA27BD"/>
    <w:rsid w:val="00DA2818"/>
    <w:rsid w:val="00DA2980"/>
    <w:rsid w:val="00DA2A10"/>
    <w:rsid w:val="00DA2A37"/>
    <w:rsid w:val="00DA2C0F"/>
    <w:rsid w:val="00DA2D35"/>
    <w:rsid w:val="00DA2D51"/>
    <w:rsid w:val="00DA2EF2"/>
    <w:rsid w:val="00DA2F2B"/>
    <w:rsid w:val="00DA2F68"/>
    <w:rsid w:val="00DA2F85"/>
    <w:rsid w:val="00DA302E"/>
    <w:rsid w:val="00DA3159"/>
    <w:rsid w:val="00DA3298"/>
    <w:rsid w:val="00DA32BE"/>
    <w:rsid w:val="00DA32D3"/>
    <w:rsid w:val="00DA3387"/>
    <w:rsid w:val="00DA33E9"/>
    <w:rsid w:val="00DA3486"/>
    <w:rsid w:val="00DA36C5"/>
    <w:rsid w:val="00DA3851"/>
    <w:rsid w:val="00DA38ED"/>
    <w:rsid w:val="00DA391D"/>
    <w:rsid w:val="00DA3A34"/>
    <w:rsid w:val="00DA3A55"/>
    <w:rsid w:val="00DA3AAA"/>
    <w:rsid w:val="00DA3BBA"/>
    <w:rsid w:val="00DA3C02"/>
    <w:rsid w:val="00DA3C43"/>
    <w:rsid w:val="00DA3CA6"/>
    <w:rsid w:val="00DA3CFE"/>
    <w:rsid w:val="00DA3D43"/>
    <w:rsid w:val="00DA3D80"/>
    <w:rsid w:val="00DA3E44"/>
    <w:rsid w:val="00DA3E5B"/>
    <w:rsid w:val="00DA3E7C"/>
    <w:rsid w:val="00DA3EBB"/>
    <w:rsid w:val="00DA3EC2"/>
    <w:rsid w:val="00DA3EE1"/>
    <w:rsid w:val="00DA3F73"/>
    <w:rsid w:val="00DA402E"/>
    <w:rsid w:val="00DA404D"/>
    <w:rsid w:val="00DA41DD"/>
    <w:rsid w:val="00DA424E"/>
    <w:rsid w:val="00DA4296"/>
    <w:rsid w:val="00DA42C6"/>
    <w:rsid w:val="00DA4445"/>
    <w:rsid w:val="00DA4691"/>
    <w:rsid w:val="00DA46B2"/>
    <w:rsid w:val="00DA46D4"/>
    <w:rsid w:val="00DA46DD"/>
    <w:rsid w:val="00DA46EA"/>
    <w:rsid w:val="00DA4751"/>
    <w:rsid w:val="00DA4837"/>
    <w:rsid w:val="00DA49E5"/>
    <w:rsid w:val="00DA4A1E"/>
    <w:rsid w:val="00DA4A2E"/>
    <w:rsid w:val="00DA4A77"/>
    <w:rsid w:val="00DA4A7E"/>
    <w:rsid w:val="00DA4A80"/>
    <w:rsid w:val="00DA4AE8"/>
    <w:rsid w:val="00DA4AFC"/>
    <w:rsid w:val="00DA4BCC"/>
    <w:rsid w:val="00DA4C7D"/>
    <w:rsid w:val="00DA4D48"/>
    <w:rsid w:val="00DA4DA7"/>
    <w:rsid w:val="00DA4E1E"/>
    <w:rsid w:val="00DA4E70"/>
    <w:rsid w:val="00DA4F78"/>
    <w:rsid w:val="00DA5012"/>
    <w:rsid w:val="00DA5020"/>
    <w:rsid w:val="00DA5045"/>
    <w:rsid w:val="00DA5193"/>
    <w:rsid w:val="00DA5249"/>
    <w:rsid w:val="00DA529A"/>
    <w:rsid w:val="00DA52CA"/>
    <w:rsid w:val="00DA5330"/>
    <w:rsid w:val="00DA5386"/>
    <w:rsid w:val="00DA5395"/>
    <w:rsid w:val="00DA5397"/>
    <w:rsid w:val="00DA5401"/>
    <w:rsid w:val="00DA5441"/>
    <w:rsid w:val="00DA546D"/>
    <w:rsid w:val="00DA54D0"/>
    <w:rsid w:val="00DA552E"/>
    <w:rsid w:val="00DA553F"/>
    <w:rsid w:val="00DA556C"/>
    <w:rsid w:val="00DA5646"/>
    <w:rsid w:val="00DA567C"/>
    <w:rsid w:val="00DA56DA"/>
    <w:rsid w:val="00DA5760"/>
    <w:rsid w:val="00DA57D0"/>
    <w:rsid w:val="00DA595C"/>
    <w:rsid w:val="00DA5990"/>
    <w:rsid w:val="00DA59B4"/>
    <w:rsid w:val="00DA5A1F"/>
    <w:rsid w:val="00DA5CB9"/>
    <w:rsid w:val="00DA5D64"/>
    <w:rsid w:val="00DA5D8F"/>
    <w:rsid w:val="00DA5D94"/>
    <w:rsid w:val="00DA5FB6"/>
    <w:rsid w:val="00DA60DA"/>
    <w:rsid w:val="00DA60F4"/>
    <w:rsid w:val="00DA6162"/>
    <w:rsid w:val="00DA61A6"/>
    <w:rsid w:val="00DA6225"/>
    <w:rsid w:val="00DA63FE"/>
    <w:rsid w:val="00DA6476"/>
    <w:rsid w:val="00DA650E"/>
    <w:rsid w:val="00DA67A5"/>
    <w:rsid w:val="00DA68F6"/>
    <w:rsid w:val="00DA6B17"/>
    <w:rsid w:val="00DA6B72"/>
    <w:rsid w:val="00DA6B97"/>
    <w:rsid w:val="00DA6BD6"/>
    <w:rsid w:val="00DA6CAE"/>
    <w:rsid w:val="00DA6D12"/>
    <w:rsid w:val="00DA6DB2"/>
    <w:rsid w:val="00DA6DE9"/>
    <w:rsid w:val="00DA6E17"/>
    <w:rsid w:val="00DA6E1C"/>
    <w:rsid w:val="00DA6E9F"/>
    <w:rsid w:val="00DA7029"/>
    <w:rsid w:val="00DA7161"/>
    <w:rsid w:val="00DA717A"/>
    <w:rsid w:val="00DA7205"/>
    <w:rsid w:val="00DA721D"/>
    <w:rsid w:val="00DA72A6"/>
    <w:rsid w:val="00DA72FD"/>
    <w:rsid w:val="00DA736C"/>
    <w:rsid w:val="00DA74E6"/>
    <w:rsid w:val="00DA75E9"/>
    <w:rsid w:val="00DA7688"/>
    <w:rsid w:val="00DA7709"/>
    <w:rsid w:val="00DA784F"/>
    <w:rsid w:val="00DA7992"/>
    <w:rsid w:val="00DA79C9"/>
    <w:rsid w:val="00DA79F8"/>
    <w:rsid w:val="00DA7AAC"/>
    <w:rsid w:val="00DA7AD7"/>
    <w:rsid w:val="00DA7AF5"/>
    <w:rsid w:val="00DA7B21"/>
    <w:rsid w:val="00DA7B42"/>
    <w:rsid w:val="00DA7B72"/>
    <w:rsid w:val="00DA7C6E"/>
    <w:rsid w:val="00DA7D0E"/>
    <w:rsid w:val="00DA7E19"/>
    <w:rsid w:val="00DB0239"/>
    <w:rsid w:val="00DB025D"/>
    <w:rsid w:val="00DB02FB"/>
    <w:rsid w:val="00DB069F"/>
    <w:rsid w:val="00DB088D"/>
    <w:rsid w:val="00DB08D4"/>
    <w:rsid w:val="00DB08E2"/>
    <w:rsid w:val="00DB0903"/>
    <w:rsid w:val="00DB0969"/>
    <w:rsid w:val="00DB09A1"/>
    <w:rsid w:val="00DB09D0"/>
    <w:rsid w:val="00DB0DAA"/>
    <w:rsid w:val="00DB0E30"/>
    <w:rsid w:val="00DB12E4"/>
    <w:rsid w:val="00DB12E8"/>
    <w:rsid w:val="00DB13B0"/>
    <w:rsid w:val="00DB1421"/>
    <w:rsid w:val="00DB156B"/>
    <w:rsid w:val="00DB1578"/>
    <w:rsid w:val="00DB1633"/>
    <w:rsid w:val="00DB16BD"/>
    <w:rsid w:val="00DB17EC"/>
    <w:rsid w:val="00DB17FE"/>
    <w:rsid w:val="00DB18D9"/>
    <w:rsid w:val="00DB1A2A"/>
    <w:rsid w:val="00DB1A71"/>
    <w:rsid w:val="00DB1BDF"/>
    <w:rsid w:val="00DB1C2E"/>
    <w:rsid w:val="00DB1D3A"/>
    <w:rsid w:val="00DB1D99"/>
    <w:rsid w:val="00DB1E0E"/>
    <w:rsid w:val="00DB1FD7"/>
    <w:rsid w:val="00DB20DF"/>
    <w:rsid w:val="00DB20EE"/>
    <w:rsid w:val="00DB249B"/>
    <w:rsid w:val="00DB24EE"/>
    <w:rsid w:val="00DB2767"/>
    <w:rsid w:val="00DB2A1F"/>
    <w:rsid w:val="00DB2BEE"/>
    <w:rsid w:val="00DB2C62"/>
    <w:rsid w:val="00DB2CB7"/>
    <w:rsid w:val="00DB2D41"/>
    <w:rsid w:val="00DB2DB4"/>
    <w:rsid w:val="00DB2F2D"/>
    <w:rsid w:val="00DB2FDD"/>
    <w:rsid w:val="00DB30E9"/>
    <w:rsid w:val="00DB3191"/>
    <w:rsid w:val="00DB31C6"/>
    <w:rsid w:val="00DB321F"/>
    <w:rsid w:val="00DB3468"/>
    <w:rsid w:val="00DB350A"/>
    <w:rsid w:val="00DB35D1"/>
    <w:rsid w:val="00DB3864"/>
    <w:rsid w:val="00DB3A88"/>
    <w:rsid w:val="00DB3ABE"/>
    <w:rsid w:val="00DB3C90"/>
    <w:rsid w:val="00DB3CF4"/>
    <w:rsid w:val="00DB3DEA"/>
    <w:rsid w:val="00DB3E88"/>
    <w:rsid w:val="00DB3E96"/>
    <w:rsid w:val="00DB3F61"/>
    <w:rsid w:val="00DB3F99"/>
    <w:rsid w:val="00DB3FBD"/>
    <w:rsid w:val="00DB404B"/>
    <w:rsid w:val="00DB4103"/>
    <w:rsid w:val="00DB417A"/>
    <w:rsid w:val="00DB4228"/>
    <w:rsid w:val="00DB423C"/>
    <w:rsid w:val="00DB42D0"/>
    <w:rsid w:val="00DB42EB"/>
    <w:rsid w:val="00DB4340"/>
    <w:rsid w:val="00DB4432"/>
    <w:rsid w:val="00DB448A"/>
    <w:rsid w:val="00DB452E"/>
    <w:rsid w:val="00DB467B"/>
    <w:rsid w:val="00DB4714"/>
    <w:rsid w:val="00DB4734"/>
    <w:rsid w:val="00DB47F2"/>
    <w:rsid w:val="00DB49F8"/>
    <w:rsid w:val="00DB4A59"/>
    <w:rsid w:val="00DB4ACB"/>
    <w:rsid w:val="00DB4ADF"/>
    <w:rsid w:val="00DB4C03"/>
    <w:rsid w:val="00DB4CC3"/>
    <w:rsid w:val="00DB4CCA"/>
    <w:rsid w:val="00DB4CEE"/>
    <w:rsid w:val="00DB4D09"/>
    <w:rsid w:val="00DB4D79"/>
    <w:rsid w:val="00DB4DB5"/>
    <w:rsid w:val="00DB4DF5"/>
    <w:rsid w:val="00DB4FFB"/>
    <w:rsid w:val="00DB50F5"/>
    <w:rsid w:val="00DB511E"/>
    <w:rsid w:val="00DB512E"/>
    <w:rsid w:val="00DB51EE"/>
    <w:rsid w:val="00DB526C"/>
    <w:rsid w:val="00DB52B5"/>
    <w:rsid w:val="00DB537C"/>
    <w:rsid w:val="00DB540E"/>
    <w:rsid w:val="00DB540F"/>
    <w:rsid w:val="00DB5439"/>
    <w:rsid w:val="00DB54BC"/>
    <w:rsid w:val="00DB561F"/>
    <w:rsid w:val="00DB5A1D"/>
    <w:rsid w:val="00DB5AC3"/>
    <w:rsid w:val="00DB5BDE"/>
    <w:rsid w:val="00DB5C2C"/>
    <w:rsid w:val="00DB5E96"/>
    <w:rsid w:val="00DB5E9B"/>
    <w:rsid w:val="00DB6087"/>
    <w:rsid w:val="00DB60D9"/>
    <w:rsid w:val="00DB6103"/>
    <w:rsid w:val="00DB6200"/>
    <w:rsid w:val="00DB62B5"/>
    <w:rsid w:val="00DB6397"/>
    <w:rsid w:val="00DB63B4"/>
    <w:rsid w:val="00DB6451"/>
    <w:rsid w:val="00DB64DE"/>
    <w:rsid w:val="00DB660F"/>
    <w:rsid w:val="00DB667A"/>
    <w:rsid w:val="00DB66CC"/>
    <w:rsid w:val="00DB6773"/>
    <w:rsid w:val="00DB686E"/>
    <w:rsid w:val="00DB6871"/>
    <w:rsid w:val="00DB68A1"/>
    <w:rsid w:val="00DB68E3"/>
    <w:rsid w:val="00DB6A12"/>
    <w:rsid w:val="00DB6B62"/>
    <w:rsid w:val="00DB6BA9"/>
    <w:rsid w:val="00DB6D7D"/>
    <w:rsid w:val="00DB6DD1"/>
    <w:rsid w:val="00DB6E5E"/>
    <w:rsid w:val="00DB6F1E"/>
    <w:rsid w:val="00DB7111"/>
    <w:rsid w:val="00DB71E9"/>
    <w:rsid w:val="00DB71F7"/>
    <w:rsid w:val="00DB72BB"/>
    <w:rsid w:val="00DB7304"/>
    <w:rsid w:val="00DB74BA"/>
    <w:rsid w:val="00DB756B"/>
    <w:rsid w:val="00DB759A"/>
    <w:rsid w:val="00DB765D"/>
    <w:rsid w:val="00DB76A1"/>
    <w:rsid w:val="00DB77DA"/>
    <w:rsid w:val="00DB780D"/>
    <w:rsid w:val="00DB7824"/>
    <w:rsid w:val="00DB7839"/>
    <w:rsid w:val="00DB7875"/>
    <w:rsid w:val="00DB7885"/>
    <w:rsid w:val="00DB78A7"/>
    <w:rsid w:val="00DB78F2"/>
    <w:rsid w:val="00DB79B1"/>
    <w:rsid w:val="00DB7AB0"/>
    <w:rsid w:val="00DB7B98"/>
    <w:rsid w:val="00DB7D52"/>
    <w:rsid w:val="00DB7E0F"/>
    <w:rsid w:val="00DB7F1A"/>
    <w:rsid w:val="00DBF318"/>
    <w:rsid w:val="00DC0010"/>
    <w:rsid w:val="00DC03B6"/>
    <w:rsid w:val="00DC03CE"/>
    <w:rsid w:val="00DC040F"/>
    <w:rsid w:val="00DC0480"/>
    <w:rsid w:val="00DC049D"/>
    <w:rsid w:val="00DC04DC"/>
    <w:rsid w:val="00DC05A2"/>
    <w:rsid w:val="00DC0667"/>
    <w:rsid w:val="00DC089A"/>
    <w:rsid w:val="00DC0965"/>
    <w:rsid w:val="00DC0A0E"/>
    <w:rsid w:val="00DC0A80"/>
    <w:rsid w:val="00DC0ACC"/>
    <w:rsid w:val="00DC0B51"/>
    <w:rsid w:val="00DC0C41"/>
    <w:rsid w:val="00DC0DBD"/>
    <w:rsid w:val="00DC0DE7"/>
    <w:rsid w:val="00DC0F34"/>
    <w:rsid w:val="00DC0FFD"/>
    <w:rsid w:val="00DC1058"/>
    <w:rsid w:val="00DC10A2"/>
    <w:rsid w:val="00DC1136"/>
    <w:rsid w:val="00DC11C7"/>
    <w:rsid w:val="00DC1353"/>
    <w:rsid w:val="00DC1419"/>
    <w:rsid w:val="00DC1472"/>
    <w:rsid w:val="00DC148A"/>
    <w:rsid w:val="00DC14E6"/>
    <w:rsid w:val="00DC1514"/>
    <w:rsid w:val="00DC1567"/>
    <w:rsid w:val="00DC15B9"/>
    <w:rsid w:val="00DC1606"/>
    <w:rsid w:val="00DC167C"/>
    <w:rsid w:val="00DC181C"/>
    <w:rsid w:val="00DC1918"/>
    <w:rsid w:val="00DC1930"/>
    <w:rsid w:val="00DC1996"/>
    <w:rsid w:val="00DC1B72"/>
    <w:rsid w:val="00DC1E09"/>
    <w:rsid w:val="00DC1F09"/>
    <w:rsid w:val="00DC1FBC"/>
    <w:rsid w:val="00DC1FFC"/>
    <w:rsid w:val="00DC2067"/>
    <w:rsid w:val="00DC20E4"/>
    <w:rsid w:val="00DC21C7"/>
    <w:rsid w:val="00DC21D2"/>
    <w:rsid w:val="00DC24FE"/>
    <w:rsid w:val="00DC2615"/>
    <w:rsid w:val="00DC2699"/>
    <w:rsid w:val="00DC277B"/>
    <w:rsid w:val="00DC2788"/>
    <w:rsid w:val="00DC27BD"/>
    <w:rsid w:val="00DC27D1"/>
    <w:rsid w:val="00DC292B"/>
    <w:rsid w:val="00DC2AD3"/>
    <w:rsid w:val="00DC2B14"/>
    <w:rsid w:val="00DC2CDB"/>
    <w:rsid w:val="00DC2D9B"/>
    <w:rsid w:val="00DC2E8D"/>
    <w:rsid w:val="00DC2EC9"/>
    <w:rsid w:val="00DC2FA8"/>
    <w:rsid w:val="00DC3179"/>
    <w:rsid w:val="00DC3273"/>
    <w:rsid w:val="00DC3313"/>
    <w:rsid w:val="00DC339F"/>
    <w:rsid w:val="00DC34A5"/>
    <w:rsid w:val="00DC34E9"/>
    <w:rsid w:val="00DC3648"/>
    <w:rsid w:val="00DC37AD"/>
    <w:rsid w:val="00DC3882"/>
    <w:rsid w:val="00DC38EC"/>
    <w:rsid w:val="00DC38F5"/>
    <w:rsid w:val="00DC3918"/>
    <w:rsid w:val="00DC39DE"/>
    <w:rsid w:val="00DC39F2"/>
    <w:rsid w:val="00DC3AE7"/>
    <w:rsid w:val="00DC3B92"/>
    <w:rsid w:val="00DC3B94"/>
    <w:rsid w:val="00DC3C4C"/>
    <w:rsid w:val="00DC3E33"/>
    <w:rsid w:val="00DC3F4D"/>
    <w:rsid w:val="00DC3F96"/>
    <w:rsid w:val="00DC4043"/>
    <w:rsid w:val="00DC40A3"/>
    <w:rsid w:val="00DC40C8"/>
    <w:rsid w:val="00DC40E4"/>
    <w:rsid w:val="00DC410E"/>
    <w:rsid w:val="00DC419B"/>
    <w:rsid w:val="00DC41E6"/>
    <w:rsid w:val="00DC4240"/>
    <w:rsid w:val="00DC4382"/>
    <w:rsid w:val="00DC4420"/>
    <w:rsid w:val="00DC4451"/>
    <w:rsid w:val="00DC44D0"/>
    <w:rsid w:val="00DC4669"/>
    <w:rsid w:val="00DC4781"/>
    <w:rsid w:val="00DC49E7"/>
    <w:rsid w:val="00DC4A55"/>
    <w:rsid w:val="00DC4A69"/>
    <w:rsid w:val="00DC4DAB"/>
    <w:rsid w:val="00DC4DF9"/>
    <w:rsid w:val="00DC4F44"/>
    <w:rsid w:val="00DC5075"/>
    <w:rsid w:val="00DC511D"/>
    <w:rsid w:val="00DC513D"/>
    <w:rsid w:val="00DC5169"/>
    <w:rsid w:val="00DC51FB"/>
    <w:rsid w:val="00DC5240"/>
    <w:rsid w:val="00DC539C"/>
    <w:rsid w:val="00DC5405"/>
    <w:rsid w:val="00DC54C0"/>
    <w:rsid w:val="00DC55BA"/>
    <w:rsid w:val="00DC57FA"/>
    <w:rsid w:val="00DC58BC"/>
    <w:rsid w:val="00DC5C88"/>
    <w:rsid w:val="00DC5C8F"/>
    <w:rsid w:val="00DC5F04"/>
    <w:rsid w:val="00DC5F23"/>
    <w:rsid w:val="00DC6030"/>
    <w:rsid w:val="00DC6269"/>
    <w:rsid w:val="00DC630E"/>
    <w:rsid w:val="00DC6312"/>
    <w:rsid w:val="00DC6370"/>
    <w:rsid w:val="00DC6464"/>
    <w:rsid w:val="00DC649E"/>
    <w:rsid w:val="00DC64A3"/>
    <w:rsid w:val="00DC64B2"/>
    <w:rsid w:val="00DC652D"/>
    <w:rsid w:val="00DC6559"/>
    <w:rsid w:val="00DC6591"/>
    <w:rsid w:val="00DC666D"/>
    <w:rsid w:val="00DC66B3"/>
    <w:rsid w:val="00DC67CB"/>
    <w:rsid w:val="00DC6910"/>
    <w:rsid w:val="00DC692F"/>
    <w:rsid w:val="00DC6959"/>
    <w:rsid w:val="00DC6985"/>
    <w:rsid w:val="00DC6A07"/>
    <w:rsid w:val="00DC6CD7"/>
    <w:rsid w:val="00DC6D15"/>
    <w:rsid w:val="00DC6DBC"/>
    <w:rsid w:val="00DC6E02"/>
    <w:rsid w:val="00DC70EE"/>
    <w:rsid w:val="00DC70F6"/>
    <w:rsid w:val="00DC71AA"/>
    <w:rsid w:val="00DC728C"/>
    <w:rsid w:val="00DC732F"/>
    <w:rsid w:val="00DC743F"/>
    <w:rsid w:val="00DC7517"/>
    <w:rsid w:val="00DC7760"/>
    <w:rsid w:val="00DC7898"/>
    <w:rsid w:val="00DC7A97"/>
    <w:rsid w:val="00DC7A9E"/>
    <w:rsid w:val="00DC7BA3"/>
    <w:rsid w:val="00DC7D0A"/>
    <w:rsid w:val="00DC7DDC"/>
    <w:rsid w:val="00DC7F40"/>
    <w:rsid w:val="00DD0090"/>
    <w:rsid w:val="00DD00AF"/>
    <w:rsid w:val="00DD0106"/>
    <w:rsid w:val="00DD02BC"/>
    <w:rsid w:val="00DD031F"/>
    <w:rsid w:val="00DD03BC"/>
    <w:rsid w:val="00DD03D4"/>
    <w:rsid w:val="00DD04F1"/>
    <w:rsid w:val="00DD04F4"/>
    <w:rsid w:val="00DD064A"/>
    <w:rsid w:val="00DD067C"/>
    <w:rsid w:val="00DD0725"/>
    <w:rsid w:val="00DD07B1"/>
    <w:rsid w:val="00DD07D7"/>
    <w:rsid w:val="00DD0802"/>
    <w:rsid w:val="00DD0861"/>
    <w:rsid w:val="00DD08D2"/>
    <w:rsid w:val="00DD0946"/>
    <w:rsid w:val="00DD0A13"/>
    <w:rsid w:val="00DD0B04"/>
    <w:rsid w:val="00DD0F3F"/>
    <w:rsid w:val="00DD0FA1"/>
    <w:rsid w:val="00DD1163"/>
    <w:rsid w:val="00DD11D7"/>
    <w:rsid w:val="00DD1387"/>
    <w:rsid w:val="00DD1466"/>
    <w:rsid w:val="00DD15F2"/>
    <w:rsid w:val="00DD1620"/>
    <w:rsid w:val="00DD178D"/>
    <w:rsid w:val="00DD17C3"/>
    <w:rsid w:val="00DD19F5"/>
    <w:rsid w:val="00DD1A81"/>
    <w:rsid w:val="00DD1AA0"/>
    <w:rsid w:val="00DD1BF8"/>
    <w:rsid w:val="00DD1C4E"/>
    <w:rsid w:val="00DD1C54"/>
    <w:rsid w:val="00DD1C76"/>
    <w:rsid w:val="00DD1CFA"/>
    <w:rsid w:val="00DD1D78"/>
    <w:rsid w:val="00DD1E19"/>
    <w:rsid w:val="00DD1E84"/>
    <w:rsid w:val="00DD1E8F"/>
    <w:rsid w:val="00DD1ED6"/>
    <w:rsid w:val="00DD1F17"/>
    <w:rsid w:val="00DD1FBA"/>
    <w:rsid w:val="00DD20B7"/>
    <w:rsid w:val="00DD2135"/>
    <w:rsid w:val="00DD21AF"/>
    <w:rsid w:val="00DD21B1"/>
    <w:rsid w:val="00DD23E3"/>
    <w:rsid w:val="00DD241C"/>
    <w:rsid w:val="00DD248C"/>
    <w:rsid w:val="00DD2534"/>
    <w:rsid w:val="00DD2637"/>
    <w:rsid w:val="00DD264E"/>
    <w:rsid w:val="00DD2675"/>
    <w:rsid w:val="00DD2692"/>
    <w:rsid w:val="00DD270A"/>
    <w:rsid w:val="00DD27E4"/>
    <w:rsid w:val="00DD2843"/>
    <w:rsid w:val="00DD2847"/>
    <w:rsid w:val="00DD28D6"/>
    <w:rsid w:val="00DD2E80"/>
    <w:rsid w:val="00DD2F0B"/>
    <w:rsid w:val="00DD2F8B"/>
    <w:rsid w:val="00DD32E2"/>
    <w:rsid w:val="00DD33ED"/>
    <w:rsid w:val="00DD3472"/>
    <w:rsid w:val="00DD3494"/>
    <w:rsid w:val="00DD3541"/>
    <w:rsid w:val="00DD35BD"/>
    <w:rsid w:val="00DD376D"/>
    <w:rsid w:val="00DD37F8"/>
    <w:rsid w:val="00DD3843"/>
    <w:rsid w:val="00DD3849"/>
    <w:rsid w:val="00DD38FE"/>
    <w:rsid w:val="00DD3B01"/>
    <w:rsid w:val="00DD3B8F"/>
    <w:rsid w:val="00DD3B9C"/>
    <w:rsid w:val="00DD3C49"/>
    <w:rsid w:val="00DD3C9A"/>
    <w:rsid w:val="00DD3CA3"/>
    <w:rsid w:val="00DD3DAA"/>
    <w:rsid w:val="00DD3DC4"/>
    <w:rsid w:val="00DD3E74"/>
    <w:rsid w:val="00DD40E8"/>
    <w:rsid w:val="00DD4115"/>
    <w:rsid w:val="00DD4211"/>
    <w:rsid w:val="00DD421E"/>
    <w:rsid w:val="00DD429F"/>
    <w:rsid w:val="00DD441B"/>
    <w:rsid w:val="00DD445A"/>
    <w:rsid w:val="00DD4570"/>
    <w:rsid w:val="00DD457D"/>
    <w:rsid w:val="00DD466A"/>
    <w:rsid w:val="00DD474E"/>
    <w:rsid w:val="00DD47C9"/>
    <w:rsid w:val="00DD4933"/>
    <w:rsid w:val="00DD4959"/>
    <w:rsid w:val="00DD49AA"/>
    <w:rsid w:val="00DD4BAF"/>
    <w:rsid w:val="00DD4BF0"/>
    <w:rsid w:val="00DD4C45"/>
    <w:rsid w:val="00DD4CDF"/>
    <w:rsid w:val="00DD4F5B"/>
    <w:rsid w:val="00DD4F97"/>
    <w:rsid w:val="00DD4FAE"/>
    <w:rsid w:val="00DD50D6"/>
    <w:rsid w:val="00DD51D6"/>
    <w:rsid w:val="00DD520E"/>
    <w:rsid w:val="00DD52FF"/>
    <w:rsid w:val="00DD538D"/>
    <w:rsid w:val="00DD5630"/>
    <w:rsid w:val="00DD56E8"/>
    <w:rsid w:val="00DD5784"/>
    <w:rsid w:val="00DD57FC"/>
    <w:rsid w:val="00DD5874"/>
    <w:rsid w:val="00DD58B4"/>
    <w:rsid w:val="00DD5975"/>
    <w:rsid w:val="00DD5AC4"/>
    <w:rsid w:val="00DD5B23"/>
    <w:rsid w:val="00DD5C80"/>
    <w:rsid w:val="00DD5D4A"/>
    <w:rsid w:val="00DD5E23"/>
    <w:rsid w:val="00DD5FD9"/>
    <w:rsid w:val="00DD6045"/>
    <w:rsid w:val="00DD6052"/>
    <w:rsid w:val="00DD6076"/>
    <w:rsid w:val="00DD6086"/>
    <w:rsid w:val="00DD6259"/>
    <w:rsid w:val="00DD6330"/>
    <w:rsid w:val="00DD6370"/>
    <w:rsid w:val="00DD6484"/>
    <w:rsid w:val="00DD656D"/>
    <w:rsid w:val="00DD6944"/>
    <w:rsid w:val="00DD6B3F"/>
    <w:rsid w:val="00DD6C0A"/>
    <w:rsid w:val="00DD6C61"/>
    <w:rsid w:val="00DD6CC9"/>
    <w:rsid w:val="00DD6EA4"/>
    <w:rsid w:val="00DD6FED"/>
    <w:rsid w:val="00DD700B"/>
    <w:rsid w:val="00DD703D"/>
    <w:rsid w:val="00DD7051"/>
    <w:rsid w:val="00DD7065"/>
    <w:rsid w:val="00DD7090"/>
    <w:rsid w:val="00DD710F"/>
    <w:rsid w:val="00DD728A"/>
    <w:rsid w:val="00DD73FB"/>
    <w:rsid w:val="00DD74A8"/>
    <w:rsid w:val="00DD75CB"/>
    <w:rsid w:val="00DD761C"/>
    <w:rsid w:val="00DD7734"/>
    <w:rsid w:val="00DD7841"/>
    <w:rsid w:val="00DD7941"/>
    <w:rsid w:val="00DD7C08"/>
    <w:rsid w:val="00DD7CB6"/>
    <w:rsid w:val="00DD7CBD"/>
    <w:rsid w:val="00DD7E4A"/>
    <w:rsid w:val="00DD7E74"/>
    <w:rsid w:val="00DD7FE4"/>
    <w:rsid w:val="00DE001A"/>
    <w:rsid w:val="00DE0076"/>
    <w:rsid w:val="00DE0138"/>
    <w:rsid w:val="00DE02EA"/>
    <w:rsid w:val="00DE02EB"/>
    <w:rsid w:val="00DE0382"/>
    <w:rsid w:val="00DE0394"/>
    <w:rsid w:val="00DE03AC"/>
    <w:rsid w:val="00DE03EA"/>
    <w:rsid w:val="00DE0457"/>
    <w:rsid w:val="00DE048C"/>
    <w:rsid w:val="00DE04AD"/>
    <w:rsid w:val="00DE04EB"/>
    <w:rsid w:val="00DE0626"/>
    <w:rsid w:val="00DE0695"/>
    <w:rsid w:val="00DE0707"/>
    <w:rsid w:val="00DE071B"/>
    <w:rsid w:val="00DE073E"/>
    <w:rsid w:val="00DE0832"/>
    <w:rsid w:val="00DE08F5"/>
    <w:rsid w:val="00DE0D63"/>
    <w:rsid w:val="00DE0D6A"/>
    <w:rsid w:val="00DE0F3E"/>
    <w:rsid w:val="00DE1040"/>
    <w:rsid w:val="00DE107B"/>
    <w:rsid w:val="00DE121F"/>
    <w:rsid w:val="00DE125E"/>
    <w:rsid w:val="00DE1375"/>
    <w:rsid w:val="00DE141D"/>
    <w:rsid w:val="00DE147C"/>
    <w:rsid w:val="00DE15AA"/>
    <w:rsid w:val="00DE170F"/>
    <w:rsid w:val="00DE177B"/>
    <w:rsid w:val="00DE1792"/>
    <w:rsid w:val="00DE1794"/>
    <w:rsid w:val="00DE17C6"/>
    <w:rsid w:val="00DE1812"/>
    <w:rsid w:val="00DE1855"/>
    <w:rsid w:val="00DE1909"/>
    <w:rsid w:val="00DE19BD"/>
    <w:rsid w:val="00DE19D2"/>
    <w:rsid w:val="00DE1A44"/>
    <w:rsid w:val="00DE1AB5"/>
    <w:rsid w:val="00DE1B24"/>
    <w:rsid w:val="00DE1B4B"/>
    <w:rsid w:val="00DE1DCA"/>
    <w:rsid w:val="00DE1E61"/>
    <w:rsid w:val="00DE1F40"/>
    <w:rsid w:val="00DE20D8"/>
    <w:rsid w:val="00DE20EE"/>
    <w:rsid w:val="00DE2105"/>
    <w:rsid w:val="00DE2293"/>
    <w:rsid w:val="00DE22F2"/>
    <w:rsid w:val="00DE230A"/>
    <w:rsid w:val="00DE2329"/>
    <w:rsid w:val="00DE23DB"/>
    <w:rsid w:val="00DE2537"/>
    <w:rsid w:val="00DE255B"/>
    <w:rsid w:val="00DE25C5"/>
    <w:rsid w:val="00DE2742"/>
    <w:rsid w:val="00DE2781"/>
    <w:rsid w:val="00DE2823"/>
    <w:rsid w:val="00DE295C"/>
    <w:rsid w:val="00DE2C4E"/>
    <w:rsid w:val="00DE2D1A"/>
    <w:rsid w:val="00DE2DD3"/>
    <w:rsid w:val="00DE3025"/>
    <w:rsid w:val="00DE3234"/>
    <w:rsid w:val="00DE326D"/>
    <w:rsid w:val="00DE32E2"/>
    <w:rsid w:val="00DE3375"/>
    <w:rsid w:val="00DE347D"/>
    <w:rsid w:val="00DE3572"/>
    <w:rsid w:val="00DE3735"/>
    <w:rsid w:val="00DE3785"/>
    <w:rsid w:val="00DE3831"/>
    <w:rsid w:val="00DE39FC"/>
    <w:rsid w:val="00DE3A8C"/>
    <w:rsid w:val="00DE3B18"/>
    <w:rsid w:val="00DE3C9C"/>
    <w:rsid w:val="00DE3CDD"/>
    <w:rsid w:val="00DE3D15"/>
    <w:rsid w:val="00DE3D80"/>
    <w:rsid w:val="00DE3E12"/>
    <w:rsid w:val="00DE3E19"/>
    <w:rsid w:val="00DE3E3C"/>
    <w:rsid w:val="00DE3F12"/>
    <w:rsid w:val="00DE3F74"/>
    <w:rsid w:val="00DE4206"/>
    <w:rsid w:val="00DE42D2"/>
    <w:rsid w:val="00DE4560"/>
    <w:rsid w:val="00DE45D4"/>
    <w:rsid w:val="00DE45F8"/>
    <w:rsid w:val="00DE476E"/>
    <w:rsid w:val="00DE4788"/>
    <w:rsid w:val="00DE4896"/>
    <w:rsid w:val="00DE49E6"/>
    <w:rsid w:val="00DE49F4"/>
    <w:rsid w:val="00DE4BA3"/>
    <w:rsid w:val="00DE4BB2"/>
    <w:rsid w:val="00DE4BCD"/>
    <w:rsid w:val="00DE4C9E"/>
    <w:rsid w:val="00DE4DA0"/>
    <w:rsid w:val="00DE4FE7"/>
    <w:rsid w:val="00DE50F7"/>
    <w:rsid w:val="00DE5219"/>
    <w:rsid w:val="00DE52A3"/>
    <w:rsid w:val="00DE52A9"/>
    <w:rsid w:val="00DE53D1"/>
    <w:rsid w:val="00DE5417"/>
    <w:rsid w:val="00DE546C"/>
    <w:rsid w:val="00DE5522"/>
    <w:rsid w:val="00DE5547"/>
    <w:rsid w:val="00DE55B7"/>
    <w:rsid w:val="00DE56D1"/>
    <w:rsid w:val="00DE575F"/>
    <w:rsid w:val="00DE57E4"/>
    <w:rsid w:val="00DE584C"/>
    <w:rsid w:val="00DE590C"/>
    <w:rsid w:val="00DE5A48"/>
    <w:rsid w:val="00DE5A6B"/>
    <w:rsid w:val="00DE5B52"/>
    <w:rsid w:val="00DE5BD0"/>
    <w:rsid w:val="00DE5C8A"/>
    <w:rsid w:val="00DE5CB6"/>
    <w:rsid w:val="00DE5D32"/>
    <w:rsid w:val="00DE5F28"/>
    <w:rsid w:val="00DE5F65"/>
    <w:rsid w:val="00DE5F6F"/>
    <w:rsid w:val="00DE5FD6"/>
    <w:rsid w:val="00DE5FDB"/>
    <w:rsid w:val="00DE615E"/>
    <w:rsid w:val="00DE6249"/>
    <w:rsid w:val="00DE6275"/>
    <w:rsid w:val="00DE630C"/>
    <w:rsid w:val="00DE63B4"/>
    <w:rsid w:val="00DE652C"/>
    <w:rsid w:val="00DE65BC"/>
    <w:rsid w:val="00DE6677"/>
    <w:rsid w:val="00DE669E"/>
    <w:rsid w:val="00DE6712"/>
    <w:rsid w:val="00DE6773"/>
    <w:rsid w:val="00DE68EE"/>
    <w:rsid w:val="00DE6919"/>
    <w:rsid w:val="00DE691D"/>
    <w:rsid w:val="00DE6945"/>
    <w:rsid w:val="00DE6A2F"/>
    <w:rsid w:val="00DE6A83"/>
    <w:rsid w:val="00DE6AD7"/>
    <w:rsid w:val="00DE6BE2"/>
    <w:rsid w:val="00DE6EEA"/>
    <w:rsid w:val="00DE6F1A"/>
    <w:rsid w:val="00DE6F3B"/>
    <w:rsid w:val="00DE6F49"/>
    <w:rsid w:val="00DE6FDC"/>
    <w:rsid w:val="00DE7165"/>
    <w:rsid w:val="00DE7296"/>
    <w:rsid w:val="00DE72C5"/>
    <w:rsid w:val="00DE72F2"/>
    <w:rsid w:val="00DE7364"/>
    <w:rsid w:val="00DE7467"/>
    <w:rsid w:val="00DE7472"/>
    <w:rsid w:val="00DE75F3"/>
    <w:rsid w:val="00DE7609"/>
    <w:rsid w:val="00DE76C1"/>
    <w:rsid w:val="00DE7912"/>
    <w:rsid w:val="00DE7DAD"/>
    <w:rsid w:val="00DE7F00"/>
    <w:rsid w:val="00DF01AB"/>
    <w:rsid w:val="00DF0251"/>
    <w:rsid w:val="00DF029B"/>
    <w:rsid w:val="00DF034E"/>
    <w:rsid w:val="00DF04D4"/>
    <w:rsid w:val="00DF0517"/>
    <w:rsid w:val="00DF056A"/>
    <w:rsid w:val="00DF0570"/>
    <w:rsid w:val="00DF06AF"/>
    <w:rsid w:val="00DF07C0"/>
    <w:rsid w:val="00DF0801"/>
    <w:rsid w:val="00DF0848"/>
    <w:rsid w:val="00DF0A0C"/>
    <w:rsid w:val="00DF0B0A"/>
    <w:rsid w:val="00DF0BA6"/>
    <w:rsid w:val="00DF0D6D"/>
    <w:rsid w:val="00DF0DDB"/>
    <w:rsid w:val="00DF0E39"/>
    <w:rsid w:val="00DF0F3E"/>
    <w:rsid w:val="00DF0FFA"/>
    <w:rsid w:val="00DF1087"/>
    <w:rsid w:val="00DF1170"/>
    <w:rsid w:val="00DF1236"/>
    <w:rsid w:val="00DF15F4"/>
    <w:rsid w:val="00DF1614"/>
    <w:rsid w:val="00DF1736"/>
    <w:rsid w:val="00DF1820"/>
    <w:rsid w:val="00DF188E"/>
    <w:rsid w:val="00DF1920"/>
    <w:rsid w:val="00DF1A66"/>
    <w:rsid w:val="00DF1B5C"/>
    <w:rsid w:val="00DF1CA2"/>
    <w:rsid w:val="00DF1CC8"/>
    <w:rsid w:val="00DF1CF2"/>
    <w:rsid w:val="00DF1D25"/>
    <w:rsid w:val="00DF1D99"/>
    <w:rsid w:val="00DF1EDB"/>
    <w:rsid w:val="00DF1FF4"/>
    <w:rsid w:val="00DF208C"/>
    <w:rsid w:val="00DF2169"/>
    <w:rsid w:val="00DF2258"/>
    <w:rsid w:val="00DF225E"/>
    <w:rsid w:val="00DF22FF"/>
    <w:rsid w:val="00DF2428"/>
    <w:rsid w:val="00DF24EC"/>
    <w:rsid w:val="00DF250A"/>
    <w:rsid w:val="00DF2532"/>
    <w:rsid w:val="00DF255D"/>
    <w:rsid w:val="00DF2591"/>
    <w:rsid w:val="00DF2672"/>
    <w:rsid w:val="00DF2718"/>
    <w:rsid w:val="00DF27E4"/>
    <w:rsid w:val="00DF29D6"/>
    <w:rsid w:val="00DF29D8"/>
    <w:rsid w:val="00DF2A54"/>
    <w:rsid w:val="00DF2ABD"/>
    <w:rsid w:val="00DF2AD5"/>
    <w:rsid w:val="00DF2B75"/>
    <w:rsid w:val="00DF2B90"/>
    <w:rsid w:val="00DF2B91"/>
    <w:rsid w:val="00DF2CAE"/>
    <w:rsid w:val="00DF2EAE"/>
    <w:rsid w:val="00DF2F1E"/>
    <w:rsid w:val="00DF2FEC"/>
    <w:rsid w:val="00DF30BE"/>
    <w:rsid w:val="00DF30C9"/>
    <w:rsid w:val="00DF30D1"/>
    <w:rsid w:val="00DF30DC"/>
    <w:rsid w:val="00DF321C"/>
    <w:rsid w:val="00DF3492"/>
    <w:rsid w:val="00DF3578"/>
    <w:rsid w:val="00DF35C9"/>
    <w:rsid w:val="00DF35F9"/>
    <w:rsid w:val="00DF3605"/>
    <w:rsid w:val="00DF36DE"/>
    <w:rsid w:val="00DF36E3"/>
    <w:rsid w:val="00DF36F7"/>
    <w:rsid w:val="00DF3750"/>
    <w:rsid w:val="00DF38C7"/>
    <w:rsid w:val="00DF38DD"/>
    <w:rsid w:val="00DF38ED"/>
    <w:rsid w:val="00DF39A4"/>
    <w:rsid w:val="00DF3A10"/>
    <w:rsid w:val="00DF3B4C"/>
    <w:rsid w:val="00DF3BB3"/>
    <w:rsid w:val="00DF3BD7"/>
    <w:rsid w:val="00DF3C07"/>
    <w:rsid w:val="00DF4100"/>
    <w:rsid w:val="00DF414B"/>
    <w:rsid w:val="00DF4173"/>
    <w:rsid w:val="00DF41D9"/>
    <w:rsid w:val="00DF4220"/>
    <w:rsid w:val="00DF4271"/>
    <w:rsid w:val="00DF429E"/>
    <w:rsid w:val="00DF447E"/>
    <w:rsid w:val="00DF4481"/>
    <w:rsid w:val="00DF45E5"/>
    <w:rsid w:val="00DF47A3"/>
    <w:rsid w:val="00DF489E"/>
    <w:rsid w:val="00DF4AD3"/>
    <w:rsid w:val="00DF4C9E"/>
    <w:rsid w:val="00DF4D78"/>
    <w:rsid w:val="00DF4E86"/>
    <w:rsid w:val="00DF4EAD"/>
    <w:rsid w:val="00DF509B"/>
    <w:rsid w:val="00DF51B9"/>
    <w:rsid w:val="00DF527C"/>
    <w:rsid w:val="00DF52AF"/>
    <w:rsid w:val="00DF530F"/>
    <w:rsid w:val="00DF545E"/>
    <w:rsid w:val="00DF550F"/>
    <w:rsid w:val="00DF5527"/>
    <w:rsid w:val="00DF5557"/>
    <w:rsid w:val="00DF55C9"/>
    <w:rsid w:val="00DF562F"/>
    <w:rsid w:val="00DF567C"/>
    <w:rsid w:val="00DF577B"/>
    <w:rsid w:val="00DF57A8"/>
    <w:rsid w:val="00DF5814"/>
    <w:rsid w:val="00DF5936"/>
    <w:rsid w:val="00DF5995"/>
    <w:rsid w:val="00DF59B0"/>
    <w:rsid w:val="00DF5A02"/>
    <w:rsid w:val="00DF5A16"/>
    <w:rsid w:val="00DF5A39"/>
    <w:rsid w:val="00DF5D17"/>
    <w:rsid w:val="00DF5DE4"/>
    <w:rsid w:val="00DF5E26"/>
    <w:rsid w:val="00DF5E52"/>
    <w:rsid w:val="00DF5F1F"/>
    <w:rsid w:val="00DF5F51"/>
    <w:rsid w:val="00DF5F94"/>
    <w:rsid w:val="00DF615D"/>
    <w:rsid w:val="00DF6182"/>
    <w:rsid w:val="00DF61D3"/>
    <w:rsid w:val="00DF61EF"/>
    <w:rsid w:val="00DF622A"/>
    <w:rsid w:val="00DF628D"/>
    <w:rsid w:val="00DF62DB"/>
    <w:rsid w:val="00DF636F"/>
    <w:rsid w:val="00DF65AC"/>
    <w:rsid w:val="00DF66A5"/>
    <w:rsid w:val="00DF66AB"/>
    <w:rsid w:val="00DF679F"/>
    <w:rsid w:val="00DF6836"/>
    <w:rsid w:val="00DF6A9E"/>
    <w:rsid w:val="00DF6AA3"/>
    <w:rsid w:val="00DF6B20"/>
    <w:rsid w:val="00DF6BB9"/>
    <w:rsid w:val="00DF6C50"/>
    <w:rsid w:val="00DF6C73"/>
    <w:rsid w:val="00DF6E22"/>
    <w:rsid w:val="00DF6EE5"/>
    <w:rsid w:val="00DF7057"/>
    <w:rsid w:val="00DF70B3"/>
    <w:rsid w:val="00DF70B7"/>
    <w:rsid w:val="00DF726B"/>
    <w:rsid w:val="00DF7331"/>
    <w:rsid w:val="00DF7445"/>
    <w:rsid w:val="00DF7460"/>
    <w:rsid w:val="00DF7477"/>
    <w:rsid w:val="00DF7689"/>
    <w:rsid w:val="00DF76B8"/>
    <w:rsid w:val="00DF7741"/>
    <w:rsid w:val="00DF7786"/>
    <w:rsid w:val="00DF7A77"/>
    <w:rsid w:val="00DF7AD9"/>
    <w:rsid w:val="00DF7B5B"/>
    <w:rsid w:val="00DF7D7A"/>
    <w:rsid w:val="00DF7EF0"/>
    <w:rsid w:val="00E000D3"/>
    <w:rsid w:val="00E0020E"/>
    <w:rsid w:val="00E002F3"/>
    <w:rsid w:val="00E0033D"/>
    <w:rsid w:val="00E004DC"/>
    <w:rsid w:val="00E0058F"/>
    <w:rsid w:val="00E00769"/>
    <w:rsid w:val="00E008C1"/>
    <w:rsid w:val="00E0095E"/>
    <w:rsid w:val="00E009D0"/>
    <w:rsid w:val="00E00A3D"/>
    <w:rsid w:val="00E00A91"/>
    <w:rsid w:val="00E00B31"/>
    <w:rsid w:val="00E00BAA"/>
    <w:rsid w:val="00E00C75"/>
    <w:rsid w:val="00E00D2E"/>
    <w:rsid w:val="00E00E93"/>
    <w:rsid w:val="00E00ED0"/>
    <w:rsid w:val="00E00F05"/>
    <w:rsid w:val="00E0104B"/>
    <w:rsid w:val="00E011E4"/>
    <w:rsid w:val="00E01432"/>
    <w:rsid w:val="00E0166A"/>
    <w:rsid w:val="00E01697"/>
    <w:rsid w:val="00E01883"/>
    <w:rsid w:val="00E01892"/>
    <w:rsid w:val="00E018BB"/>
    <w:rsid w:val="00E019D0"/>
    <w:rsid w:val="00E01AD1"/>
    <w:rsid w:val="00E01AEB"/>
    <w:rsid w:val="00E01B27"/>
    <w:rsid w:val="00E01B87"/>
    <w:rsid w:val="00E01B9B"/>
    <w:rsid w:val="00E01C29"/>
    <w:rsid w:val="00E01D06"/>
    <w:rsid w:val="00E01F28"/>
    <w:rsid w:val="00E01F3A"/>
    <w:rsid w:val="00E020AC"/>
    <w:rsid w:val="00E02270"/>
    <w:rsid w:val="00E02275"/>
    <w:rsid w:val="00E0236C"/>
    <w:rsid w:val="00E02599"/>
    <w:rsid w:val="00E02632"/>
    <w:rsid w:val="00E026BE"/>
    <w:rsid w:val="00E02717"/>
    <w:rsid w:val="00E0286A"/>
    <w:rsid w:val="00E02897"/>
    <w:rsid w:val="00E028EC"/>
    <w:rsid w:val="00E02B36"/>
    <w:rsid w:val="00E02C2A"/>
    <w:rsid w:val="00E02D5B"/>
    <w:rsid w:val="00E02D88"/>
    <w:rsid w:val="00E02EC2"/>
    <w:rsid w:val="00E0304B"/>
    <w:rsid w:val="00E03156"/>
    <w:rsid w:val="00E0329B"/>
    <w:rsid w:val="00E03385"/>
    <w:rsid w:val="00E0369B"/>
    <w:rsid w:val="00E037AB"/>
    <w:rsid w:val="00E039BF"/>
    <w:rsid w:val="00E03B1E"/>
    <w:rsid w:val="00E03BDF"/>
    <w:rsid w:val="00E03C55"/>
    <w:rsid w:val="00E03CB8"/>
    <w:rsid w:val="00E03D8F"/>
    <w:rsid w:val="00E03DAB"/>
    <w:rsid w:val="00E03E8B"/>
    <w:rsid w:val="00E03EF6"/>
    <w:rsid w:val="00E040F7"/>
    <w:rsid w:val="00E04191"/>
    <w:rsid w:val="00E04234"/>
    <w:rsid w:val="00E042E4"/>
    <w:rsid w:val="00E043FC"/>
    <w:rsid w:val="00E044FD"/>
    <w:rsid w:val="00E045D8"/>
    <w:rsid w:val="00E0483E"/>
    <w:rsid w:val="00E048F2"/>
    <w:rsid w:val="00E04964"/>
    <w:rsid w:val="00E0496A"/>
    <w:rsid w:val="00E04CBF"/>
    <w:rsid w:val="00E04E21"/>
    <w:rsid w:val="00E04FD8"/>
    <w:rsid w:val="00E04FE1"/>
    <w:rsid w:val="00E05075"/>
    <w:rsid w:val="00E050B0"/>
    <w:rsid w:val="00E05121"/>
    <w:rsid w:val="00E0519D"/>
    <w:rsid w:val="00E05228"/>
    <w:rsid w:val="00E052EB"/>
    <w:rsid w:val="00E0535A"/>
    <w:rsid w:val="00E0543C"/>
    <w:rsid w:val="00E05518"/>
    <w:rsid w:val="00E05525"/>
    <w:rsid w:val="00E05609"/>
    <w:rsid w:val="00E058D0"/>
    <w:rsid w:val="00E059F2"/>
    <w:rsid w:val="00E05A35"/>
    <w:rsid w:val="00E05B12"/>
    <w:rsid w:val="00E05BFE"/>
    <w:rsid w:val="00E05C34"/>
    <w:rsid w:val="00E05F58"/>
    <w:rsid w:val="00E0600E"/>
    <w:rsid w:val="00E06019"/>
    <w:rsid w:val="00E06096"/>
    <w:rsid w:val="00E06386"/>
    <w:rsid w:val="00E063B8"/>
    <w:rsid w:val="00E063CD"/>
    <w:rsid w:val="00E063DF"/>
    <w:rsid w:val="00E064C5"/>
    <w:rsid w:val="00E064C7"/>
    <w:rsid w:val="00E066BC"/>
    <w:rsid w:val="00E0680F"/>
    <w:rsid w:val="00E0693B"/>
    <w:rsid w:val="00E069BA"/>
    <w:rsid w:val="00E06B10"/>
    <w:rsid w:val="00E06BD6"/>
    <w:rsid w:val="00E06C00"/>
    <w:rsid w:val="00E06C14"/>
    <w:rsid w:val="00E06C67"/>
    <w:rsid w:val="00E06C9B"/>
    <w:rsid w:val="00E06D2B"/>
    <w:rsid w:val="00E06D70"/>
    <w:rsid w:val="00E06E3E"/>
    <w:rsid w:val="00E07004"/>
    <w:rsid w:val="00E07015"/>
    <w:rsid w:val="00E0703E"/>
    <w:rsid w:val="00E070D0"/>
    <w:rsid w:val="00E0711B"/>
    <w:rsid w:val="00E072EA"/>
    <w:rsid w:val="00E07327"/>
    <w:rsid w:val="00E0756F"/>
    <w:rsid w:val="00E076CB"/>
    <w:rsid w:val="00E07912"/>
    <w:rsid w:val="00E07A69"/>
    <w:rsid w:val="00E07A6C"/>
    <w:rsid w:val="00E07AA2"/>
    <w:rsid w:val="00E07AC8"/>
    <w:rsid w:val="00E07B42"/>
    <w:rsid w:val="00E07BAD"/>
    <w:rsid w:val="00E07D60"/>
    <w:rsid w:val="00E07D6F"/>
    <w:rsid w:val="00E07FA9"/>
    <w:rsid w:val="00E10006"/>
    <w:rsid w:val="00E10042"/>
    <w:rsid w:val="00E10097"/>
    <w:rsid w:val="00E100A3"/>
    <w:rsid w:val="00E100CA"/>
    <w:rsid w:val="00E101B6"/>
    <w:rsid w:val="00E101DC"/>
    <w:rsid w:val="00E10204"/>
    <w:rsid w:val="00E10306"/>
    <w:rsid w:val="00E103C3"/>
    <w:rsid w:val="00E105CE"/>
    <w:rsid w:val="00E10638"/>
    <w:rsid w:val="00E10689"/>
    <w:rsid w:val="00E10704"/>
    <w:rsid w:val="00E108A4"/>
    <w:rsid w:val="00E1095B"/>
    <w:rsid w:val="00E10A27"/>
    <w:rsid w:val="00E10C2B"/>
    <w:rsid w:val="00E10C57"/>
    <w:rsid w:val="00E10F73"/>
    <w:rsid w:val="00E10FC6"/>
    <w:rsid w:val="00E10FFE"/>
    <w:rsid w:val="00E112FD"/>
    <w:rsid w:val="00E113B4"/>
    <w:rsid w:val="00E113C5"/>
    <w:rsid w:val="00E113F0"/>
    <w:rsid w:val="00E115D1"/>
    <w:rsid w:val="00E1163F"/>
    <w:rsid w:val="00E11916"/>
    <w:rsid w:val="00E1194E"/>
    <w:rsid w:val="00E11A5F"/>
    <w:rsid w:val="00E11ADF"/>
    <w:rsid w:val="00E11B32"/>
    <w:rsid w:val="00E11B97"/>
    <w:rsid w:val="00E11DCE"/>
    <w:rsid w:val="00E11DEC"/>
    <w:rsid w:val="00E11E1B"/>
    <w:rsid w:val="00E11E4A"/>
    <w:rsid w:val="00E11E69"/>
    <w:rsid w:val="00E12108"/>
    <w:rsid w:val="00E1216D"/>
    <w:rsid w:val="00E122BD"/>
    <w:rsid w:val="00E12318"/>
    <w:rsid w:val="00E12321"/>
    <w:rsid w:val="00E123B1"/>
    <w:rsid w:val="00E1240C"/>
    <w:rsid w:val="00E12572"/>
    <w:rsid w:val="00E126C9"/>
    <w:rsid w:val="00E12764"/>
    <w:rsid w:val="00E127C3"/>
    <w:rsid w:val="00E12877"/>
    <w:rsid w:val="00E1297B"/>
    <w:rsid w:val="00E12990"/>
    <w:rsid w:val="00E12BD7"/>
    <w:rsid w:val="00E12C05"/>
    <w:rsid w:val="00E12E11"/>
    <w:rsid w:val="00E12F01"/>
    <w:rsid w:val="00E132F9"/>
    <w:rsid w:val="00E13408"/>
    <w:rsid w:val="00E134D7"/>
    <w:rsid w:val="00E1356C"/>
    <w:rsid w:val="00E135B3"/>
    <w:rsid w:val="00E139A7"/>
    <w:rsid w:val="00E139AD"/>
    <w:rsid w:val="00E139AF"/>
    <w:rsid w:val="00E139FF"/>
    <w:rsid w:val="00E13B7A"/>
    <w:rsid w:val="00E13BE8"/>
    <w:rsid w:val="00E13C79"/>
    <w:rsid w:val="00E13CD5"/>
    <w:rsid w:val="00E13D2C"/>
    <w:rsid w:val="00E13D56"/>
    <w:rsid w:val="00E13D8A"/>
    <w:rsid w:val="00E13D8B"/>
    <w:rsid w:val="00E13DB5"/>
    <w:rsid w:val="00E13DBB"/>
    <w:rsid w:val="00E13E43"/>
    <w:rsid w:val="00E13E78"/>
    <w:rsid w:val="00E13F86"/>
    <w:rsid w:val="00E140B4"/>
    <w:rsid w:val="00E1411B"/>
    <w:rsid w:val="00E1413C"/>
    <w:rsid w:val="00E14287"/>
    <w:rsid w:val="00E143B6"/>
    <w:rsid w:val="00E14434"/>
    <w:rsid w:val="00E14601"/>
    <w:rsid w:val="00E146A3"/>
    <w:rsid w:val="00E1473E"/>
    <w:rsid w:val="00E14797"/>
    <w:rsid w:val="00E14A34"/>
    <w:rsid w:val="00E14A38"/>
    <w:rsid w:val="00E14B30"/>
    <w:rsid w:val="00E14C26"/>
    <w:rsid w:val="00E14D03"/>
    <w:rsid w:val="00E14EE7"/>
    <w:rsid w:val="00E14F6C"/>
    <w:rsid w:val="00E14F92"/>
    <w:rsid w:val="00E150BC"/>
    <w:rsid w:val="00E1528E"/>
    <w:rsid w:val="00E15471"/>
    <w:rsid w:val="00E154D6"/>
    <w:rsid w:val="00E154FA"/>
    <w:rsid w:val="00E15545"/>
    <w:rsid w:val="00E15574"/>
    <w:rsid w:val="00E155A1"/>
    <w:rsid w:val="00E155BB"/>
    <w:rsid w:val="00E155FA"/>
    <w:rsid w:val="00E15757"/>
    <w:rsid w:val="00E157A7"/>
    <w:rsid w:val="00E158FA"/>
    <w:rsid w:val="00E1593B"/>
    <w:rsid w:val="00E1599C"/>
    <w:rsid w:val="00E159F8"/>
    <w:rsid w:val="00E15A6E"/>
    <w:rsid w:val="00E15A78"/>
    <w:rsid w:val="00E15D97"/>
    <w:rsid w:val="00E15E6B"/>
    <w:rsid w:val="00E15F3F"/>
    <w:rsid w:val="00E15F9A"/>
    <w:rsid w:val="00E1611C"/>
    <w:rsid w:val="00E163DD"/>
    <w:rsid w:val="00E1641B"/>
    <w:rsid w:val="00E16462"/>
    <w:rsid w:val="00E16515"/>
    <w:rsid w:val="00E1655E"/>
    <w:rsid w:val="00E165E1"/>
    <w:rsid w:val="00E1661F"/>
    <w:rsid w:val="00E16817"/>
    <w:rsid w:val="00E16827"/>
    <w:rsid w:val="00E1682C"/>
    <w:rsid w:val="00E1697A"/>
    <w:rsid w:val="00E169FD"/>
    <w:rsid w:val="00E16A3F"/>
    <w:rsid w:val="00E16AD1"/>
    <w:rsid w:val="00E16B41"/>
    <w:rsid w:val="00E16BAA"/>
    <w:rsid w:val="00E16C26"/>
    <w:rsid w:val="00E16C78"/>
    <w:rsid w:val="00E16D13"/>
    <w:rsid w:val="00E16F38"/>
    <w:rsid w:val="00E17014"/>
    <w:rsid w:val="00E17054"/>
    <w:rsid w:val="00E1708B"/>
    <w:rsid w:val="00E17192"/>
    <w:rsid w:val="00E171BC"/>
    <w:rsid w:val="00E17424"/>
    <w:rsid w:val="00E174CB"/>
    <w:rsid w:val="00E175AF"/>
    <w:rsid w:val="00E17751"/>
    <w:rsid w:val="00E17874"/>
    <w:rsid w:val="00E1787E"/>
    <w:rsid w:val="00E17A55"/>
    <w:rsid w:val="00E17AE2"/>
    <w:rsid w:val="00E17B0B"/>
    <w:rsid w:val="00E17D35"/>
    <w:rsid w:val="00E17D76"/>
    <w:rsid w:val="00E17F4D"/>
    <w:rsid w:val="00E17F7B"/>
    <w:rsid w:val="00E1FFB6"/>
    <w:rsid w:val="00E201F8"/>
    <w:rsid w:val="00E20373"/>
    <w:rsid w:val="00E203F4"/>
    <w:rsid w:val="00E204B4"/>
    <w:rsid w:val="00E2065B"/>
    <w:rsid w:val="00E206D2"/>
    <w:rsid w:val="00E20758"/>
    <w:rsid w:val="00E20792"/>
    <w:rsid w:val="00E207FE"/>
    <w:rsid w:val="00E20810"/>
    <w:rsid w:val="00E20949"/>
    <w:rsid w:val="00E209A3"/>
    <w:rsid w:val="00E209B0"/>
    <w:rsid w:val="00E20A61"/>
    <w:rsid w:val="00E20BD5"/>
    <w:rsid w:val="00E20CBC"/>
    <w:rsid w:val="00E20CBF"/>
    <w:rsid w:val="00E20E1F"/>
    <w:rsid w:val="00E20E7F"/>
    <w:rsid w:val="00E20F3D"/>
    <w:rsid w:val="00E2109B"/>
    <w:rsid w:val="00E210BB"/>
    <w:rsid w:val="00E21121"/>
    <w:rsid w:val="00E211D5"/>
    <w:rsid w:val="00E21230"/>
    <w:rsid w:val="00E212ED"/>
    <w:rsid w:val="00E213A5"/>
    <w:rsid w:val="00E213DA"/>
    <w:rsid w:val="00E213E0"/>
    <w:rsid w:val="00E21519"/>
    <w:rsid w:val="00E21530"/>
    <w:rsid w:val="00E21541"/>
    <w:rsid w:val="00E215DC"/>
    <w:rsid w:val="00E21666"/>
    <w:rsid w:val="00E216F6"/>
    <w:rsid w:val="00E21865"/>
    <w:rsid w:val="00E21933"/>
    <w:rsid w:val="00E21937"/>
    <w:rsid w:val="00E219AE"/>
    <w:rsid w:val="00E21C25"/>
    <w:rsid w:val="00E21C4E"/>
    <w:rsid w:val="00E21C6E"/>
    <w:rsid w:val="00E21D08"/>
    <w:rsid w:val="00E21DFA"/>
    <w:rsid w:val="00E21E11"/>
    <w:rsid w:val="00E21E92"/>
    <w:rsid w:val="00E220A8"/>
    <w:rsid w:val="00E220AB"/>
    <w:rsid w:val="00E221E5"/>
    <w:rsid w:val="00E2227C"/>
    <w:rsid w:val="00E222CB"/>
    <w:rsid w:val="00E2234E"/>
    <w:rsid w:val="00E2241C"/>
    <w:rsid w:val="00E22430"/>
    <w:rsid w:val="00E2252A"/>
    <w:rsid w:val="00E22594"/>
    <w:rsid w:val="00E225B5"/>
    <w:rsid w:val="00E22641"/>
    <w:rsid w:val="00E2265C"/>
    <w:rsid w:val="00E2267C"/>
    <w:rsid w:val="00E226D9"/>
    <w:rsid w:val="00E227BC"/>
    <w:rsid w:val="00E228A5"/>
    <w:rsid w:val="00E228B8"/>
    <w:rsid w:val="00E22A89"/>
    <w:rsid w:val="00E22A9B"/>
    <w:rsid w:val="00E22AAD"/>
    <w:rsid w:val="00E22AEE"/>
    <w:rsid w:val="00E22AF2"/>
    <w:rsid w:val="00E22B1A"/>
    <w:rsid w:val="00E22B6A"/>
    <w:rsid w:val="00E22BA3"/>
    <w:rsid w:val="00E22C36"/>
    <w:rsid w:val="00E22D30"/>
    <w:rsid w:val="00E22E23"/>
    <w:rsid w:val="00E22F35"/>
    <w:rsid w:val="00E23005"/>
    <w:rsid w:val="00E23016"/>
    <w:rsid w:val="00E230BF"/>
    <w:rsid w:val="00E231A5"/>
    <w:rsid w:val="00E231DB"/>
    <w:rsid w:val="00E232D0"/>
    <w:rsid w:val="00E2332C"/>
    <w:rsid w:val="00E2345F"/>
    <w:rsid w:val="00E234C0"/>
    <w:rsid w:val="00E235DC"/>
    <w:rsid w:val="00E2367E"/>
    <w:rsid w:val="00E23695"/>
    <w:rsid w:val="00E236FC"/>
    <w:rsid w:val="00E23758"/>
    <w:rsid w:val="00E2397C"/>
    <w:rsid w:val="00E239B9"/>
    <w:rsid w:val="00E239EA"/>
    <w:rsid w:val="00E23BF9"/>
    <w:rsid w:val="00E23C01"/>
    <w:rsid w:val="00E23C96"/>
    <w:rsid w:val="00E23D31"/>
    <w:rsid w:val="00E23D6B"/>
    <w:rsid w:val="00E23E98"/>
    <w:rsid w:val="00E24036"/>
    <w:rsid w:val="00E240FB"/>
    <w:rsid w:val="00E24200"/>
    <w:rsid w:val="00E242F1"/>
    <w:rsid w:val="00E2441B"/>
    <w:rsid w:val="00E24432"/>
    <w:rsid w:val="00E244A2"/>
    <w:rsid w:val="00E24552"/>
    <w:rsid w:val="00E245A2"/>
    <w:rsid w:val="00E245CC"/>
    <w:rsid w:val="00E2473D"/>
    <w:rsid w:val="00E24915"/>
    <w:rsid w:val="00E24A07"/>
    <w:rsid w:val="00E24C7E"/>
    <w:rsid w:val="00E24D34"/>
    <w:rsid w:val="00E24DB4"/>
    <w:rsid w:val="00E24DD7"/>
    <w:rsid w:val="00E24F12"/>
    <w:rsid w:val="00E24F83"/>
    <w:rsid w:val="00E24F97"/>
    <w:rsid w:val="00E24FA6"/>
    <w:rsid w:val="00E24FDC"/>
    <w:rsid w:val="00E250D3"/>
    <w:rsid w:val="00E2511D"/>
    <w:rsid w:val="00E2516B"/>
    <w:rsid w:val="00E25275"/>
    <w:rsid w:val="00E2535B"/>
    <w:rsid w:val="00E25494"/>
    <w:rsid w:val="00E2549A"/>
    <w:rsid w:val="00E255B2"/>
    <w:rsid w:val="00E255F5"/>
    <w:rsid w:val="00E256D1"/>
    <w:rsid w:val="00E2571A"/>
    <w:rsid w:val="00E257A0"/>
    <w:rsid w:val="00E257FC"/>
    <w:rsid w:val="00E2584F"/>
    <w:rsid w:val="00E2592A"/>
    <w:rsid w:val="00E25A5A"/>
    <w:rsid w:val="00E25A9F"/>
    <w:rsid w:val="00E25AA2"/>
    <w:rsid w:val="00E25B36"/>
    <w:rsid w:val="00E25C64"/>
    <w:rsid w:val="00E25D8E"/>
    <w:rsid w:val="00E25E31"/>
    <w:rsid w:val="00E25E73"/>
    <w:rsid w:val="00E25E8C"/>
    <w:rsid w:val="00E25F60"/>
    <w:rsid w:val="00E25FC3"/>
    <w:rsid w:val="00E25FF0"/>
    <w:rsid w:val="00E260A5"/>
    <w:rsid w:val="00E26154"/>
    <w:rsid w:val="00E26221"/>
    <w:rsid w:val="00E2628D"/>
    <w:rsid w:val="00E262B2"/>
    <w:rsid w:val="00E26422"/>
    <w:rsid w:val="00E26578"/>
    <w:rsid w:val="00E265BD"/>
    <w:rsid w:val="00E26995"/>
    <w:rsid w:val="00E269D5"/>
    <w:rsid w:val="00E269E3"/>
    <w:rsid w:val="00E26B16"/>
    <w:rsid w:val="00E26B41"/>
    <w:rsid w:val="00E26C80"/>
    <w:rsid w:val="00E26CB3"/>
    <w:rsid w:val="00E26E2E"/>
    <w:rsid w:val="00E26E5C"/>
    <w:rsid w:val="00E26E8B"/>
    <w:rsid w:val="00E26FA6"/>
    <w:rsid w:val="00E26FE3"/>
    <w:rsid w:val="00E270F1"/>
    <w:rsid w:val="00E27291"/>
    <w:rsid w:val="00E272B6"/>
    <w:rsid w:val="00E27440"/>
    <w:rsid w:val="00E27464"/>
    <w:rsid w:val="00E274F5"/>
    <w:rsid w:val="00E27550"/>
    <w:rsid w:val="00E2757C"/>
    <w:rsid w:val="00E2763D"/>
    <w:rsid w:val="00E27764"/>
    <w:rsid w:val="00E277C2"/>
    <w:rsid w:val="00E2787F"/>
    <w:rsid w:val="00E279C0"/>
    <w:rsid w:val="00E279DF"/>
    <w:rsid w:val="00E27A8E"/>
    <w:rsid w:val="00E27B17"/>
    <w:rsid w:val="00E27B8D"/>
    <w:rsid w:val="00E27BEF"/>
    <w:rsid w:val="00E27C2A"/>
    <w:rsid w:val="00E27C93"/>
    <w:rsid w:val="00E27C97"/>
    <w:rsid w:val="00E27E24"/>
    <w:rsid w:val="00E27E5F"/>
    <w:rsid w:val="00E27F90"/>
    <w:rsid w:val="00E300FC"/>
    <w:rsid w:val="00E30189"/>
    <w:rsid w:val="00E301BF"/>
    <w:rsid w:val="00E302C9"/>
    <w:rsid w:val="00E303A0"/>
    <w:rsid w:val="00E30413"/>
    <w:rsid w:val="00E30475"/>
    <w:rsid w:val="00E30525"/>
    <w:rsid w:val="00E305A4"/>
    <w:rsid w:val="00E306D2"/>
    <w:rsid w:val="00E30713"/>
    <w:rsid w:val="00E30799"/>
    <w:rsid w:val="00E30840"/>
    <w:rsid w:val="00E309AD"/>
    <w:rsid w:val="00E30BE6"/>
    <w:rsid w:val="00E30C2E"/>
    <w:rsid w:val="00E30CE2"/>
    <w:rsid w:val="00E30D5B"/>
    <w:rsid w:val="00E30DE7"/>
    <w:rsid w:val="00E30E85"/>
    <w:rsid w:val="00E310C7"/>
    <w:rsid w:val="00E3114D"/>
    <w:rsid w:val="00E31160"/>
    <w:rsid w:val="00E3128B"/>
    <w:rsid w:val="00E312AC"/>
    <w:rsid w:val="00E312DC"/>
    <w:rsid w:val="00E31452"/>
    <w:rsid w:val="00E314FB"/>
    <w:rsid w:val="00E31636"/>
    <w:rsid w:val="00E31739"/>
    <w:rsid w:val="00E31779"/>
    <w:rsid w:val="00E3178B"/>
    <w:rsid w:val="00E317EB"/>
    <w:rsid w:val="00E3182E"/>
    <w:rsid w:val="00E3189E"/>
    <w:rsid w:val="00E31934"/>
    <w:rsid w:val="00E319D8"/>
    <w:rsid w:val="00E31AAF"/>
    <w:rsid w:val="00E31B4D"/>
    <w:rsid w:val="00E31BAD"/>
    <w:rsid w:val="00E31D18"/>
    <w:rsid w:val="00E31D8D"/>
    <w:rsid w:val="00E32069"/>
    <w:rsid w:val="00E320A4"/>
    <w:rsid w:val="00E32140"/>
    <w:rsid w:val="00E32194"/>
    <w:rsid w:val="00E32223"/>
    <w:rsid w:val="00E322A5"/>
    <w:rsid w:val="00E3238A"/>
    <w:rsid w:val="00E324A9"/>
    <w:rsid w:val="00E32666"/>
    <w:rsid w:val="00E326A4"/>
    <w:rsid w:val="00E327BA"/>
    <w:rsid w:val="00E327C2"/>
    <w:rsid w:val="00E327C4"/>
    <w:rsid w:val="00E32856"/>
    <w:rsid w:val="00E32866"/>
    <w:rsid w:val="00E32BCA"/>
    <w:rsid w:val="00E32C63"/>
    <w:rsid w:val="00E32EC5"/>
    <w:rsid w:val="00E32EED"/>
    <w:rsid w:val="00E32F7F"/>
    <w:rsid w:val="00E330F7"/>
    <w:rsid w:val="00E33261"/>
    <w:rsid w:val="00E3326E"/>
    <w:rsid w:val="00E332B9"/>
    <w:rsid w:val="00E3338A"/>
    <w:rsid w:val="00E33408"/>
    <w:rsid w:val="00E33450"/>
    <w:rsid w:val="00E335E5"/>
    <w:rsid w:val="00E3365B"/>
    <w:rsid w:val="00E33690"/>
    <w:rsid w:val="00E33691"/>
    <w:rsid w:val="00E336B4"/>
    <w:rsid w:val="00E33789"/>
    <w:rsid w:val="00E33966"/>
    <w:rsid w:val="00E339AB"/>
    <w:rsid w:val="00E33B67"/>
    <w:rsid w:val="00E33B8B"/>
    <w:rsid w:val="00E33BDB"/>
    <w:rsid w:val="00E33BFA"/>
    <w:rsid w:val="00E33C5D"/>
    <w:rsid w:val="00E33C89"/>
    <w:rsid w:val="00E33CF3"/>
    <w:rsid w:val="00E33DBD"/>
    <w:rsid w:val="00E33DDA"/>
    <w:rsid w:val="00E33DE2"/>
    <w:rsid w:val="00E33E06"/>
    <w:rsid w:val="00E33E25"/>
    <w:rsid w:val="00E33F23"/>
    <w:rsid w:val="00E33F37"/>
    <w:rsid w:val="00E33F54"/>
    <w:rsid w:val="00E33F5C"/>
    <w:rsid w:val="00E340FA"/>
    <w:rsid w:val="00E341F4"/>
    <w:rsid w:val="00E34283"/>
    <w:rsid w:val="00E34321"/>
    <w:rsid w:val="00E343A4"/>
    <w:rsid w:val="00E344B6"/>
    <w:rsid w:val="00E344C9"/>
    <w:rsid w:val="00E345C4"/>
    <w:rsid w:val="00E3479C"/>
    <w:rsid w:val="00E347BD"/>
    <w:rsid w:val="00E347CE"/>
    <w:rsid w:val="00E34849"/>
    <w:rsid w:val="00E34895"/>
    <w:rsid w:val="00E34A74"/>
    <w:rsid w:val="00E34AB0"/>
    <w:rsid w:val="00E34B13"/>
    <w:rsid w:val="00E34B4C"/>
    <w:rsid w:val="00E34BF0"/>
    <w:rsid w:val="00E34C1D"/>
    <w:rsid w:val="00E34CC8"/>
    <w:rsid w:val="00E34CED"/>
    <w:rsid w:val="00E34DBF"/>
    <w:rsid w:val="00E34F2D"/>
    <w:rsid w:val="00E35163"/>
    <w:rsid w:val="00E351AD"/>
    <w:rsid w:val="00E351C6"/>
    <w:rsid w:val="00E35204"/>
    <w:rsid w:val="00E352CF"/>
    <w:rsid w:val="00E35345"/>
    <w:rsid w:val="00E35510"/>
    <w:rsid w:val="00E355C6"/>
    <w:rsid w:val="00E35612"/>
    <w:rsid w:val="00E3561C"/>
    <w:rsid w:val="00E356C6"/>
    <w:rsid w:val="00E3579C"/>
    <w:rsid w:val="00E3591A"/>
    <w:rsid w:val="00E3596B"/>
    <w:rsid w:val="00E35BC7"/>
    <w:rsid w:val="00E35C42"/>
    <w:rsid w:val="00E35E38"/>
    <w:rsid w:val="00E35F21"/>
    <w:rsid w:val="00E36028"/>
    <w:rsid w:val="00E3613C"/>
    <w:rsid w:val="00E36152"/>
    <w:rsid w:val="00E3616D"/>
    <w:rsid w:val="00E362BB"/>
    <w:rsid w:val="00E36367"/>
    <w:rsid w:val="00E36403"/>
    <w:rsid w:val="00E36437"/>
    <w:rsid w:val="00E36462"/>
    <w:rsid w:val="00E3651A"/>
    <w:rsid w:val="00E3651B"/>
    <w:rsid w:val="00E3693C"/>
    <w:rsid w:val="00E369FB"/>
    <w:rsid w:val="00E36B73"/>
    <w:rsid w:val="00E36C1D"/>
    <w:rsid w:val="00E36C34"/>
    <w:rsid w:val="00E36D5B"/>
    <w:rsid w:val="00E36D93"/>
    <w:rsid w:val="00E36E30"/>
    <w:rsid w:val="00E36E7A"/>
    <w:rsid w:val="00E37177"/>
    <w:rsid w:val="00E37305"/>
    <w:rsid w:val="00E3749B"/>
    <w:rsid w:val="00E37519"/>
    <w:rsid w:val="00E37541"/>
    <w:rsid w:val="00E37659"/>
    <w:rsid w:val="00E3771E"/>
    <w:rsid w:val="00E377E8"/>
    <w:rsid w:val="00E379AC"/>
    <w:rsid w:val="00E37A70"/>
    <w:rsid w:val="00E37B93"/>
    <w:rsid w:val="00E37BC6"/>
    <w:rsid w:val="00E37CB0"/>
    <w:rsid w:val="00E37CEF"/>
    <w:rsid w:val="00E37E0A"/>
    <w:rsid w:val="00E37E0B"/>
    <w:rsid w:val="00E37E35"/>
    <w:rsid w:val="00E37E85"/>
    <w:rsid w:val="00E37F76"/>
    <w:rsid w:val="00E3E73E"/>
    <w:rsid w:val="00E3FA1D"/>
    <w:rsid w:val="00E4014B"/>
    <w:rsid w:val="00E40214"/>
    <w:rsid w:val="00E4024C"/>
    <w:rsid w:val="00E402F2"/>
    <w:rsid w:val="00E4051B"/>
    <w:rsid w:val="00E4051E"/>
    <w:rsid w:val="00E40526"/>
    <w:rsid w:val="00E40530"/>
    <w:rsid w:val="00E4053D"/>
    <w:rsid w:val="00E4057B"/>
    <w:rsid w:val="00E405BD"/>
    <w:rsid w:val="00E40679"/>
    <w:rsid w:val="00E4084F"/>
    <w:rsid w:val="00E40919"/>
    <w:rsid w:val="00E409B2"/>
    <w:rsid w:val="00E409B9"/>
    <w:rsid w:val="00E40A52"/>
    <w:rsid w:val="00E40B7D"/>
    <w:rsid w:val="00E40C76"/>
    <w:rsid w:val="00E40D21"/>
    <w:rsid w:val="00E40D7C"/>
    <w:rsid w:val="00E40F22"/>
    <w:rsid w:val="00E40FE8"/>
    <w:rsid w:val="00E41024"/>
    <w:rsid w:val="00E41053"/>
    <w:rsid w:val="00E411CC"/>
    <w:rsid w:val="00E412C8"/>
    <w:rsid w:val="00E412FC"/>
    <w:rsid w:val="00E4135D"/>
    <w:rsid w:val="00E4136F"/>
    <w:rsid w:val="00E41397"/>
    <w:rsid w:val="00E413A5"/>
    <w:rsid w:val="00E41456"/>
    <w:rsid w:val="00E41469"/>
    <w:rsid w:val="00E415AD"/>
    <w:rsid w:val="00E415C1"/>
    <w:rsid w:val="00E4170B"/>
    <w:rsid w:val="00E41742"/>
    <w:rsid w:val="00E41786"/>
    <w:rsid w:val="00E417A6"/>
    <w:rsid w:val="00E4182C"/>
    <w:rsid w:val="00E4187F"/>
    <w:rsid w:val="00E418C8"/>
    <w:rsid w:val="00E41AA2"/>
    <w:rsid w:val="00E41AAB"/>
    <w:rsid w:val="00E41B01"/>
    <w:rsid w:val="00E41B62"/>
    <w:rsid w:val="00E41CB9"/>
    <w:rsid w:val="00E41D75"/>
    <w:rsid w:val="00E41E98"/>
    <w:rsid w:val="00E4210C"/>
    <w:rsid w:val="00E42226"/>
    <w:rsid w:val="00E42277"/>
    <w:rsid w:val="00E422B6"/>
    <w:rsid w:val="00E423A9"/>
    <w:rsid w:val="00E423AF"/>
    <w:rsid w:val="00E4242E"/>
    <w:rsid w:val="00E42433"/>
    <w:rsid w:val="00E424C1"/>
    <w:rsid w:val="00E42606"/>
    <w:rsid w:val="00E4273A"/>
    <w:rsid w:val="00E4273D"/>
    <w:rsid w:val="00E42762"/>
    <w:rsid w:val="00E4276B"/>
    <w:rsid w:val="00E428B4"/>
    <w:rsid w:val="00E4292E"/>
    <w:rsid w:val="00E42A0D"/>
    <w:rsid w:val="00E42A23"/>
    <w:rsid w:val="00E42A66"/>
    <w:rsid w:val="00E42A8E"/>
    <w:rsid w:val="00E42D47"/>
    <w:rsid w:val="00E42DFF"/>
    <w:rsid w:val="00E42E20"/>
    <w:rsid w:val="00E42EA1"/>
    <w:rsid w:val="00E42EB5"/>
    <w:rsid w:val="00E42F1D"/>
    <w:rsid w:val="00E42FCA"/>
    <w:rsid w:val="00E4302C"/>
    <w:rsid w:val="00E430C1"/>
    <w:rsid w:val="00E430FD"/>
    <w:rsid w:val="00E4312E"/>
    <w:rsid w:val="00E43148"/>
    <w:rsid w:val="00E431B4"/>
    <w:rsid w:val="00E432A3"/>
    <w:rsid w:val="00E4330A"/>
    <w:rsid w:val="00E4334F"/>
    <w:rsid w:val="00E433CA"/>
    <w:rsid w:val="00E4346A"/>
    <w:rsid w:val="00E43620"/>
    <w:rsid w:val="00E436B6"/>
    <w:rsid w:val="00E43739"/>
    <w:rsid w:val="00E4395C"/>
    <w:rsid w:val="00E43B86"/>
    <w:rsid w:val="00E43C74"/>
    <w:rsid w:val="00E43CCE"/>
    <w:rsid w:val="00E43CDE"/>
    <w:rsid w:val="00E43D73"/>
    <w:rsid w:val="00E43DBB"/>
    <w:rsid w:val="00E43F3F"/>
    <w:rsid w:val="00E43F75"/>
    <w:rsid w:val="00E43FAA"/>
    <w:rsid w:val="00E44019"/>
    <w:rsid w:val="00E440C6"/>
    <w:rsid w:val="00E44107"/>
    <w:rsid w:val="00E444E2"/>
    <w:rsid w:val="00E444EC"/>
    <w:rsid w:val="00E445BF"/>
    <w:rsid w:val="00E445F1"/>
    <w:rsid w:val="00E44617"/>
    <w:rsid w:val="00E4463B"/>
    <w:rsid w:val="00E4475C"/>
    <w:rsid w:val="00E44801"/>
    <w:rsid w:val="00E4482B"/>
    <w:rsid w:val="00E448E0"/>
    <w:rsid w:val="00E44AAD"/>
    <w:rsid w:val="00E44AD9"/>
    <w:rsid w:val="00E44D10"/>
    <w:rsid w:val="00E44DD7"/>
    <w:rsid w:val="00E44F08"/>
    <w:rsid w:val="00E44FA0"/>
    <w:rsid w:val="00E45000"/>
    <w:rsid w:val="00E45046"/>
    <w:rsid w:val="00E4512D"/>
    <w:rsid w:val="00E45182"/>
    <w:rsid w:val="00E45188"/>
    <w:rsid w:val="00E451A6"/>
    <w:rsid w:val="00E452DE"/>
    <w:rsid w:val="00E455B9"/>
    <w:rsid w:val="00E455BD"/>
    <w:rsid w:val="00E45621"/>
    <w:rsid w:val="00E45698"/>
    <w:rsid w:val="00E45937"/>
    <w:rsid w:val="00E459A6"/>
    <w:rsid w:val="00E45C4C"/>
    <w:rsid w:val="00E45D88"/>
    <w:rsid w:val="00E45DF3"/>
    <w:rsid w:val="00E45E34"/>
    <w:rsid w:val="00E45F99"/>
    <w:rsid w:val="00E463C5"/>
    <w:rsid w:val="00E463FE"/>
    <w:rsid w:val="00E4642E"/>
    <w:rsid w:val="00E468AC"/>
    <w:rsid w:val="00E4693C"/>
    <w:rsid w:val="00E46997"/>
    <w:rsid w:val="00E46AA6"/>
    <w:rsid w:val="00E46B0F"/>
    <w:rsid w:val="00E46B20"/>
    <w:rsid w:val="00E46BA1"/>
    <w:rsid w:val="00E46BFB"/>
    <w:rsid w:val="00E46F72"/>
    <w:rsid w:val="00E47004"/>
    <w:rsid w:val="00E47096"/>
    <w:rsid w:val="00E470D4"/>
    <w:rsid w:val="00E470E6"/>
    <w:rsid w:val="00E47293"/>
    <w:rsid w:val="00E472E2"/>
    <w:rsid w:val="00E4732C"/>
    <w:rsid w:val="00E47549"/>
    <w:rsid w:val="00E4763C"/>
    <w:rsid w:val="00E4776E"/>
    <w:rsid w:val="00E477E5"/>
    <w:rsid w:val="00E47887"/>
    <w:rsid w:val="00E47C69"/>
    <w:rsid w:val="00E47C6C"/>
    <w:rsid w:val="00E47D6E"/>
    <w:rsid w:val="00E4BE98"/>
    <w:rsid w:val="00E50314"/>
    <w:rsid w:val="00E50321"/>
    <w:rsid w:val="00E50537"/>
    <w:rsid w:val="00E50587"/>
    <w:rsid w:val="00E506BB"/>
    <w:rsid w:val="00E506D1"/>
    <w:rsid w:val="00E50777"/>
    <w:rsid w:val="00E507A1"/>
    <w:rsid w:val="00E507A7"/>
    <w:rsid w:val="00E507E0"/>
    <w:rsid w:val="00E50944"/>
    <w:rsid w:val="00E50988"/>
    <w:rsid w:val="00E50A0E"/>
    <w:rsid w:val="00E50B5C"/>
    <w:rsid w:val="00E50DA0"/>
    <w:rsid w:val="00E50EC1"/>
    <w:rsid w:val="00E50F69"/>
    <w:rsid w:val="00E50FD1"/>
    <w:rsid w:val="00E5110E"/>
    <w:rsid w:val="00E5118E"/>
    <w:rsid w:val="00E51218"/>
    <w:rsid w:val="00E51222"/>
    <w:rsid w:val="00E512DD"/>
    <w:rsid w:val="00E512F1"/>
    <w:rsid w:val="00E51340"/>
    <w:rsid w:val="00E51366"/>
    <w:rsid w:val="00E51397"/>
    <w:rsid w:val="00E51530"/>
    <w:rsid w:val="00E51555"/>
    <w:rsid w:val="00E51746"/>
    <w:rsid w:val="00E517AF"/>
    <w:rsid w:val="00E51940"/>
    <w:rsid w:val="00E51A39"/>
    <w:rsid w:val="00E51A6D"/>
    <w:rsid w:val="00E51B4D"/>
    <w:rsid w:val="00E51BDF"/>
    <w:rsid w:val="00E51D51"/>
    <w:rsid w:val="00E51DA7"/>
    <w:rsid w:val="00E51EE0"/>
    <w:rsid w:val="00E51F83"/>
    <w:rsid w:val="00E52154"/>
    <w:rsid w:val="00E522BB"/>
    <w:rsid w:val="00E522EB"/>
    <w:rsid w:val="00E522F8"/>
    <w:rsid w:val="00E52365"/>
    <w:rsid w:val="00E52674"/>
    <w:rsid w:val="00E526A3"/>
    <w:rsid w:val="00E526E9"/>
    <w:rsid w:val="00E526EF"/>
    <w:rsid w:val="00E526FE"/>
    <w:rsid w:val="00E52721"/>
    <w:rsid w:val="00E527B0"/>
    <w:rsid w:val="00E52847"/>
    <w:rsid w:val="00E528C5"/>
    <w:rsid w:val="00E5295C"/>
    <w:rsid w:val="00E52987"/>
    <w:rsid w:val="00E529E2"/>
    <w:rsid w:val="00E52A4A"/>
    <w:rsid w:val="00E52A70"/>
    <w:rsid w:val="00E52B38"/>
    <w:rsid w:val="00E52BB8"/>
    <w:rsid w:val="00E52BF6"/>
    <w:rsid w:val="00E52C2B"/>
    <w:rsid w:val="00E52D9A"/>
    <w:rsid w:val="00E52E6F"/>
    <w:rsid w:val="00E52EA0"/>
    <w:rsid w:val="00E52F49"/>
    <w:rsid w:val="00E52F7E"/>
    <w:rsid w:val="00E52F9A"/>
    <w:rsid w:val="00E52FA9"/>
    <w:rsid w:val="00E53172"/>
    <w:rsid w:val="00E531AF"/>
    <w:rsid w:val="00E531C0"/>
    <w:rsid w:val="00E53204"/>
    <w:rsid w:val="00E53215"/>
    <w:rsid w:val="00E5330B"/>
    <w:rsid w:val="00E533E1"/>
    <w:rsid w:val="00E5354D"/>
    <w:rsid w:val="00E53684"/>
    <w:rsid w:val="00E53792"/>
    <w:rsid w:val="00E53807"/>
    <w:rsid w:val="00E53856"/>
    <w:rsid w:val="00E538C6"/>
    <w:rsid w:val="00E539BB"/>
    <w:rsid w:val="00E53A48"/>
    <w:rsid w:val="00E53B31"/>
    <w:rsid w:val="00E53C07"/>
    <w:rsid w:val="00E53C74"/>
    <w:rsid w:val="00E53DA2"/>
    <w:rsid w:val="00E53E2B"/>
    <w:rsid w:val="00E53E73"/>
    <w:rsid w:val="00E53F06"/>
    <w:rsid w:val="00E53F4B"/>
    <w:rsid w:val="00E54045"/>
    <w:rsid w:val="00E540ED"/>
    <w:rsid w:val="00E54155"/>
    <w:rsid w:val="00E54178"/>
    <w:rsid w:val="00E54288"/>
    <w:rsid w:val="00E542C4"/>
    <w:rsid w:val="00E54381"/>
    <w:rsid w:val="00E5446C"/>
    <w:rsid w:val="00E5466C"/>
    <w:rsid w:val="00E546D3"/>
    <w:rsid w:val="00E5486B"/>
    <w:rsid w:val="00E5491E"/>
    <w:rsid w:val="00E5493D"/>
    <w:rsid w:val="00E549C3"/>
    <w:rsid w:val="00E54A32"/>
    <w:rsid w:val="00E54A68"/>
    <w:rsid w:val="00E54BE4"/>
    <w:rsid w:val="00E54CB2"/>
    <w:rsid w:val="00E54DCF"/>
    <w:rsid w:val="00E54F59"/>
    <w:rsid w:val="00E54FA1"/>
    <w:rsid w:val="00E54FF3"/>
    <w:rsid w:val="00E550DD"/>
    <w:rsid w:val="00E55100"/>
    <w:rsid w:val="00E55108"/>
    <w:rsid w:val="00E551BA"/>
    <w:rsid w:val="00E55238"/>
    <w:rsid w:val="00E55346"/>
    <w:rsid w:val="00E5535E"/>
    <w:rsid w:val="00E5539F"/>
    <w:rsid w:val="00E553CA"/>
    <w:rsid w:val="00E55439"/>
    <w:rsid w:val="00E554A3"/>
    <w:rsid w:val="00E554CD"/>
    <w:rsid w:val="00E55594"/>
    <w:rsid w:val="00E55607"/>
    <w:rsid w:val="00E55614"/>
    <w:rsid w:val="00E55740"/>
    <w:rsid w:val="00E55742"/>
    <w:rsid w:val="00E55781"/>
    <w:rsid w:val="00E55920"/>
    <w:rsid w:val="00E5593B"/>
    <w:rsid w:val="00E55991"/>
    <w:rsid w:val="00E559AD"/>
    <w:rsid w:val="00E55A8C"/>
    <w:rsid w:val="00E55AD5"/>
    <w:rsid w:val="00E55CFF"/>
    <w:rsid w:val="00E55E2D"/>
    <w:rsid w:val="00E55E88"/>
    <w:rsid w:val="00E5600B"/>
    <w:rsid w:val="00E5608F"/>
    <w:rsid w:val="00E560E4"/>
    <w:rsid w:val="00E56290"/>
    <w:rsid w:val="00E562D6"/>
    <w:rsid w:val="00E562D7"/>
    <w:rsid w:val="00E562DF"/>
    <w:rsid w:val="00E562E9"/>
    <w:rsid w:val="00E563A3"/>
    <w:rsid w:val="00E565A4"/>
    <w:rsid w:val="00E56857"/>
    <w:rsid w:val="00E56882"/>
    <w:rsid w:val="00E568C0"/>
    <w:rsid w:val="00E569AC"/>
    <w:rsid w:val="00E569F9"/>
    <w:rsid w:val="00E56A0D"/>
    <w:rsid w:val="00E56AAF"/>
    <w:rsid w:val="00E56AB1"/>
    <w:rsid w:val="00E56D9E"/>
    <w:rsid w:val="00E56E48"/>
    <w:rsid w:val="00E56EB2"/>
    <w:rsid w:val="00E56FA3"/>
    <w:rsid w:val="00E57273"/>
    <w:rsid w:val="00E5729B"/>
    <w:rsid w:val="00E57429"/>
    <w:rsid w:val="00E57477"/>
    <w:rsid w:val="00E57646"/>
    <w:rsid w:val="00E576A0"/>
    <w:rsid w:val="00E576FA"/>
    <w:rsid w:val="00E57786"/>
    <w:rsid w:val="00E577C5"/>
    <w:rsid w:val="00E577F8"/>
    <w:rsid w:val="00E5786D"/>
    <w:rsid w:val="00E57973"/>
    <w:rsid w:val="00E57A4C"/>
    <w:rsid w:val="00E57A9F"/>
    <w:rsid w:val="00E57B19"/>
    <w:rsid w:val="00E57B91"/>
    <w:rsid w:val="00E57CCB"/>
    <w:rsid w:val="00E57D5B"/>
    <w:rsid w:val="00E57FE4"/>
    <w:rsid w:val="00E59DC8"/>
    <w:rsid w:val="00E5A379"/>
    <w:rsid w:val="00E602E1"/>
    <w:rsid w:val="00E60336"/>
    <w:rsid w:val="00E6061C"/>
    <w:rsid w:val="00E606BD"/>
    <w:rsid w:val="00E60770"/>
    <w:rsid w:val="00E6079C"/>
    <w:rsid w:val="00E607A1"/>
    <w:rsid w:val="00E607DB"/>
    <w:rsid w:val="00E60802"/>
    <w:rsid w:val="00E6080A"/>
    <w:rsid w:val="00E608DE"/>
    <w:rsid w:val="00E60B0E"/>
    <w:rsid w:val="00E60BC3"/>
    <w:rsid w:val="00E60C24"/>
    <w:rsid w:val="00E60D02"/>
    <w:rsid w:val="00E60DE1"/>
    <w:rsid w:val="00E60DEE"/>
    <w:rsid w:val="00E60E24"/>
    <w:rsid w:val="00E60FC9"/>
    <w:rsid w:val="00E60FEB"/>
    <w:rsid w:val="00E61272"/>
    <w:rsid w:val="00E614BB"/>
    <w:rsid w:val="00E615C7"/>
    <w:rsid w:val="00E61641"/>
    <w:rsid w:val="00E618A4"/>
    <w:rsid w:val="00E619AA"/>
    <w:rsid w:val="00E619AB"/>
    <w:rsid w:val="00E619FB"/>
    <w:rsid w:val="00E61B52"/>
    <w:rsid w:val="00E61DD4"/>
    <w:rsid w:val="00E61E73"/>
    <w:rsid w:val="00E61E87"/>
    <w:rsid w:val="00E61E97"/>
    <w:rsid w:val="00E61F83"/>
    <w:rsid w:val="00E620F2"/>
    <w:rsid w:val="00E621A1"/>
    <w:rsid w:val="00E62299"/>
    <w:rsid w:val="00E62444"/>
    <w:rsid w:val="00E624DC"/>
    <w:rsid w:val="00E6250E"/>
    <w:rsid w:val="00E6259B"/>
    <w:rsid w:val="00E626EB"/>
    <w:rsid w:val="00E626EF"/>
    <w:rsid w:val="00E6280B"/>
    <w:rsid w:val="00E62A6B"/>
    <w:rsid w:val="00E62B1C"/>
    <w:rsid w:val="00E62BCD"/>
    <w:rsid w:val="00E62C7F"/>
    <w:rsid w:val="00E62DA0"/>
    <w:rsid w:val="00E62DD1"/>
    <w:rsid w:val="00E62E5A"/>
    <w:rsid w:val="00E62F9D"/>
    <w:rsid w:val="00E62FDC"/>
    <w:rsid w:val="00E6303F"/>
    <w:rsid w:val="00E6306F"/>
    <w:rsid w:val="00E63198"/>
    <w:rsid w:val="00E63234"/>
    <w:rsid w:val="00E633A4"/>
    <w:rsid w:val="00E633B0"/>
    <w:rsid w:val="00E63569"/>
    <w:rsid w:val="00E6370C"/>
    <w:rsid w:val="00E63912"/>
    <w:rsid w:val="00E63972"/>
    <w:rsid w:val="00E63A5A"/>
    <w:rsid w:val="00E63C6D"/>
    <w:rsid w:val="00E63CA2"/>
    <w:rsid w:val="00E63D3A"/>
    <w:rsid w:val="00E63E2E"/>
    <w:rsid w:val="00E63E5C"/>
    <w:rsid w:val="00E63E5F"/>
    <w:rsid w:val="00E63E93"/>
    <w:rsid w:val="00E63EEC"/>
    <w:rsid w:val="00E64027"/>
    <w:rsid w:val="00E6404F"/>
    <w:rsid w:val="00E640AB"/>
    <w:rsid w:val="00E641C6"/>
    <w:rsid w:val="00E6423E"/>
    <w:rsid w:val="00E64557"/>
    <w:rsid w:val="00E64558"/>
    <w:rsid w:val="00E64589"/>
    <w:rsid w:val="00E6458A"/>
    <w:rsid w:val="00E645E3"/>
    <w:rsid w:val="00E646C8"/>
    <w:rsid w:val="00E647DC"/>
    <w:rsid w:val="00E648DC"/>
    <w:rsid w:val="00E649A8"/>
    <w:rsid w:val="00E649D8"/>
    <w:rsid w:val="00E64AA7"/>
    <w:rsid w:val="00E64C17"/>
    <w:rsid w:val="00E64FCD"/>
    <w:rsid w:val="00E64FD5"/>
    <w:rsid w:val="00E64FF1"/>
    <w:rsid w:val="00E65030"/>
    <w:rsid w:val="00E650AA"/>
    <w:rsid w:val="00E65148"/>
    <w:rsid w:val="00E65166"/>
    <w:rsid w:val="00E651B3"/>
    <w:rsid w:val="00E651DC"/>
    <w:rsid w:val="00E6522D"/>
    <w:rsid w:val="00E65314"/>
    <w:rsid w:val="00E65356"/>
    <w:rsid w:val="00E65412"/>
    <w:rsid w:val="00E6547F"/>
    <w:rsid w:val="00E654B9"/>
    <w:rsid w:val="00E65646"/>
    <w:rsid w:val="00E656FB"/>
    <w:rsid w:val="00E6584B"/>
    <w:rsid w:val="00E6593A"/>
    <w:rsid w:val="00E65AE2"/>
    <w:rsid w:val="00E65B8D"/>
    <w:rsid w:val="00E65BB1"/>
    <w:rsid w:val="00E65DB6"/>
    <w:rsid w:val="00E65DDA"/>
    <w:rsid w:val="00E65DF9"/>
    <w:rsid w:val="00E65DFC"/>
    <w:rsid w:val="00E6606C"/>
    <w:rsid w:val="00E663A8"/>
    <w:rsid w:val="00E663AE"/>
    <w:rsid w:val="00E66554"/>
    <w:rsid w:val="00E665FA"/>
    <w:rsid w:val="00E66662"/>
    <w:rsid w:val="00E6668B"/>
    <w:rsid w:val="00E666F9"/>
    <w:rsid w:val="00E66747"/>
    <w:rsid w:val="00E66766"/>
    <w:rsid w:val="00E6692F"/>
    <w:rsid w:val="00E6699C"/>
    <w:rsid w:val="00E669AB"/>
    <w:rsid w:val="00E66A4B"/>
    <w:rsid w:val="00E66ABF"/>
    <w:rsid w:val="00E66B39"/>
    <w:rsid w:val="00E66C19"/>
    <w:rsid w:val="00E66D39"/>
    <w:rsid w:val="00E66E9E"/>
    <w:rsid w:val="00E66EF4"/>
    <w:rsid w:val="00E66EF9"/>
    <w:rsid w:val="00E66F57"/>
    <w:rsid w:val="00E6708D"/>
    <w:rsid w:val="00E6724F"/>
    <w:rsid w:val="00E672BF"/>
    <w:rsid w:val="00E67385"/>
    <w:rsid w:val="00E673A3"/>
    <w:rsid w:val="00E673C1"/>
    <w:rsid w:val="00E67508"/>
    <w:rsid w:val="00E6756D"/>
    <w:rsid w:val="00E6757C"/>
    <w:rsid w:val="00E675DB"/>
    <w:rsid w:val="00E676E0"/>
    <w:rsid w:val="00E67702"/>
    <w:rsid w:val="00E6774F"/>
    <w:rsid w:val="00E6781B"/>
    <w:rsid w:val="00E67823"/>
    <w:rsid w:val="00E67855"/>
    <w:rsid w:val="00E679E5"/>
    <w:rsid w:val="00E67A7F"/>
    <w:rsid w:val="00E67AA9"/>
    <w:rsid w:val="00E67B47"/>
    <w:rsid w:val="00E67CBB"/>
    <w:rsid w:val="00E67EC1"/>
    <w:rsid w:val="00E67F02"/>
    <w:rsid w:val="00E67F49"/>
    <w:rsid w:val="00E67FA3"/>
    <w:rsid w:val="00E6A950"/>
    <w:rsid w:val="00E70038"/>
    <w:rsid w:val="00E700D6"/>
    <w:rsid w:val="00E70217"/>
    <w:rsid w:val="00E70280"/>
    <w:rsid w:val="00E70283"/>
    <w:rsid w:val="00E702C0"/>
    <w:rsid w:val="00E70314"/>
    <w:rsid w:val="00E70325"/>
    <w:rsid w:val="00E7035A"/>
    <w:rsid w:val="00E70455"/>
    <w:rsid w:val="00E704E2"/>
    <w:rsid w:val="00E70526"/>
    <w:rsid w:val="00E70533"/>
    <w:rsid w:val="00E705BC"/>
    <w:rsid w:val="00E705C5"/>
    <w:rsid w:val="00E708B7"/>
    <w:rsid w:val="00E708EF"/>
    <w:rsid w:val="00E7090A"/>
    <w:rsid w:val="00E70982"/>
    <w:rsid w:val="00E70A1B"/>
    <w:rsid w:val="00E70A33"/>
    <w:rsid w:val="00E70AC0"/>
    <w:rsid w:val="00E70B52"/>
    <w:rsid w:val="00E70D27"/>
    <w:rsid w:val="00E70D3C"/>
    <w:rsid w:val="00E70DB2"/>
    <w:rsid w:val="00E70ED0"/>
    <w:rsid w:val="00E70F80"/>
    <w:rsid w:val="00E71009"/>
    <w:rsid w:val="00E71011"/>
    <w:rsid w:val="00E71081"/>
    <w:rsid w:val="00E7130D"/>
    <w:rsid w:val="00E7149D"/>
    <w:rsid w:val="00E714AA"/>
    <w:rsid w:val="00E71518"/>
    <w:rsid w:val="00E71549"/>
    <w:rsid w:val="00E7176E"/>
    <w:rsid w:val="00E7183B"/>
    <w:rsid w:val="00E718BC"/>
    <w:rsid w:val="00E719C4"/>
    <w:rsid w:val="00E71B37"/>
    <w:rsid w:val="00E71B55"/>
    <w:rsid w:val="00E71C81"/>
    <w:rsid w:val="00E71C95"/>
    <w:rsid w:val="00E71DB3"/>
    <w:rsid w:val="00E71E26"/>
    <w:rsid w:val="00E71F22"/>
    <w:rsid w:val="00E71F2D"/>
    <w:rsid w:val="00E71F4B"/>
    <w:rsid w:val="00E720BF"/>
    <w:rsid w:val="00E72172"/>
    <w:rsid w:val="00E721C4"/>
    <w:rsid w:val="00E721E0"/>
    <w:rsid w:val="00E721E4"/>
    <w:rsid w:val="00E7222F"/>
    <w:rsid w:val="00E72236"/>
    <w:rsid w:val="00E72370"/>
    <w:rsid w:val="00E72671"/>
    <w:rsid w:val="00E7273C"/>
    <w:rsid w:val="00E72743"/>
    <w:rsid w:val="00E7287B"/>
    <w:rsid w:val="00E72934"/>
    <w:rsid w:val="00E72A83"/>
    <w:rsid w:val="00E72AA5"/>
    <w:rsid w:val="00E72BE7"/>
    <w:rsid w:val="00E72C5F"/>
    <w:rsid w:val="00E72C7D"/>
    <w:rsid w:val="00E72CC3"/>
    <w:rsid w:val="00E72E0A"/>
    <w:rsid w:val="00E72F34"/>
    <w:rsid w:val="00E72F55"/>
    <w:rsid w:val="00E73014"/>
    <w:rsid w:val="00E7301E"/>
    <w:rsid w:val="00E73193"/>
    <w:rsid w:val="00E731CF"/>
    <w:rsid w:val="00E7325F"/>
    <w:rsid w:val="00E732C3"/>
    <w:rsid w:val="00E73334"/>
    <w:rsid w:val="00E7335E"/>
    <w:rsid w:val="00E735D1"/>
    <w:rsid w:val="00E735ED"/>
    <w:rsid w:val="00E73609"/>
    <w:rsid w:val="00E73629"/>
    <w:rsid w:val="00E73762"/>
    <w:rsid w:val="00E737E4"/>
    <w:rsid w:val="00E737EF"/>
    <w:rsid w:val="00E738BA"/>
    <w:rsid w:val="00E73A9E"/>
    <w:rsid w:val="00E73AB4"/>
    <w:rsid w:val="00E73B6E"/>
    <w:rsid w:val="00E73C6C"/>
    <w:rsid w:val="00E73D6F"/>
    <w:rsid w:val="00E73E85"/>
    <w:rsid w:val="00E73EF9"/>
    <w:rsid w:val="00E73F0B"/>
    <w:rsid w:val="00E7400D"/>
    <w:rsid w:val="00E74043"/>
    <w:rsid w:val="00E74403"/>
    <w:rsid w:val="00E74447"/>
    <w:rsid w:val="00E7444E"/>
    <w:rsid w:val="00E7448A"/>
    <w:rsid w:val="00E744F2"/>
    <w:rsid w:val="00E74523"/>
    <w:rsid w:val="00E7453C"/>
    <w:rsid w:val="00E7455B"/>
    <w:rsid w:val="00E745F3"/>
    <w:rsid w:val="00E7474C"/>
    <w:rsid w:val="00E74795"/>
    <w:rsid w:val="00E747F9"/>
    <w:rsid w:val="00E74822"/>
    <w:rsid w:val="00E748AE"/>
    <w:rsid w:val="00E74945"/>
    <w:rsid w:val="00E749CA"/>
    <w:rsid w:val="00E749F8"/>
    <w:rsid w:val="00E74A33"/>
    <w:rsid w:val="00E74AAC"/>
    <w:rsid w:val="00E74AE8"/>
    <w:rsid w:val="00E74B40"/>
    <w:rsid w:val="00E74C5D"/>
    <w:rsid w:val="00E74D4A"/>
    <w:rsid w:val="00E74D51"/>
    <w:rsid w:val="00E74E02"/>
    <w:rsid w:val="00E74ECF"/>
    <w:rsid w:val="00E75017"/>
    <w:rsid w:val="00E750A1"/>
    <w:rsid w:val="00E75131"/>
    <w:rsid w:val="00E75140"/>
    <w:rsid w:val="00E752DC"/>
    <w:rsid w:val="00E752DF"/>
    <w:rsid w:val="00E75357"/>
    <w:rsid w:val="00E75418"/>
    <w:rsid w:val="00E7541B"/>
    <w:rsid w:val="00E75468"/>
    <w:rsid w:val="00E7548F"/>
    <w:rsid w:val="00E754E2"/>
    <w:rsid w:val="00E754F2"/>
    <w:rsid w:val="00E7554E"/>
    <w:rsid w:val="00E757B6"/>
    <w:rsid w:val="00E757DF"/>
    <w:rsid w:val="00E75816"/>
    <w:rsid w:val="00E758C6"/>
    <w:rsid w:val="00E7598E"/>
    <w:rsid w:val="00E75A90"/>
    <w:rsid w:val="00E75AAD"/>
    <w:rsid w:val="00E75AD2"/>
    <w:rsid w:val="00E75B2C"/>
    <w:rsid w:val="00E75B44"/>
    <w:rsid w:val="00E75D44"/>
    <w:rsid w:val="00E75E14"/>
    <w:rsid w:val="00E75F2D"/>
    <w:rsid w:val="00E75F90"/>
    <w:rsid w:val="00E75F99"/>
    <w:rsid w:val="00E76002"/>
    <w:rsid w:val="00E762A0"/>
    <w:rsid w:val="00E7630C"/>
    <w:rsid w:val="00E764C4"/>
    <w:rsid w:val="00E765B7"/>
    <w:rsid w:val="00E765B8"/>
    <w:rsid w:val="00E766F7"/>
    <w:rsid w:val="00E76885"/>
    <w:rsid w:val="00E768CC"/>
    <w:rsid w:val="00E769FF"/>
    <w:rsid w:val="00E76A1A"/>
    <w:rsid w:val="00E76C6C"/>
    <w:rsid w:val="00E76D1A"/>
    <w:rsid w:val="00E76D4A"/>
    <w:rsid w:val="00E76D56"/>
    <w:rsid w:val="00E76E47"/>
    <w:rsid w:val="00E76E4C"/>
    <w:rsid w:val="00E76EDA"/>
    <w:rsid w:val="00E76EF1"/>
    <w:rsid w:val="00E76F5F"/>
    <w:rsid w:val="00E76F7B"/>
    <w:rsid w:val="00E76FF2"/>
    <w:rsid w:val="00E77040"/>
    <w:rsid w:val="00E7705E"/>
    <w:rsid w:val="00E771DF"/>
    <w:rsid w:val="00E771F4"/>
    <w:rsid w:val="00E7736B"/>
    <w:rsid w:val="00E773A5"/>
    <w:rsid w:val="00E77499"/>
    <w:rsid w:val="00E774B1"/>
    <w:rsid w:val="00E7757E"/>
    <w:rsid w:val="00E7768C"/>
    <w:rsid w:val="00E77727"/>
    <w:rsid w:val="00E77741"/>
    <w:rsid w:val="00E777B7"/>
    <w:rsid w:val="00E778C9"/>
    <w:rsid w:val="00E77900"/>
    <w:rsid w:val="00E77905"/>
    <w:rsid w:val="00E779BF"/>
    <w:rsid w:val="00E779C0"/>
    <w:rsid w:val="00E77A92"/>
    <w:rsid w:val="00E77BBA"/>
    <w:rsid w:val="00E77C71"/>
    <w:rsid w:val="00E77CAA"/>
    <w:rsid w:val="00E77D67"/>
    <w:rsid w:val="00E77E0B"/>
    <w:rsid w:val="00E77F98"/>
    <w:rsid w:val="00E77FA9"/>
    <w:rsid w:val="00E77FFE"/>
    <w:rsid w:val="00E8006D"/>
    <w:rsid w:val="00E8008F"/>
    <w:rsid w:val="00E8021B"/>
    <w:rsid w:val="00E80229"/>
    <w:rsid w:val="00E80293"/>
    <w:rsid w:val="00E803AC"/>
    <w:rsid w:val="00E80418"/>
    <w:rsid w:val="00E805CA"/>
    <w:rsid w:val="00E807AF"/>
    <w:rsid w:val="00E809B8"/>
    <w:rsid w:val="00E80A45"/>
    <w:rsid w:val="00E80BA3"/>
    <w:rsid w:val="00E80BB6"/>
    <w:rsid w:val="00E80C09"/>
    <w:rsid w:val="00E80D4B"/>
    <w:rsid w:val="00E80E0D"/>
    <w:rsid w:val="00E80E2F"/>
    <w:rsid w:val="00E80E9E"/>
    <w:rsid w:val="00E80EB9"/>
    <w:rsid w:val="00E80FC1"/>
    <w:rsid w:val="00E810F2"/>
    <w:rsid w:val="00E81134"/>
    <w:rsid w:val="00E8113A"/>
    <w:rsid w:val="00E81278"/>
    <w:rsid w:val="00E812FE"/>
    <w:rsid w:val="00E8148E"/>
    <w:rsid w:val="00E81597"/>
    <w:rsid w:val="00E816DA"/>
    <w:rsid w:val="00E81783"/>
    <w:rsid w:val="00E817AA"/>
    <w:rsid w:val="00E819AF"/>
    <w:rsid w:val="00E81AAA"/>
    <w:rsid w:val="00E81B84"/>
    <w:rsid w:val="00E81BA7"/>
    <w:rsid w:val="00E81BED"/>
    <w:rsid w:val="00E81C01"/>
    <w:rsid w:val="00E81CA0"/>
    <w:rsid w:val="00E81D3B"/>
    <w:rsid w:val="00E81D7A"/>
    <w:rsid w:val="00E81DAB"/>
    <w:rsid w:val="00E81F48"/>
    <w:rsid w:val="00E81FC8"/>
    <w:rsid w:val="00E81FFA"/>
    <w:rsid w:val="00E824BA"/>
    <w:rsid w:val="00E82729"/>
    <w:rsid w:val="00E8277A"/>
    <w:rsid w:val="00E8292A"/>
    <w:rsid w:val="00E82963"/>
    <w:rsid w:val="00E829F8"/>
    <w:rsid w:val="00E82A8E"/>
    <w:rsid w:val="00E82C5B"/>
    <w:rsid w:val="00E82D1A"/>
    <w:rsid w:val="00E82D43"/>
    <w:rsid w:val="00E82D4F"/>
    <w:rsid w:val="00E82DED"/>
    <w:rsid w:val="00E82EBD"/>
    <w:rsid w:val="00E82F82"/>
    <w:rsid w:val="00E82FB3"/>
    <w:rsid w:val="00E8306C"/>
    <w:rsid w:val="00E8306F"/>
    <w:rsid w:val="00E830FA"/>
    <w:rsid w:val="00E83153"/>
    <w:rsid w:val="00E83329"/>
    <w:rsid w:val="00E833F9"/>
    <w:rsid w:val="00E8352F"/>
    <w:rsid w:val="00E83557"/>
    <w:rsid w:val="00E8371F"/>
    <w:rsid w:val="00E838C3"/>
    <w:rsid w:val="00E83ACF"/>
    <w:rsid w:val="00E83AF3"/>
    <w:rsid w:val="00E83C11"/>
    <w:rsid w:val="00E83CF6"/>
    <w:rsid w:val="00E83EC3"/>
    <w:rsid w:val="00E83EE6"/>
    <w:rsid w:val="00E83FD0"/>
    <w:rsid w:val="00E84053"/>
    <w:rsid w:val="00E840BC"/>
    <w:rsid w:val="00E840BD"/>
    <w:rsid w:val="00E840E5"/>
    <w:rsid w:val="00E84113"/>
    <w:rsid w:val="00E8417A"/>
    <w:rsid w:val="00E841AF"/>
    <w:rsid w:val="00E842D3"/>
    <w:rsid w:val="00E8443B"/>
    <w:rsid w:val="00E84493"/>
    <w:rsid w:val="00E84526"/>
    <w:rsid w:val="00E845C9"/>
    <w:rsid w:val="00E84634"/>
    <w:rsid w:val="00E8481A"/>
    <w:rsid w:val="00E848CA"/>
    <w:rsid w:val="00E84949"/>
    <w:rsid w:val="00E84973"/>
    <w:rsid w:val="00E84AA4"/>
    <w:rsid w:val="00E84AE4"/>
    <w:rsid w:val="00E84BC1"/>
    <w:rsid w:val="00E84C8A"/>
    <w:rsid w:val="00E84CBB"/>
    <w:rsid w:val="00E84D44"/>
    <w:rsid w:val="00E84D9F"/>
    <w:rsid w:val="00E84DDF"/>
    <w:rsid w:val="00E84E7F"/>
    <w:rsid w:val="00E85079"/>
    <w:rsid w:val="00E852AB"/>
    <w:rsid w:val="00E85312"/>
    <w:rsid w:val="00E853FF"/>
    <w:rsid w:val="00E85459"/>
    <w:rsid w:val="00E85469"/>
    <w:rsid w:val="00E8555F"/>
    <w:rsid w:val="00E85567"/>
    <w:rsid w:val="00E85585"/>
    <w:rsid w:val="00E85676"/>
    <w:rsid w:val="00E856C4"/>
    <w:rsid w:val="00E856D8"/>
    <w:rsid w:val="00E857BD"/>
    <w:rsid w:val="00E85925"/>
    <w:rsid w:val="00E85A6B"/>
    <w:rsid w:val="00E85A86"/>
    <w:rsid w:val="00E85B67"/>
    <w:rsid w:val="00E85D48"/>
    <w:rsid w:val="00E86127"/>
    <w:rsid w:val="00E862D2"/>
    <w:rsid w:val="00E864B8"/>
    <w:rsid w:val="00E864E5"/>
    <w:rsid w:val="00E86571"/>
    <w:rsid w:val="00E8667F"/>
    <w:rsid w:val="00E866BB"/>
    <w:rsid w:val="00E86891"/>
    <w:rsid w:val="00E86894"/>
    <w:rsid w:val="00E868E5"/>
    <w:rsid w:val="00E86A1C"/>
    <w:rsid w:val="00E86A5C"/>
    <w:rsid w:val="00E86B09"/>
    <w:rsid w:val="00E86B75"/>
    <w:rsid w:val="00E86CFE"/>
    <w:rsid w:val="00E86D0E"/>
    <w:rsid w:val="00E86D67"/>
    <w:rsid w:val="00E86F6B"/>
    <w:rsid w:val="00E870EC"/>
    <w:rsid w:val="00E8712A"/>
    <w:rsid w:val="00E8713E"/>
    <w:rsid w:val="00E8715D"/>
    <w:rsid w:val="00E87193"/>
    <w:rsid w:val="00E87252"/>
    <w:rsid w:val="00E87343"/>
    <w:rsid w:val="00E87358"/>
    <w:rsid w:val="00E87421"/>
    <w:rsid w:val="00E874C0"/>
    <w:rsid w:val="00E876CE"/>
    <w:rsid w:val="00E87794"/>
    <w:rsid w:val="00E87832"/>
    <w:rsid w:val="00E878D2"/>
    <w:rsid w:val="00E87B90"/>
    <w:rsid w:val="00E87BFD"/>
    <w:rsid w:val="00E87C4F"/>
    <w:rsid w:val="00E87D1F"/>
    <w:rsid w:val="00E87D7A"/>
    <w:rsid w:val="00E87DC5"/>
    <w:rsid w:val="00E87E99"/>
    <w:rsid w:val="00E87F14"/>
    <w:rsid w:val="00E87FAD"/>
    <w:rsid w:val="00E9005F"/>
    <w:rsid w:val="00E9025C"/>
    <w:rsid w:val="00E90459"/>
    <w:rsid w:val="00E90561"/>
    <w:rsid w:val="00E905E2"/>
    <w:rsid w:val="00E9065B"/>
    <w:rsid w:val="00E9068D"/>
    <w:rsid w:val="00E9076D"/>
    <w:rsid w:val="00E90787"/>
    <w:rsid w:val="00E90809"/>
    <w:rsid w:val="00E90836"/>
    <w:rsid w:val="00E908B3"/>
    <w:rsid w:val="00E908D2"/>
    <w:rsid w:val="00E90946"/>
    <w:rsid w:val="00E90A5E"/>
    <w:rsid w:val="00E90AA5"/>
    <w:rsid w:val="00E90ADC"/>
    <w:rsid w:val="00E90BA9"/>
    <w:rsid w:val="00E90C6D"/>
    <w:rsid w:val="00E90DB3"/>
    <w:rsid w:val="00E90DEC"/>
    <w:rsid w:val="00E90EF5"/>
    <w:rsid w:val="00E9105E"/>
    <w:rsid w:val="00E91151"/>
    <w:rsid w:val="00E911B5"/>
    <w:rsid w:val="00E91233"/>
    <w:rsid w:val="00E91254"/>
    <w:rsid w:val="00E913B2"/>
    <w:rsid w:val="00E9141F"/>
    <w:rsid w:val="00E9142A"/>
    <w:rsid w:val="00E91471"/>
    <w:rsid w:val="00E914D8"/>
    <w:rsid w:val="00E914F2"/>
    <w:rsid w:val="00E91588"/>
    <w:rsid w:val="00E9171C"/>
    <w:rsid w:val="00E9195D"/>
    <w:rsid w:val="00E919DC"/>
    <w:rsid w:val="00E91AA1"/>
    <w:rsid w:val="00E91AD1"/>
    <w:rsid w:val="00E91BC2"/>
    <w:rsid w:val="00E91D0C"/>
    <w:rsid w:val="00E91EF2"/>
    <w:rsid w:val="00E91F41"/>
    <w:rsid w:val="00E92038"/>
    <w:rsid w:val="00E92078"/>
    <w:rsid w:val="00E920BE"/>
    <w:rsid w:val="00E9215A"/>
    <w:rsid w:val="00E921D6"/>
    <w:rsid w:val="00E92210"/>
    <w:rsid w:val="00E92236"/>
    <w:rsid w:val="00E92377"/>
    <w:rsid w:val="00E92391"/>
    <w:rsid w:val="00E92541"/>
    <w:rsid w:val="00E92737"/>
    <w:rsid w:val="00E927D0"/>
    <w:rsid w:val="00E92864"/>
    <w:rsid w:val="00E928C5"/>
    <w:rsid w:val="00E929C2"/>
    <w:rsid w:val="00E92A24"/>
    <w:rsid w:val="00E92AD6"/>
    <w:rsid w:val="00E92AE8"/>
    <w:rsid w:val="00E92B49"/>
    <w:rsid w:val="00E92B4B"/>
    <w:rsid w:val="00E92BBA"/>
    <w:rsid w:val="00E92BC5"/>
    <w:rsid w:val="00E92C3C"/>
    <w:rsid w:val="00E92C90"/>
    <w:rsid w:val="00E92D2D"/>
    <w:rsid w:val="00E92E2C"/>
    <w:rsid w:val="00E92F01"/>
    <w:rsid w:val="00E93046"/>
    <w:rsid w:val="00E9308D"/>
    <w:rsid w:val="00E93094"/>
    <w:rsid w:val="00E930EA"/>
    <w:rsid w:val="00E9324C"/>
    <w:rsid w:val="00E93278"/>
    <w:rsid w:val="00E932B5"/>
    <w:rsid w:val="00E932CB"/>
    <w:rsid w:val="00E9335B"/>
    <w:rsid w:val="00E933C7"/>
    <w:rsid w:val="00E933F2"/>
    <w:rsid w:val="00E93405"/>
    <w:rsid w:val="00E93523"/>
    <w:rsid w:val="00E93544"/>
    <w:rsid w:val="00E9354A"/>
    <w:rsid w:val="00E9361F"/>
    <w:rsid w:val="00E937DC"/>
    <w:rsid w:val="00E9390C"/>
    <w:rsid w:val="00E93AC3"/>
    <w:rsid w:val="00E93AF0"/>
    <w:rsid w:val="00E93B6B"/>
    <w:rsid w:val="00E93C31"/>
    <w:rsid w:val="00E93CA8"/>
    <w:rsid w:val="00E93D7F"/>
    <w:rsid w:val="00E93EB2"/>
    <w:rsid w:val="00E93EDB"/>
    <w:rsid w:val="00E940B4"/>
    <w:rsid w:val="00E9419B"/>
    <w:rsid w:val="00E941EA"/>
    <w:rsid w:val="00E9424E"/>
    <w:rsid w:val="00E9426A"/>
    <w:rsid w:val="00E94391"/>
    <w:rsid w:val="00E943EB"/>
    <w:rsid w:val="00E94577"/>
    <w:rsid w:val="00E94713"/>
    <w:rsid w:val="00E947FD"/>
    <w:rsid w:val="00E94829"/>
    <w:rsid w:val="00E9483E"/>
    <w:rsid w:val="00E94885"/>
    <w:rsid w:val="00E949DF"/>
    <w:rsid w:val="00E94A19"/>
    <w:rsid w:val="00E94A8A"/>
    <w:rsid w:val="00E94B94"/>
    <w:rsid w:val="00E94C9F"/>
    <w:rsid w:val="00E94D8D"/>
    <w:rsid w:val="00E94EE7"/>
    <w:rsid w:val="00E94EEB"/>
    <w:rsid w:val="00E95339"/>
    <w:rsid w:val="00E95632"/>
    <w:rsid w:val="00E95682"/>
    <w:rsid w:val="00E956BD"/>
    <w:rsid w:val="00E9570B"/>
    <w:rsid w:val="00E95732"/>
    <w:rsid w:val="00E95A67"/>
    <w:rsid w:val="00E95B51"/>
    <w:rsid w:val="00E95C08"/>
    <w:rsid w:val="00E95C66"/>
    <w:rsid w:val="00E95C96"/>
    <w:rsid w:val="00E95CC4"/>
    <w:rsid w:val="00E95CC6"/>
    <w:rsid w:val="00E95CFB"/>
    <w:rsid w:val="00E95DA2"/>
    <w:rsid w:val="00E95ED2"/>
    <w:rsid w:val="00E95F28"/>
    <w:rsid w:val="00E95F3E"/>
    <w:rsid w:val="00E95F40"/>
    <w:rsid w:val="00E95F4D"/>
    <w:rsid w:val="00E96022"/>
    <w:rsid w:val="00E9605A"/>
    <w:rsid w:val="00E961AB"/>
    <w:rsid w:val="00E964B3"/>
    <w:rsid w:val="00E96547"/>
    <w:rsid w:val="00E966FE"/>
    <w:rsid w:val="00E9679F"/>
    <w:rsid w:val="00E967FB"/>
    <w:rsid w:val="00E96882"/>
    <w:rsid w:val="00E96895"/>
    <w:rsid w:val="00E968B6"/>
    <w:rsid w:val="00E968EE"/>
    <w:rsid w:val="00E96911"/>
    <w:rsid w:val="00E9694C"/>
    <w:rsid w:val="00E969CD"/>
    <w:rsid w:val="00E969D4"/>
    <w:rsid w:val="00E96AC9"/>
    <w:rsid w:val="00E96BD1"/>
    <w:rsid w:val="00E96BDD"/>
    <w:rsid w:val="00E96CC2"/>
    <w:rsid w:val="00E96D70"/>
    <w:rsid w:val="00E96E04"/>
    <w:rsid w:val="00E9716D"/>
    <w:rsid w:val="00E97254"/>
    <w:rsid w:val="00E972A6"/>
    <w:rsid w:val="00E97415"/>
    <w:rsid w:val="00E975A3"/>
    <w:rsid w:val="00E976CD"/>
    <w:rsid w:val="00E976E7"/>
    <w:rsid w:val="00E97902"/>
    <w:rsid w:val="00E97980"/>
    <w:rsid w:val="00E979C5"/>
    <w:rsid w:val="00E97AB0"/>
    <w:rsid w:val="00E97E42"/>
    <w:rsid w:val="00E97E98"/>
    <w:rsid w:val="00E97F06"/>
    <w:rsid w:val="00E97F5D"/>
    <w:rsid w:val="00EA018D"/>
    <w:rsid w:val="00EA01EB"/>
    <w:rsid w:val="00EA0293"/>
    <w:rsid w:val="00EA02C0"/>
    <w:rsid w:val="00EA0304"/>
    <w:rsid w:val="00EA034D"/>
    <w:rsid w:val="00EA03B8"/>
    <w:rsid w:val="00EA04C5"/>
    <w:rsid w:val="00EA05B8"/>
    <w:rsid w:val="00EA05D0"/>
    <w:rsid w:val="00EA07BE"/>
    <w:rsid w:val="00EA0869"/>
    <w:rsid w:val="00EA08C9"/>
    <w:rsid w:val="00EA0A4F"/>
    <w:rsid w:val="00EA0A90"/>
    <w:rsid w:val="00EA0B9A"/>
    <w:rsid w:val="00EA0CCC"/>
    <w:rsid w:val="00EA0CFA"/>
    <w:rsid w:val="00EA0F39"/>
    <w:rsid w:val="00EA0F58"/>
    <w:rsid w:val="00EA0FDD"/>
    <w:rsid w:val="00EA10E6"/>
    <w:rsid w:val="00EA1139"/>
    <w:rsid w:val="00EA11E4"/>
    <w:rsid w:val="00EA1221"/>
    <w:rsid w:val="00EA1358"/>
    <w:rsid w:val="00EA1517"/>
    <w:rsid w:val="00EA15EE"/>
    <w:rsid w:val="00EA167E"/>
    <w:rsid w:val="00EA1AD5"/>
    <w:rsid w:val="00EA1C59"/>
    <w:rsid w:val="00EA1C86"/>
    <w:rsid w:val="00EA1C88"/>
    <w:rsid w:val="00EA1CE6"/>
    <w:rsid w:val="00EA1D71"/>
    <w:rsid w:val="00EA1E4E"/>
    <w:rsid w:val="00EA1E5A"/>
    <w:rsid w:val="00EA1EEC"/>
    <w:rsid w:val="00EA1F21"/>
    <w:rsid w:val="00EA1F35"/>
    <w:rsid w:val="00EA1F96"/>
    <w:rsid w:val="00EA20C4"/>
    <w:rsid w:val="00EA2136"/>
    <w:rsid w:val="00EA2191"/>
    <w:rsid w:val="00EA21E0"/>
    <w:rsid w:val="00EA2446"/>
    <w:rsid w:val="00EA24E9"/>
    <w:rsid w:val="00EA268A"/>
    <w:rsid w:val="00EA2754"/>
    <w:rsid w:val="00EA282A"/>
    <w:rsid w:val="00EA2878"/>
    <w:rsid w:val="00EA28E8"/>
    <w:rsid w:val="00EA29B8"/>
    <w:rsid w:val="00EA2A76"/>
    <w:rsid w:val="00EA2B4F"/>
    <w:rsid w:val="00EA2BB6"/>
    <w:rsid w:val="00EA2D05"/>
    <w:rsid w:val="00EA2D06"/>
    <w:rsid w:val="00EA2DC8"/>
    <w:rsid w:val="00EA2F1F"/>
    <w:rsid w:val="00EA2F46"/>
    <w:rsid w:val="00EA2F4B"/>
    <w:rsid w:val="00EA2F8D"/>
    <w:rsid w:val="00EA3025"/>
    <w:rsid w:val="00EA3076"/>
    <w:rsid w:val="00EA3135"/>
    <w:rsid w:val="00EA32A3"/>
    <w:rsid w:val="00EA32C0"/>
    <w:rsid w:val="00EA32C4"/>
    <w:rsid w:val="00EA32CB"/>
    <w:rsid w:val="00EA3475"/>
    <w:rsid w:val="00EA34D0"/>
    <w:rsid w:val="00EA35F1"/>
    <w:rsid w:val="00EA384E"/>
    <w:rsid w:val="00EA38AD"/>
    <w:rsid w:val="00EA39F7"/>
    <w:rsid w:val="00EA3B4E"/>
    <w:rsid w:val="00EA3BD5"/>
    <w:rsid w:val="00EA3C64"/>
    <w:rsid w:val="00EA3CB2"/>
    <w:rsid w:val="00EA3DAB"/>
    <w:rsid w:val="00EA40C2"/>
    <w:rsid w:val="00EA40F0"/>
    <w:rsid w:val="00EA4188"/>
    <w:rsid w:val="00EA418C"/>
    <w:rsid w:val="00EA436E"/>
    <w:rsid w:val="00EA449C"/>
    <w:rsid w:val="00EA44E4"/>
    <w:rsid w:val="00EA45D2"/>
    <w:rsid w:val="00EA495E"/>
    <w:rsid w:val="00EA49A4"/>
    <w:rsid w:val="00EA4A69"/>
    <w:rsid w:val="00EA4B1F"/>
    <w:rsid w:val="00EA4BA7"/>
    <w:rsid w:val="00EA4BFD"/>
    <w:rsid w:val="00EA4FBC"/>
    <w:rsid w:val="00EA4FEB"/>
    <w:rsid w:val="00EA50E1"/>
    <w:rsid w:val="00EA514D"/>
    <w:rsid w:val="00EA544E"/>
    <w:rsid w:val="00EA54D6"/>
    <w:rsid w:val="00EA55C7"/>
    <w:rsid w:val="00EA5617"/>
    <w:rsid w:val="00EA5682"/>
    <w:rsid w:val="00EA56EB"/>
    <w:rsid w:val="00EA5755"/>
    <w:rsid w:val="00EA5850"/>
    <w:rsid w:val="00EA5960"/>
    <w:rsid w:val="00EA5B47"/>
    <w:rsid w:val="00EA5B62"/>
    <w:rsid w:val="00EA5C23"/>
    <w:rsid w:val="00EA5D0B"/>
    <w:rsid w:val="00EA5E7B"/>
    <w:rsid w:val="00EA5EF7"/>
    <w:rsid w:val="00EA6055"/>
    <w:rsid w:val="00EA6064"/>
    <w:rsid w:val="00EA6186"/>
    <w:rsid w:val="00EA61E7"/>
    <w:rsid w:val="00EA62F1"/>
    <w:rsid w:val="00EA6450"/>
    <w:rsid w:val="00EA64F3"/>
    <w:rsid w:val="00EA6552"/>
    <w:rsid w:val="00EA68EB"/>
    <w:rsid w:val="00EA6981"/>
    <w:rsid w:val="00EA69D0"/>
    <w:rsid w:val="00EA6C0E"/>
    <w:rsid w:val="00EA6CBD"/>
    <w:rsid w:val="00EA6CE4"/>
    <w:rsid w:val="00EA6DA6"/>
    <w:rsid w:val="00EA6EBC"/>
    <w:rsid w:val="00EA6EC1"/>
    <w:rsid w:val="00EA6F48"/>
    <w:rsid w:val="00EA6F63"/>
    <w:rsid w:val="00EA702E"/>
    <w:rsid w:val="00EA7072"/>
    <w:rsid w:val="00EA70B5"/>
    <w:rsid w:val="00EA71BC"/>
    <w:rsid w:val="00EA7344"/>
    <w:rsid w:val="00EA7426"/>
    <w:rsid w:val="00EA7454"/>
    <w:rsid w:val="00EA7484"/>
    <w:rsid w:val="00EA7638"/>
    <w:rsid w:val="00EA769B"/>
    <w:rsid w:val="00EA778E"/>
    <w:rsid w:val="00EA780A"/>
    <w:rsid w:val="00EA788F"/>
    <w:rsid w:val="00EA789A"/>
    <w:rsid w:val="00EA78B4"/>
    <w:rsid w:val="00EA7947"/>
    <w:rsid w:val="00EA79A6"/>
    <w:rsid w:val="00EA79C7"/>
    <w:rsid w:val="00EA7A2F"/>
    <w:rsid w:val="00EA7BF0"/>
    <w:rsid w:val="00EA7C0B"/>
    <w:rsid w:val="00EA7DF4"/>
    <w:rsid w:val="00EA7E66"/>
    <w:rsid w:val="00EA7E8F"/>
    <w:rsid w:val="00EA7EA6"/>
    <w:rsid w:val="00EA7EBD"/>
    <w:rsid w:val="00EA7EC9"/>
    <w:rsid w:val="00EB0062"/>
    <w:rsid w:val="00EB00CD"/>
    <w:rsid w:val="00EB00F5"/>
    <w:rsid w:val="00EB00F7"/>
    <w:rsid w:val="00EB0133"/>
    <w:rsid w:val="00EB020B"/>
    <w:rsid w:val="00EB036A"/>
    <w:rsid w:val="00EB0475"/>
    <w:rsid w:val="00EB056D"/>
    <w:rsid w:val="00EB0652"/>
    <w:rsid w:val="00EB0691"/>
    <w:rsid w:val="00EB078B"/>
    <w:rsid w:val="00EB08F7"/>
    <w:rsid w:val="00EB0902"/>
    <w:rsid w:val="00EB0A9E"/>
    <w:rsid w:val="00EB0AA4"/>
    <w:rsid w:val="00EB0AE6"/>
    <w:rsid w:val="00EB0CC1"/>
    <w:rsid w:val="00EB0D85"/>
    <w:rsid w:val="00EB0DB5"/>
    <w:rsid w:val="00EB0DC2"/>
    <w:rsid w:val="00EB0F3E"/>
    <w:rsid w:val="00EB0F6B"/>
    <w:rsid w:val="00EB1092"/>
    <w:rsid w:val="00EB10EF"/>
    <w:rsid w:val="00EB10FD"/>
    <w:rsid w:val="00EB1106"/>
    <w:rsid w:val="00EB1178"/>
    <w:rsid w:val="00EB120F"/>
    <w:rsid w:val="00EB123F"/>
    <w:rsid w:val="00EB12BF"/>
    <w:rsid w:val="00EB134A"/>
    <w:rsid w:val="00EB136F"/>
    <w:rsid w:val="00EB13B3"/>
    <w:rsid w:val="00EB13B5"/>
    <w:rsid w:val="00EB1448"/>
    <w:rsid w:val="00EB14C5"/>
    <w:rsid w:val="00EB152B"/>
    <w:rsid w:val="00EB164A"/>
    <w:rsid w:val="00EB16BE"/>
    <w:rsid w:val="00EB17CA"/>
    <w:rsid w:val="00EB17E7"/>
    <w:rsid w:val="00EB17EA"/>
    <w:rsid w:val="00EB17FD"/>
    <w:rsid w:val="00EB185A"/>
    <w:rsid w:val="00EB18E3"/>
    <w:rsid w:val="00EB1936"/>
    <w:rsid w:val="00EB19A7"/>
    <w:rsid w:val="00EB1B42"/>
    <w:rsid w:val="00EB1D1C"/>
    <w:rsid w:val="00EB1DC6"/>
    <w:rsid w:val="00EB1F0F"/>
    <w:rsid w:val="00EB210E"/>
    <w:rsid w:val="00EB2132"/>
    <w:rsid w:val="00EB21F5"/>
    <w:rsid w:val="00EB2333"/>
    <w:rsid w:val="00EB24E6"/>
    <w:rsid w:val="00EB2518"/>
    <w:rsid w:val="00EB2534"/>
    <w:rsid w:val="00EB258A"/>
    <w:rsid w:val="00EB2616"/>
    <w:rsid w:val="00EB26A0"/>
    <w:rsid w:val="00EB278C"/>
    <w:rsid w:val="00EB282F"/>
    <w:rsid w:val="00EB2889"/>
    <w:rsid w:val="00EB2907"/>
    <w:rsid w:val="00EB29B2"/>
    <w:rsid w:val="00EB29BF"/>
    <w:rsid w:val="00EB2D6A"/>
    <w:rsid w:val="00EB2E65"/>
    <w:rsid w:val="00EB2E8A"/>
    <w:rsid w:val="00EB3090"/>
    <w:rsid w:val="00EB3166"/>
    <w:rsid w:val="00EB31C0"/>
    <w:rsid w:val="00EB3357"/>
    <w:rsid w:val="00EB34E5"/>
    <w:rsid w:val="00EB363B"/>
    <w:rsid w:val="00EB3815"/>
    <w:rsid w:val="00EB3851"/>
    <w:rsid w:val="00EB39C1"/>
    <w:rsid w:val="00EB3B5A"/>
    <w:rsid w:val="00EB3B60"/>
    <w:rsid w:val="00EB3B82"/>
    <w:rsid w:val="00EB3BA5"/>
    <w:rsid w:val="00EB3BFD"/>
    <w:rsid w:val="00EB3ED0"/>
    <w:rsid w:val="00EB3F87"/>
    <w:rsid w:val="00EB3FC8"/>
    <w:rsid w:val="00EB400C"/>
    <w:rsid w:val="00EB40AF"/>
    <w:rsid w:val="00EB40CB"/>
    <w:rsid w:val="00EB4134"/>
    <w:rsid w:val="00EB41AF"/>
    <w:rsid w:val="00EB4379"/>
    <w:rsid w:val="00EB43DA"/>
    <w:rsid w:val="00EB4582"/>
    <w:rsid w:val="00EB46B3"/>
    <w:rsid w:val="00EB47B4"/>
    <w:rsid w:val="00EB484C"/>
    <w:rsid w:val="00EB485E"/>
    <w:rsid w:val="00EB48DC"/>
    <w:rsid w:val="00EB4906"/>
    <w:rsid w:val="00EB492A"/>
    <w:rsid w:val="00EB4A51"/>
    <w:rsid w:val="00EB4B98"/>
    <w:rsid w:val="00EB4BF8"/>
    <w:rsid w:val="00EB4F4E"/>
    <w:rsid w:val="00EB4F62"/>
    <w:rsid w:val="00EB4FD3"/>
    <w:rsid w:val="00EB4FD6"/>
    <w:rsid w:val="00EB5082"/>
    <w:rsid w:val="00EB5178"/>
    <w:rsid w:val="00EB5270"/>
    <w:rsid w:val="00EB52B0"/>
    <w:rsid w:val="00EB53E7"/>
    <w:rsid w:val="00EB5452"/>
    <w:rsid w:val="00EB54FA"/>
    <w:rsid w:val="00EB5535"/>
    <w:rsid w:val="00EB5551"/>
    <w:rsid w:val="00EB5682"/>
    <w:rsid w:val="00EB576F"/>
    <w:rsid w:val="00EB57EB"/>
    <w:rsid w:val="00EB58A7"/>
    <w:rsid w:val="00EB58FD"/>
    <w:rsid w:val="00EB59CC"/>
    <w:rsid w:val="00EB5C02"/>
    <w:rsid w:val="00EB5C6D"/>
    <w:rsid w:val="00EB5CF5"/>
    <w:rsid w:val="00EB5D73"/>
    <w:rsid w:val="00EB5EC8"/>
    <w:rsid w:val="00EB5EDB"/>
    <w:rsid w:val="00EB5EFB"/>
    <w:rsid w:val="00EB6097"/>
    <w:rsid w:val="00EB612E"/>
    <w:rsid w:val="00EB6267"/>
    <w:rsid w:val="00EB6279"/>
    <w:rsid w:val="00EB62C4"/>
    <w:rsid w:val="00EB643F"/>
    <w:rsid w:val="00EB6449"/>
    <w:rsid w:val="00EB6484"/>
    <w:rsid w:val="00EB6573"/>
    <w:rsid w:val="00EB66FA"/>
    <w:rsid w:val="00EB67EE"/>
    <w:rsid w:val="00EB68AF"/>
    <w:rsid w:val="00EB68C4"/>
    <w:rsid w:val="00EB68EE"/>
    <w:rsid w:val="00EB6922"/>
    <w:rsid w:val="00EB6B72"/>
    <w:rsid w:val="00EB6B9D"/>
    <w:rsid w:val="00EB6CCF"/>
    <w:rsid w:val="00EB6D2A"/>
    <w:rsid w:val="00EB6D2E"/>
    <w:rsid w:val="00EB6DA5"/>
    <w:rsid w:val="00EB6DFE"/>
    <w:rsid w:val="00EB7036"/>
    <w:rsid w:val="00EB7175"/>
    <w:rsid w:val="00EB71A3"/>
    <w:rsid w:val="00EB72AF"/>
    <w:rsid w:val="00EB7458"/>
    <w:rsid w:val="00EB74B3"/>
    <w:rsid w:val="00EB7561"/>
    <w:rsid w:val="00EB75A8"/>
    <w:rsid w:val="00EB772C"/>
    <w:rsid w:val="00EB77A1"/>
    <w:rsid w:val="00EB783C"/>
    <w:rsid w:val="00EB7DAF"/>
    <w:rsid w:val="00EB7F93"/>
    <w:rsid w:val="00EB7FAC"/>
    <w:rsid w:val="00EC006E"/>
    <w:rsid w:val="00EC0078"/>
    <w:rsid w:val="00EC0161"/>
    <w:rsid w:val="00EC01EE"/>
    <w:rsid w:val="00EC029B"/>
    <w:rsid w:val="00EC02CD"/>
    <w:rsid w:val="00EC03AC"/>
    <w:rsid w:val="00EC0429"/>
    <w:rsid w:val="00EC056D"/>
    <w:rsid w:val="00EC05C4"/>
    <w:rsid w:val="00EC06B0"/>
    <w:rsid w:val="00EC06B6"/>
    <w:rsid w:val="00EC07D5"/>
    <w:rsid w:val="00EC08ED"/>
    <w:rsid w:val="00EC094F"/>
    <w:rsid w:val="00EC0A63"/>
    <w:rsid w:val="00EC0B54"/>
    <w:rsid w:val="00EC0B74"/>
    <w:rsid w:val="00EC0CBD"/>
    <w:rsid w:val="00EC0DA5"/>
    <w:rsid w:val="00EC0F54"/>
    <w:rsid w:val="00EC0FA8"/>
    <w:rsid w:val="00EC0FC0"/>
    <w:rsid w:val="00EC103C"/>
    <w:rsid w:val="00EC1198"/>
    <w:rsid w:val="00EC129F"/>
    <w:rsid w:val="00EC1313"/>
    <w:rsid w:val="00EC1436"/>
    <w:rsid w:val="00EC1502"/>
    <w:rsid w:val="00EC157E"/>
    <w:rsid w:val="00EC15BB"/>
    <w:rsid w:val="00EC1663"/>
    <w:rsid w:val="00EC16BF"/>
    <w:rsid w:val="00EC16F0"/>
    <w:rsid w:val="00EC1BEA"/>
    <w:rsid w:val="00EC1C2B"/>
    <w:rsid w:val="00EC1CC9"/>
    <w:rsid w:val="00EC1D11"/>
    <w:rsid w:val="00EC200D"/>
    <w:rsid w:val="00EC20E6"/>
    <w:rsid w:val="00EC2151"/>
    <w:rsid w:val="00EC2197"/>
    <w:rsid w:val="00EC23DD"/>
    <w:rsid w:val="00EC248A"/>
    <w:rsid w:val="00EC2555"/>
    <w:rsid w:val="00EC2684"/>
    <w:rsid w:val="00EC2983"/>
    <w:rsid w:val="00EC29B5"/>
    <w:rsid w:val="00EC29DC"/>
    <w:rsid w:val="00EC2AA8"/>
    <w:rsid w:val="00EC2AB6"/>
    <w:rsid w:val="00EC2AFD"/>
    <w:rsid w:val="00EC2B06"/>
    <w:rsid w:val="00EC2C69"/>
    <w:rsid w:val="00EC2E2B"/>
    <w:rsid w:val="00EC2E8E"/>
    <w:rsid w:val="00EC316C"/>
    <w:rsid w:val="00EC31D8"/>
    <w:rsid w:val="00EC32CB"/>
    <w:rsid w:val="00EC3310"/>
    <w:rsid w:val="00EC33C7"/>
    <w:rsid w:val="00EC3484"/>
    <w:rsid w:val="00EC3732"/>
    <w:rsid w:val="00EC3741"/>
    <w:rsid w:val="00EC38A0"/>
    <w:rsid w:val="00EC39C4"/>
    <w:rsid w:val="00EC3AB8"/>
    <w:rsid w:val="00EC3BE1"/>
    <w:rsid w:val="00EC3C32"/>
    <w:rsid w:val="00EC3C7F"/>
    <w:rsid w:val="00EC3CB0"/>
    <w:rsid w:val="00EC3DE3"/>
    <w:rsid w:val="00EC3F39"/>
    <w:rsid w:val="00EC3FFF"/>
    <w:rsid w:val="00EC40B6"/>
    <w:rsid w:val="00EC4109"/>
    <w:rsid w:val="00EC4174"/>
    <w:rsid w:val="00EC41A3"/>
    <w:rsid w:val="00EC4262"/>
    <w:rsid w:val="00EC42AD"/>
    <w:rsid w:val="00EC4339"/>
    <w:rsid w:val="00EC435C"/>
    <w:rsid w:val="00EC4394"/>
    <w:rsid w:val="00EC4397"/>
    <w:rsid w:val="00EC43E4"/>
    <w:rsid w:val="00EC4511"/>
    <w:rsid w:val="00EC45A3"/>
    <w:rsid w:val="00EC4631"/>
    <w:rsid w:val="00EC467A"/>
    <w:rsid w:val="00EC4687"/>
    <w:rsid w:val="00EC46C7"/>
    <w:rsid w:val="00EC46F1"/>
    <w:rsid w:val="00EC4752"/>
    <w:rsid w:val="00EC47A5"/>
    <w:rsid w:val="00EC4861"/>
    <w:rsid w:val="00EC489C"/>
    <w:rsid w:val="00EC48B4"/>
    <w:rsid w:val="00EC4AC5"/>
    <w:rsid w:val="00EC4C31"/>
    <w:rsid w:val="00EC4D1B"/>
    <w:rsid w:val="00EC4ED7"/>
    <w:rsid w:val="00EC4F26"/>
    <w:rsid w:val="00EC50B6"/>
    <w:rsid w:val="00EC5506"/>
    <w:rsid w:val="00EC5699"/>
    <w:rsid w:val="00EC569A"/>
    <w:rsid w:val="00EC5794"/>
    <w:rsid w:val="00EC57EE"/>
    <w:rsid w:val="00EC5906"/>
    <w:rsid w:val="00EC59AE"/>
    <w:rsid w:val="00EC5A30"/>
    <w:rsid w:val="00EC5AC4"/>
    <w:rsid w:val="00EC5AD2"/>
    <w:rsid w:val="00EC5BDA"/>
    <w:rsid w:val="00EC5C06"/>
    <w:rsid w:val="00EC5D59"/>
    <w:rsid w:val="00EC5EBE"/>
    <w:rsid w:val="00EC5EBF"/>
    <w:rsid w:val="00EC5F2C"/>
    <w:rsid w:val="00EC5FB6"/>
    <w:rsid w:val="00EC5FEC"/>
    <w:rsid w:val="00EC603D"/>
    <w:rsid w:val="00EC6055"/>
    <w:rsid w:val="00EC60F4"/>
    <w:rsid w:val="00EC61A1"/>
    <w:rsid w:val="00EC61E7"/>
    <w:rsid w:val="00EC6224"/>
    <w:rsid w:val="00EC6236"/>
    <w:rsid w:val="00EC632E"/>
    <w:rsid w:val="00EC643C"/>
    <w:rsid w:val="00EC64C0"/>
    <w:rsid w:val="00EC66AB"/>
    <w:rsid w:val="00EC66C3"/>
    <w:rsid w:val="00EC6702"/>
    <w:rsid w:val="00EC6A09"/>
    <w:rsid w:val="00EC6B40"/>
    <w:rsid w:val="00EC6BEF"/>
    <w:rsid w:val="00EC6C37"/>
    <w:rsid w:val="00EC6CAE"/>
    <w:rsid w:val="00EC6CC4"/>
    <w:rsid w:val="00EC6D04"/>
    <w:rsid w:val="00EC6D64"/>
    <w:rsid w:val="00EC6D9C"/>
    <w:rsid w:val="00EC6E8E"/>
    <w:rsid w:val="00EC6ED7"/>
    <w:rsid w:val="00EC6FB2"/>
    <w:rsid w:val="00EC7023"/>
    <w:rsid w:val="00EC71B7"/>
    <w:rsid w:val="00EC71CA"/>
    <w:rsid w:val="00EC71E5"/>
    <w:rsid w:val="00EC723A"/>
    <w:rsid w:val="00EC73AA"/>
    <w:rsid w:val="00EC7467"/>
    <w:rsid w:val="00EC749E"/>
    <w:rsid w:val="00EC7659"/>
    <w:rsid w:val="00EC76B3"/>
    <w:rsid w:val="00EC7701"/>
    <w:rsid w:val="00EC779F"/>
    <w:rsid w:val="00EC77E0"/>
    <w:rsid w:val="00EC7833"/>
    <w:rsid w:val="00EC78E6"/>
    <w:rsid w:val="00EC7A01"/>
    <w:rsid w:val="00EC7A16"/>
    <w:rsid w:val="00EC7A1B"/>
    <w:rsid w:val="00EC7A7C"/>
    <w:rsid w:val="00EC7AA0"/>
    <w:rsid w:val="00EC7CCB"/>
    <w:rsid w:val="00EC7D9C"/>
    <w:rsid w:val="00EC7E1D"/>
    <w:rsid w:val="00EC7E9E"/>
    <w:rsid w:val="00EC7F25"/>
    <w:rsid w:val="00EC7F34"/>
    <w:rsid w:val="00EC7F99"/>
    <w:rsid w:val="00ECF92D"/>
    <w:rsid w:val="00ED0024"/>
    <w:rsid w:val="00ED00DB"/>
    <w:rsid w:val="00ED01C0"/>
    <w:rsid w:val="00ED0209"/>
    <w:rsid w:val="00ED028A"/>
    <w:rsid w:val="00ED0406"/>
    <w:rsid w:val="00ED05CB"/>
    <w:rsid w:val="00ED0754"/>
    <w:rsid w:val="00ED07F5"/>
    <w:rsid w:val="00ED0828"/>
    <w:rsid w:val="00ED08FB"/>
    <w:rsid w:val="00ED09C9"/>
    <w:rsid w:val="00ED0A4F"/>
    <w:rsid w:val="00ED0B6A"/>
    <w:rsid w:val="00ED0C1D"/>
    <w:rsid w:val="00ED0C56"/>
    <w:rsid w:val="00ED0D34"/>
    <w:rsid w:val="00ED0D3F"/>
    <w:rsid w:val="00ED0DAE"/>
    <w:rsid w:val="00ED0DD5"/>
    <w:rsid w:val="00ED0E40"/>
    <w:rsid w:val="00ED0EB6"/>
    <w:rsid w:val="00ED0ECF"/>
    <w:rsid w:val="00ED0F84"/>
    <w:rsid w:val="00ED10DA"/>
    <w:rsid w:val="00ED1153"/>
    <w:rsid w:val="00ED1256"/>
    <w:rsid w:val="00ED127D"/>
    <w:rsid w:val="00ED1290"/>
    <w:rsid w:val="00ED1498"/>
    <w:rsid w:val="00ED151C"/>
    <w:rsid w:val="00ED1541"/>
    <w:rsid w:val="00ED166C"/>
    <w:rsid w:val="00ED1671"/>
    <w:rsid w:val="00ED17A9"/>
    <w:rsid w:val="00ED1839"/>
    <w:rsid w:val="00ED19AF"/>
    <w:rsid w:val="00ED1A7A"/>
    <w:rsid w:val="00ED1AC7"/>
    <w:rsid w:val="00ED1B0F"/>
    <w:rsid w:val="00ED1B1D"/>
    <w:rsid w:val="00ED1C35"/>
    <w:rsid w:val="00ED1DC7"/>
    <w:rsid w:val="00ED1E04"/>
    <w:rsid w:val="00ED1EEB"/>
    <w:rsid w:val="00ED1F8E"/>
    <w:rsid w:val="00ED2203"/>
    <w:rsid w:val="00ED22D3"/>
    <w:rsid w:val="00ED23A2"/>
    <w:rsid w:val="00ED23C2"/>
    <w:rsid w:val="00ED23F1"/>
    <w:rsid w:val="00ED2445"/>
    <w:rsid w:val="00ED26CE"/>
    <w:rsid w:val="00ED2731"/>
    <w:rsid w:val="00ED2734"/>
    <w:rsid w:val="00ED27FF"/>
    <w:rsid w:val="00ED2A14"/>
    <w:rsid w:val="00ED2A73"/>
    <w:rsid w:val="00ED2B6C"/>
    <w:rsid w:val="00ED2BC3"/>
    <w:rsid w:val="00ED2C18"/>
    <w:rsid w:val="00ED2C41"/>
    <w:rsid w:val="00ED2D50"/>
    <w:rsid w:val="00ED2FAE"/>
    <w:rsid w:val="00ED3127"/>
    <w:rsid w:val="00ED3196"/>
    <w:rsid w:val="00ED3213"/>
    <w:rsid w:val="00ED3244"/>
    <w:rsid w:val="00ED3289"/>
    <w:rsid w:val="00ED33E8"/>
    <w:rsid w:val="00ED346E"/>
    <w:rsid w:val="00ED34A3"/>
    <w:rsid w:val="00ED350E"/>
    <w:rsid w:val="00ED358B"/>
    <w:rsid w:val="00ED36A4"/>
    <w:rsid w:val="00ED371E"/>
    <w:rsid w:val="00ED379D"/>
    <w:rsid w:val="00ED3836"/>
    <w:rsid w:val="00ED395B"/>
    <w:rsid w:val="00ED39AF"/>
    <w:rsid w:val="00ED3A1E"/>
    <w:rsid w:val="00ED3B03"/>
    <w:rsid w:val="00ED3D25"/>
    <w:rsid w:val="00ED3D71"/>
    <w:rsid w:val="00ED3ED7"/>
    <w:rsid w:val="00ED3F83"/>
    <w:rsid w:val="00ED4068"/>
    <w:rsid w:val="00ED43EC"/>
    <w:rsid w:val="00ED4422"/>
    <w:rsid w:val="00ED44CB"/>
    <w:rsid w:val="00ED44FB"/>
    <w:rsid w:val="00ED469D"/>
    <w:rsid w:val="00ED46BE"/>
    <w:rsid w:val="00ED46E5"/>
    <w:rsid w:val="00ED4783"/>
    <w:rsid w:val="00ED47AA"/>
    <w:rsid w:val="00ED47E9"/>
    <w:rsid w:val="00ED49A1"/>
    <w:rsid w:val="00ED4D0B"/>
    <w:rsid w:val="00ED4D5D"/>
    <w:rsid w:val="00ED4EF1"/>
    <w:rsid w:val="00ED5066"/>
    <w:rsid w:val="00ED50C1"/>
    <w:rsid w:val="00ED51E0"/>
    <w:rsid w:val="00ED52A8"/>
    <w:rsid w:val="00ED531D"/>
    <w:rsid w:val="00ED533A"/>
    <w:rsid w:val="00ED5386"/>
    <w:rsid w:val="00ED53D4"/>
    <w:rsid w:val="00ED53F1"/>
    <w:rsid w:val="00ED5450"/>
    <w:rsid w:val="00ED54C0"/>
    <w:rsid w:val="00ED54F1"/>
    <w:rsid w:val="00ED55F9"/>
    <w:rsid w:val="00ED56A7"/>
    <w:rsid w:val="00ED56FF"/>
    <w:rsid w:val="00ED57A0"/>
    <w:rsid w:val="00ED57EC"/>
    <w:rsid w:val="00ED58F7"/>
    <w:rsid w:val="00ED5C3C"/>
    <w:rsid w:val="00ED5D12"/>
    <w:rsid w:val="00ED5F0B"/>
    <w:rsid w:val="00ED5FD7"/>
    <w:rsid w:val="00ED6118"/>
    <w:rsid w:val="00ED6184"/>
    <w:rsid w:val="00ED619F"/>
    <w:rsid w:val="00ED63D7"/>
    <w:rsid w:val="00ED65A4"/>
    <w:rsid w:val="00ED6712"/>
    <w:rsid w:val="00ED67B1"/>
    <w:rsid w:val="00ED68A7"/>
    <w:rsid w:val="00ED68E9"/>
    <w:rsid w:val="00ED69CD"/>
    <w:rsid w:val="00ED69F7"/>
    <w:rsid w:val="00ED6BCA"/>
    <w:rsid w:val="00ED6C65"/>
    <w:rsid w:val="00ED6C82"/>
    <w:rsid w:val="00ED6CDA"/>
    <w:rsid w:val="00ED6D5B"/>
    <w:rsid w:val="00ED6E31"/>
    <w:rsid w:val="00ED7385"/>
    <w:rsid w:val="00ED73C7"/>
    <w:rsid w:val="00ED73EE"/>
    <w:rsid w:val="00ED741A"/>
    <w:rsid w:val="00ED7425"/>
    <w:rsid w:val="00ED745D"/>
    <w:rsid w:val="00ED752F"/>
    <w:rsid w:val="00ED764D"/>
    <w:rsid w:val="00ED76F1"/>
    <w:rsid w:val="00ED7826"/>
    <w:rsid w:val="00ED7870"/>
    <w:rsid w:val="00ED7B49"/>
    <w:rsid w:val="00ED7C07"/>
    <w:rsid w:val="00ED7C3A"/>
    <w:rsid w:val="00ED7CF1"/>
    <w:rsid w:val="00ED7DCD"/>
    <w:rsid w:val="00ED7DD4"/>
    <w:rsid w:val="00ED7EAF"/>
    <w:rsid w:val="00ED7F6D"/>
    <w:rsid w:val="00ED7FF6"/>
    <w:rsid w:val="00EE00BA"/>
    <w:rsid w:val="00EE0135"/>
    <w:rsid w:val="00EE022F"/>
    <w:rsid w:val="00EE028E"/>
    <w:rsid w:val="00EE0303"/>
    <w:rsid w:val="00EE0305"/>
    <w:rsid w:val="00EE03B5"/>
    <w:rsid w:val="00EE03BA"/>
    <w:rsid w:val="00EE04B6"/>
    <w:rsid w:val="00EE05A1"/>
    <w:rsid w:val="00EE0641"/>
    <w:rsid w:val="00EE07F2"/>
    <w:rsid w:val="00EE085C"/>
    <w:rsid w:val="00EE0B32"/>
    <w:rsid w:val="00EE0DB2"/>
    <w:rsid w:val="00EE0DD6"/>
    <w:rsid w:val="00EE0EFC"/>
    <w:rsid w:val="00EE0F7C"/>
    <w:rsid w:val="00EE1141"/>
    <w:rsid w:val="00EE1173"/>
    <w:rsid w:val="00EE1193"/>
    <w:rsid w:val="00EE11AF"/>
    <w:rsid w:val="00EE126A"/>
    <w:rsid w:val="00EE1398"/>
    <w:rsid w:val="00EE14D6"/>
    <w:rsid w:val="00EE16C9"/>
    <w:rsid w:val="00EE18EA"/>
    <w:rsid w:val="00EE1927"/>
    <w:rsid w:val="00EE1A2D"/>
    <w:rsid w:val="00EE1B8A"/>
    <w:rsid w:val="00EE1BBA"/>
    <w:rsid w:val="00EE1BC2"/>
    <w:rsid w:val="00EE1BF1"/>
    <w:rsid w:val="00EE1BF7"/>
    <w:rsid w:val="00EE1CDD"/>
    <w:rsid w:val="00EE201B"/>
    <w:rsid w:val="00EE205A"/>
    <w:rsid w:val="00EE22DA"/>
    <w:rsid w:val="00EE22EF"/>
    <w:rsid w:val="00EE2351"/>
    <w:rsid w:val="00EE27F3"/>
    <w:rsid w:val="00EE28AC"/>
    <w:rsid w:val="00EE28DF"/>
    <w:rsid w:val="00EE28F4"/>
    <w:rsid w:val="00EE2922"/>
    <w:rsid w:val="00EE29EF"/>
    <w:rsid w:val="00EE2A30"/>
    <w:rsid w:val="00EE2AFB"/>
    <w:rsid w:val="00EE2B23"/>
    <w:rsid w:val="00EE2B5D"/>
    <w:rsid w:val="00EE2BF0"/>
    <w:rsid w:val="00EE2CAD"/>
    <w:rsid w:val="00EE316A"/>
    <w:rsid w:val="00EE31BE"/>
    <w:rsid w:val="00EE32A6"/>
    <w:rsid w:val="00EE32F5"/>
    <w:rsid w:val="00EE342C"/>
    <w:rsid w:val="00EE3444"/>
    <w:rsid w:val="00EE34F8"/>
    <w:rsid w:val="00EE3576"/>
    <w:rsid w:val="00EE361F"/>
    <w:rsid w:val="00EE36F5"/>
    <w:rsid w:val="00EE375B"/>
    <w:rsid w:val="00EE3917"/>
    <w:rsid w:val="00EE3948"/>
    <w:rsid w:val="00EE3964"/>
    <w:rsid w:val="00EE3AF5"/>
    <w:rsid w:val="00EE3B44"/>
    <w:rsid w:val="00EE3B53"/>
    <w:rsid w:val="00EE3BAB"/>
    <w:rsid w:val="00EE3C08"/>
    <w:rsid w:val="00EE3CCD"/>
    <w:rsid w:val="00EE3EF8"/>
    <w:rsid w:val="00EE3FAA"/>
    <w:rsid w:val="00EE4064"/>
    <w:rsid w:val="00EE41BF"/>
    <w:rsid w:val="00EE41F3"/>
    <w:rsid w:val="00EE431D"/>
    <w:rsid w:val="00EE438A"/>
    <w:rsid w:val="00EE43DD"/>
    <w:rsid w:val="00EE44EA"/>
    <w:rsid w:val="00EE452F"/>
    <w:rsid w:val="00EE460C"/>
    <w:rsid w:val="00EE46C1"/>
    <w:rsid w:val="00EE46FA"/>
    <w:rsid w:val="00EE479B"/>
    <w:rsid w:val="00EE4865"/>
    <w:rsid w:val="00EE48DA"/>
    <w:rsid w:val="00EE4917"/>
    <w:rsid w:val="00EE49F2"/>
    <w:rsid w:val="00EE4A43"/>
    <w:rsid w:val="00EE4A8B"/>
    <w:rsid w:val="00EE4ACE"/>
    <w:rsid w:val="00EE4AE9"/>
    <w:rsid w:val="00EE4AF5"/>
    <w:rsid w:val="00EE4C09"/>
    <w:rsid w:val="00EE4C19"/>
    <w:rsid w:val="00EE4C7B"/>
    <w:rsid w:val="00EE4DA6"/>
    <w:rsid w:val="00EE4DCE"/>
    <w:rsid w:val="00EE4E9A"/>
    <w:rsid w:val="00EE4FC8"/>
    <w:rsid w:val="00EE504B"/>
    <w:rsid w:val="00EE5097"/>
    <w:rsid w:val="00EE51FA"/>
    <w:rsid w:val="00EE5279"/>
    <w:rsid w:val="00EE52E7"/>
    <w:rsid w:val="00EE5326"/>
    <w:rsid w:val="00EE53E7"/>
    <w:rsid w:val="00EE53FF"/>
    <w:rsid w:val="00EE545D"/>
    <w:rsid w:val="00EE547C"/>
    <w:rsid w:val="00EE556C"/>
    <w:rsid w:val="00EE5617"/>
    <w:rsid w:val="00EE5665"/>
    <w:rsid w:val="00EE56A6"/>
    <w:rsid w:val="00EE587D"/>
    <w:rsid w:val="00EE5927"/>
    <w:rsid w:val="00EE59BE"/>
    <w:rsid w:val="00EE59E0"/>
    <w:rsid w:val="00EE59EB"/>
    <w:rsid w:val="00EE5A76"/>
    <w:rsid w:val="00EE5B37"/>
    <w:rsid w:val="00EE5B5F"/>
    <w:rsid w:val="00EE5BD2"/>
    <w:rsid w:val="00EE5DF3"/>
    <w:rsid w:val="00EE620A"/>
    <w:rsid w:val="00EE6385"/>
    <w:rsid w:val="00EE6409"/>
    <w:rsid w:val="00EE643A"/>
    <w:rsid w:val="00EE6588"/>
    <w:rsid w:val="00EE65B6"/>
    <w:rsid w:val="00EE65F5"/>
    <w:rsid w:val="00EE6676"/>
    <w:rsid w:val="00EE678B"/>
    <w:rsid w:val="00EE67E6"/>
    <w:rsid w:val="00EE6850"/>
    <w:rsid w:val="00EE68A1"/>
    <w:rsid w:val="00EE68B7"/>
    <w:rsid w:val="00EE6910"/>
    <w:rsid w:val="00EE6A2F"/>
    <w:rsid w:val="00EE6B2A"/>
    <w:rsid w:val="00EE6D28"/>
    <w:rsid w:val="00EE6D6B"/>
    <w:rsid w:val="00EE6E1F"/>
    <w:rsid w:val="00EE6F14"/>
    <w:rsid w:val="00EE705E"/>
    <w:rsid w:val="00EE706D"/>
    <w:rsid w:val="00EE70AD"/>
    <w:rsid w:val="00EE712F"/>
    <w:rsid w:val="00EE71A5"/>
    <w:rsid w:val="00EE7313"/>
    <w:rsid w:val="00EE74A3"/>
    <w:rsid w:val="00EE74BB"/>
    <w:rsid w:val="00EE7512"/>
    <w:rsid w:val="00EE7567"/>
    <w:rsid w:val="00EE758D"/>
    <w:rsid w:val="00EE7629"/>
    <w:rsid w:val="00EE7707"/>
    <w:rsid w:val="00EE775C"/>
    <w:rsid w:val="00EE77A1"/>
    <w:rsid w:val="00EE790B"/>
    <w:rsid w:val="00EE7917"/>
    <w:rsid w:val="00EE7ACB"/>
    <w:rsid w:val="00EE7EA0"/>
    <w:rsid w:val="00EF0070"/>
    <w:rsid w:val="00EF0090"/>
    <w:rsid w:val="00EF014E"/>
    <w:rsid w:val="00EF01AD"/>
    <w:rsid w:val="00EF020F"/>
    <w:rsid w:val="00EF0364"/>
    <w:rsid w:val="00EF0387"/>
    <w:rsid w:val="00EF05CB"/>
    <w:rsid w:val="00EF0610"/>
    <w:rsid w:val="00EF0963"/>
    <w:rsid w:val="00EF09BA"/>
    <w:rsid w:val="00EF0A66"/>
    <w:rsid w:val="00EF0A7D"/>
    <w:rsid w:val="00EF0A95"/>
    <w:rsid w:val="00EF0AF2"/>
    <w:rsid w:val="00EF0B4D"/>
    <w:rsid w:val="00EF0C1C"/>
    <w:rsid w:val="00EF0C7F"/>
    <w:rsid w:val="00EF0C88"/>
    <w:rsid w:val="00EF0CA9"/>
    <w:rsid w:val="00EF0D2E"/>
    <w:rsid w:val="00EF0DC3"/>
    <w:rsid w:val="00EF0E81"/>
    <w:rsid w:val="00EF0E9F"/>
    <w:rsid w:val="00EF0EFC"/>
    <w:rsid w:val="00EF0FC1"/>
    <w:rsid w:val="00EF1062"/>
    <w:rsid w:val="00EF1206"/>
    <w:rsid w:val="00EF12FD"/>
    <w:rsid w:val="00EF13B1"/>
    <w:rsid w:val="00EF1424"/>
    <w:rsid w:val="00EF152C"/>
    <w:rsid w:val="00EF1721"/>
    <w:rsid w:val="00EF17A5"/>
    <w:rsid w:val="00EF19D9"/>
    <w:rsid w:val="00EF1B46"/>
    <w:rsid w:val="00EF1B6D"/>
    <w:rsid w:val="00EF1BBD"/>
    <w:rsid w:val="00EF1C49"/>
    <w:rsid w:val="00EF21EE"/>
    <w:rsid w:val="00EF232E"/>
    <w:rsid w:val="00EF23B4"/>
    <w:rsid w:val="00EF24EE"/>
    <w:rsid w:val="00EF2546"/>
    <w:rsid w:val="00EF2547"/>
    <w:rsid w:val="00EF2576"/>
    <w:rsid w:val="00EF25C8"/>
    <w:rsid w:val="00EF25D1"/>
    <w:rsid w:val="00EF2838"/>
    <w:rsid w:val="00EF289B"/>
    <w:rsid w:val="00EF2942"/>
    <w:rsid w:val="00EF2C0F"/>
    <w:rsid w:val="00EF2DC9"/>
    <w:rsid w:val="00EF2EB9"/>
    <w:rsid w:val="00EF2EC1"/>
    <w:rsid w:val="00EF3108"/>
    <w:rsid w:val="00EF3141"/>
    <w:rsid w:val="00EF315B"/>
    <w:rsid w:val="00EF31EE"/>
    <w:rsid w:val="00EF3282"/>
    <w:rsid w:val="00EF32E8"/>
    <w:rsid w:val="00EF332F"/>
    <w:rsid w:val="00EF33DB"/>
    <w:rsid w:val="00EF347E"/>
    <w:rsid w:val="00EF34B6"/>
    <w:rsid w:val="00EF3504"/>
    <w:rsid w:val="00EF36EB"/>
    <w:rsid w:val="00EF393E"/>
    <w:rsid w:val="00EF3950"/>
    <w:rsid w:val="00EF39D6"/>
    <w:rsid w:val="00EF3AAA"/>
    <w:rsid w:val="00EF3B2C"/>
    <w:rsid w:val="00EF3BF5"/>
    <w:rsid w:val="00EF3C54"/>
    <w:rsid w:val="00EF3D71"/>
    <w:rsid w:val="00EF3DBD"/>
    <w:rsid w:val="00EF3DDB"/>
    <w:rsid w:val="00EF3E56"/>
    <w:rsid w:val="00EF3EF2"/>
    <w:rsid w:val="00EF3EFD"/>
    <w:rsid w:val="00EF3F42"/>
    <w:rsid w:val="00EF400B"/>
    <w:rsid w:val="00EF407B"/>
    <w:rsid w:val="00EF4145"/>
    <w:rsid w:val="00EF41F6"/>
    <w:rsid w:val="00EF42AC"/>
    <w:rsid w:val="00EF4509"/>
    <w:rsid w:val="00EF4607"/>
    <w:rsid w:val="00EF4649"/>
    <w:rsid w:val="00EF465B"/>
    <w:rsid w:val="00EF47E0"/>
    <w:rsid w:val="00EF4AB3"/>
    <w:rsid w:val="00EF4B12"/>
    <w:rsid w:val="00EF4B5D"/>
    <w:rsid w:val="00EF4B7D"/>
    <w:rsid w:val="00EF4B88"/>
    <w:rsid w:val="00EF4E05"/>
    <w:rsid w:val="00EF4E1C"/>
    <w:rsid w:val="00EF4FE7"/>
    <w:rsid w:val="00EF51B8"/>
    <w:rsid w:val="00EF5266"/>
    <w:rsid w:val="00EF5358"/>
    <w:rsid w:val="00EF5466"/>
    <w:rsid w:val="00EF5524"/>
    <w:rsid w:val="00EF5746"/>
    <w:rsid w:val="00EF57D9"/>
    <w:rsid w:val="00EF5834"/>
    <w:rsid w:val="00EF59F9"/>
    <w:rsid w:val="00EF5A67"/>
    <w:rsid w:val="00EF5AA5"/>
    <w:rsid w:val="00EF5B79"/>
    <w:rsid w:val="00EF5E15"/>
    <w:rsid w:val="00EF5E68"/>
    <w:rsid w:val="00EF5E72"/>
    <w:rsid w:val="00EF5F2F"/>
    <w:rsid w:val="00EF604A"/>
    <w:rsid w:val="00EF60D1"/>
    <w:rsid w:val="00EF611F"/>
    <w:rsid w:val="00EF6249"/>
    <w:rsid w:val="00EF6338"/>
    <w:rsid w:val="00EF6492"/>
    <w:rsid w:val="00EF654F"/>
    <w:rsid w:val="00EF6572"/>
    <w:rsid w:val="00EF657C"/>
    <w:rsid w:val="00EF6617"/>
    <w:rsid w:val="00EF677A"/>
    <w:rsid w:val="00EF6789"/>
    <w:rsid w:val="00EF67DA"/>
    <w:rsid w:val="00EF6A7B"/>
    <w:rsid w:val="00EF6B23"/>
    <w:rsid w:val="00EF6B94"/>
    <w:rsid w:val="00EF6BF9"/>
    <w:rsid w:val="00EF6D43"/>
    <w:rsid w:val="00EF6DB6"/>
    <w:rsid w:val="00EF6E22"/>
    <w:rsid w:val="00EF6E39"/>
    <w:rsid w:val="00EF6E64"/>
    <w:rsid w:val="00EF6F13"/>
    <w:rsid w:val="00EF6FB5"/>
    <w:rsid w:val="00EF71EB"/>
    <w:rsid w:val="00EF729D"/>
    <w:rsid w:val="00EF74B3"/>
    <w:rsid w:val="00EF752E"/>
    <w:rsid w:val="00EF76C9"/>
    <w:rsid w:val="00EF7784"/>
    <w:rsid w:val="00EF7796"/>
    <w:rsid w:val="00EF77A1"/>
    <w:rsid w:val="00EF788A"/>
    <w:rsid w:val="00EF78B6"/>
    <w:rsid w:val="00EF7937"/>
    <w:rsid w:val="00EF7973"/>
    <w:rsid w:val="00EF7975"/>
    <w:rsid w:val="00EF79FB"/>
    <w:rsid w:val="00EF7A6D"/>
    <w:rsid w:val="00EF7C30"/>
    <w:rsid w:val="00EF7D15"/>
    <w:rsid w:val="00EF7D73"/>
    <w:rsid w:val="00EF7E8C"/>
    <w:rsid w:val="00F00112"/>
    <w:rsid w:val="00F0015B"/>
    <w:rsid w:val="00F00346"/>
    <w:rsid w:val="00F00462"/>
    <w:rsid w:val="00F004AA"/>
    <w:rsid w:val="00F0075F"/>
    <w:rsid w:val="00F00763"/>
    <w:rsid w:val="00F00833"/>
    <w:rsid w:val="00F008BB"/>
    <w:rsid w:val="00F00A83"/>
    <w:rsid w:val="00F00A9B"/>
    <w:rsid w:val="00F00B6D"/>
    <w:rsid w:val="00F00C24"/>
    <w:rsid w:val="00F00C6E"/>
    <w:rsid w:val="00F00CA7"/>
    <w:rsid w:val="00F00CBB"/>
    <w:rsid w:val="00F00DEA"/>
    <w:rsid w:val="00F00E5F"/>
    <w:rsid w:val="00F010B9"/>
    <w:rsid w:val="00F010DC"/>
    <w:rsid w:val="00F0115B"/>
    <w:rsid w:val="00F01166"/>
    <w:rsid w:val="00F01191"/>
    <w:rsid w:val="00F011AE"/>
    <w:rsid w:val="00F0121C"/>
    <w:rsid w:val="00F01246"/>
    <w:rsid w:val="00F0124C"/>
    <w:rsid w:val="00F013F9"/>
    <w:rsid w:val="00F01412"/>
    <w:rsid w:val="00F01489"/>
    <w:rsid w:val="00F015B7"/>
    <w:rsid w:val="00F01A95"/>
    <w:rsid w:val="00F01B76"/>
    <w:rsid w:val="00F01B7F"/>
    <w:rsid w:val="00F01D39"/>
    <w:rsid w:val="00F01D56"/>
    <w:rsid w:val="00F01EBF"/>
    <w:rsid w:val="00F01F1E"/>
    <w:rsid w:val="00F01F8B"/>
    <w:rsid w:val="00F02018"/>
    <w:rsid w:val="00F02039"/>
    <w:rsid w:val="00F0209B"/>
    <w:rsid w:val="00F020BC"/>
    <w:rsid w:val="00F02134"/>
    <w:rsid w:val="00F021CF"/>
    <w:rsid w:val="00F023BA"/>
    <w:rsid w:val="00F025B7"/>
    <w:rsid w:val="00F026FC"/>
    <w:rsid w:val="00F02716"/>
    <w:rsid w:val="00F0282D"/>
    <w:rsid w:val="00F02868"/>
    <w:rsid w:val="00F028F9"/>
    <w:rsid w:val="00F02908"/>
    <w:rsid w:val="00F02A6E"/>
    <w:rsid w:val="00F02B33"/>
    <w:rsid w:val="00F02CAF"/>
    <w:rsid w:val="00F02D4E"/>
    <w:rsid w:val="00F02DD3"/>
    <w:rsid w:val="00F02E35"/>
    <w:rsid w:val="00F02E47"/>
    <w:rsid w:val="00F02F89"/>
    <w:rsid w:val="00F02FA9"/>
    <w:rsid w:val="00F030B7"/>
    <w:rsid w:val="00F0329A"/>
    <w:rsid w:val="00F03408"/>
    <w:rsid w:val="00F0340E"/>
    <w:rsid w:val="00F0351A"/>
    <w:rsid w:val="00F03583"/>
    <w:rsid w:val="00F0367C"/>
    <w:rsid w:val="00F0374C"/>
    <w:rsid w:val="00F03798"/>
    <w:rsid w:val="00F039FD"/>
    <w:rsid w:val="00F03A92"/>
    <w:rsid w:val="00F03AAE"/>
    <w:rsid w:val="00F03B90"/>
    <w:rsid w:val="00F03CD1"/>
    <w:rsid w:val="00F03CFD"/>
    <w:rsid w:val="00F03D4F"/>
    <w:rsid w:val="00F03D9D"/>
    <w:rsid w:val="00F03E4A"/>
    <w:rsid w:val="00F03E84"/>
    <w:rsid w:val="00F03ECE"/>
    <w:rsid w:val="00F03FA9"/>
    <w:rsid w:val="00F03FD2"/>
    <w:rsid w:val="00F03FD4"/>
    <w:rsid w:val="00F040A7"/>
    <w:rsid w:val="00F0414B"/>
    <w:rsid w:val="00F0417F"/>
    <w:rsid w:val="00F041AD"/>
    <w:rsid w:val="00F0424C"/>
    <w:rsid w:val="00F0425F"/>
    <w:rsid w:val="00F0426C"/>
    <w:rsid w:val="00F04335"/>
    <w:rsid w:val="00F043CE"/>
    <w:rsid w:val="00F044BD"/>
    <w:rsid w:val="00F044ED"/>
    <w:rsid w:val="00F04547"/>
    <w:rsid w:val="00F04761"/>
    <w:rsid w:val="00F04783"/>
    <w:rsid w:val="00F0489A"/>
    <w:rsid w:val="00F048F0"/>
    <w:rsid w:val="00F04947"/>
    <w:rsid w:val="00F04AEA"/>
    <w:rsid w:val="00F04B10"/>
    <w:rsid w:val="00F04BFF"/>
    <w:rsid w:val="00F04CE9"/>
    <w:rsid w:val="00F04DB4"/>
    <w:rsid w:val="00F04E10"/>
    <w:rsid w:val="00F04F05"/>
    <w:rsid w:val="00F05163"/>
    <w:rsid w:val="00F05189"/>
    <w:rsid w:val="00F05336"/>
    <w:rsid w:val="00F05540"/>
    <w:rsid w:val="00F055B5"/>
    <w:rsid w:val="00F058A8"/>
    <w:rsid w:val="00F05B8E"/>
    <w:rsid w:val="00F05BC0"/>
    <w:rsid w:val="00F05C13"/>
    <w:rsid w:val="00F05DA6"/>
    <w:rsid w:val="00F05DC4"/>
    <w:rsid w:val="00F05DCC"/>
    <w:rsid w:val="00F05ECF"/>
    <w:rsid w:val="00F05F23"/>
    <w:rsid w:val="00F060D9"/>
    <w:rsid w:val="00F06119"/>
    <w:rsid w:val="00F06151"/>
    <w:rsid w:val="00F06201"/>
    <w:rsid w:val="00F0620E"/>
    <w:rsid w:val="00F062CD"/>
    <w:rsid w:val="00F06311"/>
    <w:rsid w:val="00F063A0"/>
    <w:rsid w:val="00F063B3"/>
    <w:rsid w:val="00F06497"/>
    <w:rsid w:val="00F064B8"/>
    <w:rsid w:val="00F064FE"/>
    <w:rsid w:val="00F06573"/>
    <w:rsid w:val="00F06586"/>
    <w:rsid w:val="00F06618"/>
    <w:rsid w:val="00F067D6"/>
    <w:rsid w:val="00F06A15"/>
    <w:rsid w:val="00F06AD2"/>
    <w:rsid w:val="00F06B3C"/>
    <w:rsid w:val="00F06BA8"/>
    <w:rsid w:val="00F06BDE"/>
    <w:rsid w:val="00F06CF6"/>
    <w:rsid w:val="00F06E5D"/>
    <w:rsid w:val="00F06ED0"/>
    <w:rsid w:val="00F06F6E"/>
    <w:rsid w:val="00F07104"/>
    <w:rsid w:val="00F0711C"/>
    <w:rsid w:val="00F071E5"/>
    <w:rsid w:val="00F07209"/>
    <w:rsid w:val="00F07285"/>
    <w:rsid w:val="00F072EB"/>
    <w:rsid w:val="00F0734E"/>
    <w:rsid w:val="00F0740E"/>
    <w:rsid w:val="00F0760F"/>
    <w:rsid w:val="00F076B0"/>
    <w:rsid w:val="00F077BB"/>
    <w:rsid w:val="00F07901"/>
    <w:rsid w:val="00F07947"/>
    <w:rsid w:val="00F07B37"/>
    <w:rsid w:val="00F07B4B"/>
    <w:rsid w:val="00F07BE8"/>
    <w:rsid w:val="00F07C2F"/>
    <w:rsid w:val="00F07E19"/>
    <w:rsid w:val="00F07ED8"/>
    <w:rsid w:val="00F07F1B"/>
    <w:rsid w:val="00F07FD0"/>
    <w:rsid w:val="00F10180"/>
    <w:rsid w:val="00F10285"/>
    <w:rsid w:val="00F106AD"/>
    <w:rsid w:val="00F107D1"/>
    <w:rsid w:val="00F10843"/>
    <w:rsid w:val="00F108B5"/>
    <w:rsid w:val="00F108F8"/>
    <w:rsid w:val="00F10919"/>
    <w:rsid w:val="00F10979"/>
    <w:rsid w:val="00F10988"/>
    <w:rsid w:val="00F1099C"/>
    <w:rsid w:val="00F109AC"/>
    <w:rsid w:val="00F10B3B"/>
    <w:rsid w:val="00F10C60"/>
    <w:rsid w:val="00F10CB8"/>
    <w:rsid w:val="00F10CFC"/>
    <w:rsid w:val="00F10E11"/>
    <w:rsid w:val="00F10E5A"/>
    <w:rsid w:val="00F10FC1"/>
    <w:rsid w:val="00F11136"/>
    <w:rsid w:val="00F11202"/>
    <w:rsid w:val="00F112C5"/>
    <w:rsid w:val="00F11368"/>
    <w:rsid w:val="00F11403"/>
    <w:rsid w:val="00F1142A"/>
    <w:rsid w:val="00F1147F"/>
    <w:rsid w:val="00F11537"/>
    <w:rsid w:val="00F1153B"/>
    <w:rsid w:val="00F11590"/>
    <w:rsid w:val="00F115E1"/>
    <w:rsid w:val="00F11678"/>
    <w:rsid w:val="00F116AF"/>
    <w:rsid w:val="00F11806"/>
    <w:rsid w:val="00F11819"/>
    <w:rsid w:val="00F1190E"/>
    <w:rsid w:val="00F1191F"/>
    <w:rsid w:val="00F11B0A"/>
    <w:rsid w:val="00F11BFA"/>
    <w:rsid w:val="00F11DAF"/>
    <w:rsid w:val="00F11E85"/>
    <w:rsid w:val="00F11E87"/>
    <w:rsid w:val="00F11F02"/>
    <w:rsid w:val="00F11F7A"/>
    <w:rsid w:val="00F11F8B"/>
    <w:rsid w:val="00F11FB0"/>
    <w:rsid w:val="00F120AB"/>
    <w:rsid w:val="00F120FE"/>
    <w:rsid w:val="00F12168"/>
    <w:rsid w:val="00F12252"/>
    <w:rsid w:val="00F1250E"/>
    <w:rsid w:val="00F12550"/>
    <w:rsid w:val="00F12624"/>
    <w:rsid w:val="00F126A1"/>
    <w:rsid w:val="00F12736"/>
    <w:rsid w:val="00F1277E"/>
    <w:rsid w:val="00F128BA"/>
    <w:rsid w:val="00F12904"/>
    <w:rsid w:val="00F129F4"/>
    <w:rsid w:val="00F12A0D"/>
    <w:rsid w:val="00F12A61"/>
    <w:rsid w:val="00F12A63"/>
    <w:rsid w:val="00F12B75"/>
    <w:rsid w:val="00F12C37"/>
    <w:rsid w:val="00F12CC1"/>
    <w:rsid w:val="00F12CEC"/>
    <w:rsid w:val="00F12D54"/>
    <w:rsid w:val="00F12D66"/>
    <w:rsid w:val="00F12DCB"/>
    <w:rsid w:val="00F12E97"/>
    <w:rsid w:val="00F13007"/>
    <w:rsid w:val="00F13102"/>
    <w:rsid w:val="00F1320C"/>
    <w:rsid w:val="00F13306"/>
    <w:rsid w:val="00F134A5"/>
    <w:rsid w:val="00F134F1"/>
    <w:rsid w:val="00F13521"/>
    <w:rsid w:val="00F136D4"/>
    <w:rsid w:val="00F13945"/>
    <w:rsid w:val="00F13976"/>
    <w:rsid w:val="00F13A02"/>
    <w:rsid w:val="00F13A4B"/>
    <w:rsid w:val="00F13BBE"/>
    <w:rsid w:val="00F13BDA"/>
    <w:rsid w:val="00F13C58"/>
    <w:rsid w:val="00F13D17"/>
    <w:rsid w:val="00F13DCA"/>
    <w:rsid w:val="00F13E0D"/>
    <w:rsid w:val="00F13F07"/>
    <w:rsid w:val="00F13FA6"/>
    <w:rsid w:val="00F1402F"/>
    <w:rsid w:val="00F1404F"/>
    <w:rsid w:val="00F140D9"/>
    <w:rsid w:val="00F14174"/>
    <w:rsid w:val="00F144A6"/>
    <w:rsid w:val="00F144E8"/>
    <w:rsid w:val="00F1460E"/>
    <w:rsid w:val="00F14635"/>
    <w:rsid w:val="00F146A3"/>
    <w:rsid w:val="00F1473A"/>
    <w:rsid w:val="00F147E9"/>
    <w:rsid w:val="00F147ED"/>
    <w:rsid w:val="00F14839"/>
    <w:rsid w:val="00F148FA"/>
    <w:rsid w:val="00F14D4D"/>
    <w:rsid w:val="00F14DB2"/>
    <w:rsid w:val="00F14E2B"/>
    <w:rsid w:val="00F14F75"/>
    <w:rsid w:val="00F150D2"/>
    <w:rsid w:val="00F1513A"/>
    <w:rsid w:val="00F151EB"/>
    <w:rsid w:val="00F153A6"/>
    <w:rsid w:val="00F153F4"/>
    <w:rsid w:val="00F15440"/>
    <w:rsid w:val="00F15712"/>
    <w:rsid w:val="00F157C9"/>
    <w:rsid w:val="00F157E1"/>
    <w:rsid w:val="00F158C1"/>
    <w:rsid w:val="00F15936"/>
    <w:rsid w:val="00F15950"/>
    <w:rsid w:val="00F1599A"/>
    <w:rsid w:val="00F15AC1"/>
    <w:rsid w:val="00F15ACE"/>
    <w:rsid w:val="00F15B10"/>
    <w:rsid w:val="00F15D4C"/>
    <w:rsid w:val="00F15D67"/>
    <w:rsid w:val="00F15E4C"/>
    <w:rsid w:val="00F15EDF"/>
    <w:rsid w:val="00F15F56"/>
    <w:rsid w:val="00F15FAE"/>
    <w:rsid w:val="00F160AD"/>
    <w:rsid w:val="00F16191"/>
    <w:rsid w:val="00F1619A"/>
    <w:rsid w:val="00F161C2"/>
    <w:rsid w:val="00F16264"/>
    <w:rsid w:val="00F16400"/>
    <w:rsid w:val="00F1648B"/>
    <w:rsid w:val="00F16493"/>
    <w:rsid w:val="00F164DC"/>
    <w:rsid w:val="00F16581"/>
    <w:rsid w:val="00F1671D"/>
    <w:rsid w:val="00F167A9"/>
    <w:rsid w:val="00F167EA"/>
    <w:rsid w:val="00F16A8D"/>
    <w:rsid w:val="00F16B3D"/>
    <w:rsid w:val="00F16E05"/>
    <w:rsid w:val="00F16E42"/>
    <w:rsid w:val="00F16E6A"/>
    <w:rsid w:val="00F16F95"/>
    <w:rsid w:val="00F171FF"/>
    <w:rsid w:val="00F17213"/>
    <w:rsid w:val="00F1725F"/>
    <w:rsid w:val="00F1737D"/>
    <w:rsid w:val="00F173DF"/>
    <w:rsid w:val="00F1747F"/>
    <w:rsid w:val="00F1759E"/>
    <w:rsid w:val="00F1769E"/>
    <w:rsid w:val="00F17726"/>
    <w:rsid w:val="00F1775E"/>
    <w:rsid w:val="00F177DC"/>
    <w:rsid w:val="00F177F4"/>
    <w:rsid w:val="00F1787C"/>
    <w:rsid w:val="00F178D0"/>
    <w:rsid w:val="00F17945"/>
    <w:rsid w:val="00F17983"/>
    <w:rsid w:val="00F17A38"/>
    <w:rsid w:val="00F17B4C"/>
    <w:rsid w:val="00F17B81"/>
    <w:rsid w:val="00F17C79"/>
    <w:rsid w:val="00F17D2D"/>
    <w:rsid w:val="00F17D9B"/>
    <w:rsid w:val="00F17F20"/>
    <w:rsid w:val="00F17FF2"/>
    <w:rsid w:val="00F20006"/>
    <w:rsid w:val="00F200F1"/>
    <w:rsid w:val="00F20198"/>
    <w:rsid w:val="00F202EF"/>
    <w:rsid w:val="00F2036E"/>
    <w:rsid w:val="00F203FA"/>
    <w:rsid w:val="00F20567"/>
    <w:rsid w:val="00F20783"/>
    <w:rsid w:val="00F207DE"/>
    <w:rsid w:val="00F20860"/>
    <w:rsid w:val="00F208DE"/>
    <w:rsid w:val="00F209AE"/>
    <w:rsid w:val="00F209B9"/>
    <w:rsid w:val="00F20BB1"/>
    <w:rsid w:val="00F20CDB"/>
    <w:rsid w:val="00F20D9A"/>
    <w:rsid w:val="00F20DB7"/>
    <w:rsid w:val="00F20EBE"/>
    <w:rsid w:val="00F20F9C"/>
    <w:rsid w:val="00F210D0"/>
    <w:rsid w:val="00F21135"/>
    <w:rsid w:val="00F211E0"/>
    <w:rsid w:val="00F212FB"/>
    <w:rsid w:val="00F21434"/>
    <w:rsid w:val="00F214C9"/>
    <w:rsid w:val="00F21547"/>
    <w:rsid w:val="00F21648"/>
    <w:rsid w:val="00F219EF"/>
    <w:rsid w:val="00F21A57"/>
    <w:rsid w:val="00F21AA2"/>
    <w:rsid w:val="00F21B4A"/>
    <w:rsid w:val="00F21BB2"/>
    <w:rsid w:val="00F21C35"/>
    <w:rsid w:val="00F21CA7"/>
    <w:rsid w:val="00F21CD9"/>
    <w:rsid w:val="00F21CE9"/>
    <w:rsid w:val="00F21DAC"/>
    <w:rsid w:val="00F21E05"/>
    <w:rsid w:val="00F21E92"/>
    <w:rsid w:val="00F2211A"/>
    <w:rsid w:val="00F22131"/>
    <w:rsid w:val="00F22354"/>
    <w:rsid w:val="00F2243D"/>
    <w:rsid w:val="00F224D9"/>
    <w:rsid w:val="00F224F6"/>
    <w:rsid w:val="00F22510"/>
    <w:rsid w:val="00F22703"/>
    <w:rsid w:val="00F2272E"/>
    <w:rsid w:val="00F2279B"/>
    <w:rsid w:val="00F22A87"/>
    <w:rsid w:val="00F22B1D"/>
    <w:rsid w:val="00F22C97"/>
    <w:rsid w:val="00F22D44"/>
    <w:rsid w:val="00F22DA5"/>
    <w:rsid w:val="00F22E48"/>
    <w:rsid w:val="00F23058"/>
    <w:rsid w:val="00F230CC"/>
    <w:rsid w:val="00F231CF"/>
    <w:rsid w:val="00F2323F"/>
    <w:rsid w:val="00F23555"/>
    <w:rsid w:val="00F235CF"/>
    <w:rsid w:val="00F23668"/>
    <w:rsid w:val="00F236F2"/>
    <w:rsid w:val="00F2372C"/>
    <w:rsid w:val="00F2376A"/>
    <w:rsid w:val="00F23794"/>
    <w:rsid w:val="00F2380F"/>
    <w:rsid w:val="00F238AE"/>
    <w:rsid w:val="00F239D5"/>
    <w:rsid w:val="00F239F4"/>
    <w:rsid w:val="00F23A99"/>
    <w:rsid w:val="00F23AF9"/>
    <w:rsid w:val="00F23B46"/>
    <w:rsid w:val="00F23C0E"/>
    <w:rsid w:val="00F23C8F"/>
    <w:rsid w:val="00F23D23"/>
    <w:rsid w:val="00F23D27"/>
    <w:rsid w:val="00F23D71"/>
    <w:rsid w:val="00F23E0A"/>
    <w:rsid w:val="00F23E7A"/>
    <w:rsid w:val="00F23EE5"/>
    <w:rsid w:val="00F240A9"/>
    <w:rsid w:val="00F240E4"/>
    <w:rsid w:val="00F24164"/>
    <w:rsid w:val="00F24179"/>
    <w:rsid w:val="00F24316"/>
    <w:rsid w:val="00F24333"/>
    <w:rsid w:val="00F244B2"/>
    <w:rsid w:val="00F244B9"/>
    <w:rsid w:val="00F244D1"/>
    <w:rsid w:val="00F244F5"/>
    <w:rsid w:val="00F244F7"/>
    <w:rsid w:val="00F24588"/>
    <w:rsid w:val="00F245CF"/>
    <w:rsid w:val="00F24778"/>
    <w:rsid w:val="00F247D5"/>
    <w:rsid w:val="00F247E2"/>
    <w:rsid w:val="00F2490A"/>
    <w:rsid w:val="00F24955"/>
    <w:rsid w:val="00F2495C"/>
    <w:rsid w:val="00F249E7"/>
    <w:rsid w:val="00F24A50"/>
    <w:rsid w:val="00F24ACF"/>
    <w:rsid w:val="00F24B7E"/>
    <w:rsid w:val="00F24C65"/>
    <w:rsid w:val="00F24D1B"/>
    <w:rsid w:val="00F24D41"/>
    <w:rsid w:val="00F24D61"/>
    <w:rsid w:val="00F24F16"/>
    <w:rsid w:val="00F2508D"/>
    <w:rsid w:val="00F25174"/>
    <w:rsid w:val="00F2524E"/>
    <w:rsid w:val="00F252CF"/>
    <w:rsid w:val="00F2571E"/>
    <w:rsid w:val="00F257F1"/>
    <w:rsid w:val="00F25849"/>
    <w:rsid w:val="00F25862"/>
    <w:rsid w:val="00F25946"/>
    <w:rsid w:val="00F259BD"/>
    <w:rsid w:val="00F25AAE"/>
    <w:rsid w:val="00F25AB6"/>
    <w:rsid w:val="00F25B50"/>
    <w:rsid w:val="00F25B75"/>
    <w:rsid w:val="00F25B7C"/>
    <w:rsid w:val="00F25CC1"/>
    <w:rsid w:val="00F25D10"/>
    <w:rsid w:val="00F25D80"/>
    <w:rsid w:val="00F25E56"/>
    <w:rsid w:val="00F25F3B"/>
    <w:rsid w:val="00F25F79"/>
    <w:rsid w:val="00F26051"/>
    <w:rsid w:val="00F260FB"/>
    <w:rsid w:val="00F26169"/>
    <w:rsid w:val="00F2623B"/>
    <w:rsid w:val="00F26295"/>
    <w:rsid w:val="00F2640E"/>
    <w:rsid w:val="00F26449"/>
    <w:rsid w:val="00F264D0"/>
    <w:rsid w:val="00F26511"/>
    <w:rsid w:val="00F26522"/>
    <w:rsid w:val="00F267FA"/>
    <w:rsid w:val="00F267FD"/>
    <w:rsid w:val="00F26903"/>
    <w:rsid w:val="00F26913"/>
    <w:rsid w:val="00F269A7"/>
    <w:rsid w:val="00F269B2"/>
    <w:rsid w:val="00F26A1E"/>
    <w:rsid w:val="00F26A95"/>
    <w:rsid w:val="00F26ABD"/>
    <w:rsid w:val="00F26C2B"/>
    <w:rsid w:val="00F26D17"/>
    <w:rsid w:val="00F26E4D"/>
    <w:rsid w:val="00F26F14"/>
    <w:rsid w:val="00F26F6C"/>
    <w:rsid w:val="00F26F7D"/>
    <w:rsid w:val="00F26F81"/>
    <w:rsid w:val="00F27067"/>
    <w:rsid w:val="00F2710D"/>
    <w:rsid w:val="00F27163"/>
    <w:rsid w:val="00F271BE"/>
    <w:rsid w:val="00F271C5"/>
    <w:rsid w:val="00F271EB"/>
    <w:rsid w:val="00F271F2"/>
    <w:rsid w:val="00F27222"/>
    <w:rsid w:val="00F2722E"/>
    <w:rsid w:val="00F273D2"/>
    <w:rsid w:val="00F27406"/>
    <w:rsid w:val="00F27418"/>
    <w:rsid w:val="00F2743F"/>
    <w:rsid w:val="00F27478"/>
    <w:rsid w:val="00F27575"/>
    <w:rsid w:val="00F27782"/>
    <w:rsid w:val="00F2779B"/>
    <w:rsid w:val="00F2794F"/>
    <w:rsid w:val="00F279A7"/>
    <w:rsid w:val="00F27BAC"/>
    <w:rsid w:val="00F27CA4"/>
    <w:rsid w:val="00F27CF3"/>
    <w:rsid w:val="00F27E44"/>
    <w:rsid w:val="00F27E7E"/>
    <w:rsid w:val="00F27F09"/>
    <w:rsid w:val="00F27F3C"/>
    <w:rsid w:val="00F27F8E"/>
    <w:rsid w:val="00F30026"/>
    <w:rsid w:val="00F30089"/>
    <w:rsid w:val="00F300BE"/>
    <w:rsid w:val="00F300DA"/>
    <w:rsid w:val="00F300F2"/>
    <w:rsid w:val="00F3010F"/>
    <w:rsid w:val="00F30321"/>
    <w:rsid w:val="00F303C0"/>
    <w:rsid w:val="00F30518"/>
    <w:rsid w:val="00F30571"/>
    <w:rsid w:val="00F305C2"/>
    <w:rsid w:val="00F3062C"/>
    <w:rsid w:val="00F306B7"/>
    <w:rsid w:val="00F3081C"/>
    <w:rsid w:val="00F30946"/>
    <w:rsid w:val="00F3097E"/>
    <w:rsid w:val="00F309B8"/>
    <w:rsid w:val="00F30B3E"/>
    <w:rsid w:val="00F30B44"/>
    <w:rsid w:val="00F30C12"/>
    <w:rsid w:val="00F30D6C"/>
    <w:rsid w:val="00F30DBA"/>
    <w:rsid w:val="00F30DFD"/>
    <w:rsid w:val="00F30FF0"/>
    <w:rsid w:val="00F31073"/>
    <w:rsid w:val="00F3112D"/>
    <w:rsid w:val="00F31308"/>
    <w:rsid w:val="00F313F6"/>
    <w:rsid w:val="00F31412"/>
    <w:rsid w:val="00F3144D"/>
    <w:rsid w:val="00F31477"/>
    <w:rsid w:val="00F314D5"/>
    <w:rsid w:val="00F31518"/>
    <w:rsid w:val="00F315A0"/>
    <w:rsid w:val="00F315C2"/>
    <w:rsid w:val="00F317AC"/>
    <w:rsid w:val="00F31845"/>
    <w:rsid w:val="00F318EC"/>
    <w:rsid w:val="00F31973"/>
    <w:rsid w:val="00F31AAB"/>
    <w:rsid w:val="00F31AE4"/>
    <w:rsid w:val="00F31B43"/>
    <w:rsid w:val="00F31B9D"/>
    <w:rsid w:val="00F31C94"/>
    <w:rsid w:val="00F31CE0"/>
    <w:rsid w:val="00F31E12"/>
    <w:rsid w:val="00F31F7C"/>
    <w:rsid w:val="00F31FEB"/>
    <w:rsid w:val="00F32098"/>
    <w:rsid w:val="00F320D0"/>
    <w:rsid w:val="00F3212F"/>
    <w:rsid w:val="00F32338"/>
    <w:rsid w:val="00F32483"/>
    <w:rsid w:val="00F325A3"/>
    <w:rsid w:val="00F32633"/>
    <w:rsid w:val="00F32651"/>
    <w:rsid w:val="00F32684"/>
    <w:rsid w:val="00F32783"/>
    <w:rsid w:val="00F327A5"/>
    <w:rsid w:val="00F32882"/>
    <w:rsid w:val="00F32AA5"/>
    <w:rsid w:val="00F32B26"/>
    <w:rsid w:val="00F32BD9"/>
    <w:rsid w:val="00F32BE7"/>
    <w:rsid w:val="00F32CA9"/>
    <w:rsid w:val="00F32CDD"/>
    <w:rsid w:val="00F32CEF"/>
    <w:rsid w:val="00F32E07"/>
    <w:rsid w:val="00F32E12"/>
    <w:rsid w:val="00F32F99"/>
    <w:rsid w:val="00F32FC0"/>
    <w:rsid w:val="00F32FE6"/>
    <w:rsid w:val="00F3303C"/>
    <w:rsid w:val="00F3307B"/>
    <w:rsid w:val="00F33174"/>
    <w:rsid w:val="00F33192"/>
    <w:rsid w:val="00F33212"/>
    <w:rsid w:val="00F33260"/>
    <w:rsid w:val="00F3336E"/>
    <w:rsid w:val="00F33457"/>
    <w:rsid w:val="00F334E6"/>
    <w:rsid w:val="00F33546"/>
    <w:rsid w:val="00F3365A"/>
    <w:rsid w:val="00F336AE"/>
    <w:rsid w:val="00F337CB"/>
    <w:rsid w:val="00F337F5"/>
    <w:rsid w:val="00F3382F"/>
    <w:rsid w:val="00F3383D"/>
    <w:rsid w:val="00F33846"/>
    <w:rsid w:val="00F3387E"/>
    <w:rsid w:val="00F339B1"/>
    <w:rsid w:val="00F339B9"/>
    <w:rsid w:val="00F33A68"/>
    <w:rsid w:val="00F33ABC"/>
    <w:rsid w:val="00F33AD6"/>
    <w:rsid w:val="00F33B23"/>
    <w:rsid w:val="00F33B86"/>
    <w:rsid w:val="00F33B9A"/>
    <w:rsid w:val="00F33BBA"/>
    <w:rsid w:val="00F33BF0"/>
    <w:rsid w:val="00F33F70"/>
    <w:rsid w:val="00F34177"/>
    <w:rsid w:val="00F34185"/>
    <w:rsid w:val="00F3424C"/>
    <w:rsid w:val="00F342B5"/>
    <w:rsid w:val="00F342F3"/>
    <w:rsid w:val="00F34493"/>
    <w:rsid w:val="00F34530"/>
    <w:rsid w:val="00F3455C"/>
    <w:rsid w:val="00F3461C"/>
    <w:rsid w:val="00F34648"/>
    <w:rsid w:val="00F347C0"/>
    <w:rsid w:val="00F34822"/>
    <w:rsid w:val="00F34AC5"/>
    <w:rsid w:val="00F34B20"/>
    <w:rsid w:val="00F34B74"/>
    <w:rsid w:val="00F34BA6"/>
    <w:rsid w:val="00F34D7C"/>
    <w:rsid w:val="00F34E1E"/>
    <w:rsid w:val="00F350BC"/>
    <w:rsid w:val="00F351A2"/>
    <w:rsid w:val="00F351A5"/>
    <w:rsid w:val="00F3523C"/>
    <w:rsid w:val="00F3531E"/>
    <w:rsid w:val="00F35376"/>
    <w:rsid w:val="00F35383"/>
    <w:rsid w:val="00F3540B"/>
    <w:rsid w:val="00F3543E"/>
    <w:rsid w:val="00F35615"/>
    <w:rsid w:val="00F356C0"/>
    <w:rsid w:val="00F357A9"/>
    <w:rsid w:val="00F35AB0"/>
    <w:rsid w:val="00F35AD0"/>
    <w:rsid w:val="00F35B23"/>
    <w:rsid w:val="00F35BFA"/>
    <w:rsid w:val="00F35D19"/>
    <w:rsid w:val="00F35D7F"/>
    <w:rsid w:val="00F35DAA"/>
    <w:rsid w:val="00F35DC5"/>
    <w:rsid w:val="00F35ED0"/>
    <w:rsid w:val="00F36137"/>
    <w:rsid w:val="00F36346"/>
    <w:rsid w:val="00F3635D"/>
    <w:rsid w:val="00F3641E"/>
    <w:rsid w:val="00F3643D"/>
    <w:rsid w:val="00F3647D"/>
    <w:rsid w:val="00F3652F"/>
    <w:rsid w:val="00F36593"/>
    <w:rsid w:val="00F366A3"/>
    <w:rsid w:val="00F36723"/>
    <w:rsid w:val="00F367AE"/>
    <w:rsid w:val="00F367D9"/>
    <w:rsid w:val="00F36860"/>
    <w:rsid w:val="00F369A9"/>
    <w:rsid w:val="00F36A2A"/>
    <w:rsid w:val="00F36A57"/>
    <w:rsid w:val="00F36B3A"/>
    <w:rsid w:val="00F36BE1"/>
    <w:rsid w:val="00F36C2C"/>
    <w:rsid w:val="00F36CBD"/>
    <w:rsid w:val="00F36D18"/>
    <w:rsid w:val="00F36E93"/>
    <w:rsid w:val="00F36F46"/>
    <w:rsid w:val="00F370CB"/>
    <w:rsid w:val="00F37149"/>
    <w:rsid w:val="00F37165"/>
    <w:rsid w:val="00F37274"/>
    <w:rsid w:val="00F37356"/>
    <w:rsid w:val="00F373F9"/>
    <w:rsid w:val="00F37472"/>
    <w:rsid w:val="00F37796"/>
    <w:rsid w:val="00F37884"/>
    <w:rsid w:val="00F37947"/>
    <w:rsid w:val="00F3799D"/>
    <w:rsid w:val="00F379F8"/>
    <w:rsid w:val="00F37A63"/>
    <w:rsid w:val="00F37BEA"/>
    <w:rsid w:val="00F37CA2"/>
    <w:rsid w:val="00F37D4B"/>
    <w:rsid w:val="00F37D6E"/>
    <w:rsid w:val="00F37D85"/>
    <w:rsid w:val="00F37E82"/>
    <w:rsid w:val="00F37E92"/>
    <w:rsid w:val="00F40074"/>
    <w:rsid w:val="00F400A9"/>
    <w:rsid w:val="00F401B7"/>
    <w:rsid w:val="00F402A9"/>
    <w:rsid w:val="00F402E8"/>
    <w:rsid w:val="00F403DD"/>
    <w:rsid w:val="00F40444"/>
    <w:rsid w:val="00F40556"/>
    <w:rsid w:val="00F40667"/>
    <w:rsid w:val="00F4066A"/>
    <w:rsid w:val="00F406E5"/>
    <w:rsid w:val="00F40755"/>
    <w:rsid w:val="00F40805"/>
    <w:rsid w:val="00F4089D"/>
    <w:rsid w:val="00F40AB4"/>
    <w:rsid w:val="00F40C12"/>
    <w:rsid w:val="00F40D83"/>
    <w:rsid w:val="00F40E93"/>
    <w:rsid w:val="00F40F59"/>
    <w:rsid w:val="00F410D8"/>
    <w:rsid w:val="00F4127D"/>
    <w:rsid w:val="00F413A5"/>
    <w:rsid w:val="00F413E1"/>
    <w:rsid w:val="00F41444"/>
    <w:rsid w:val="00F41450"/>
    <w:rsid w:val="00F41605"/>
    <w:rsid w:val="00F41642"/>
    <w:rsid w:val="00F41674"/>
    <w:rsid w:val="00F416B9"/>
    <w:rsid w:val="00F416DC"/>
    <w:rsid w:val="00F41742"/>
    <w:rsid w:val="00F417EA"/>
    <w:rsid w:val="00F41866"/>
    <w:rsid w:val="00F4188D"/>
    <w:rsid w:val="00F41912"/>
    <w:rsid w:val="00F419F0"/>
    <w:rsid w:val="00F41A80"/>
    <w:rsid w:val="00F41C4D"/>
    <w:rsid w:val="00F41C9F"/>
    <w:rsid w:val="00F41DDE"/>
    <w:rsid w:val="00F41E02"/>
    <w:rsid w:val="00F41ED7"/>
    <w:rsid w:val="00F41F0E"/>
    <w:rsid w:val="00F41F85"/>
    <w:rsid w:val="00F420AF"/>
    <w:rsid w:val="00F42117"/>
    <w:rsid w:val="00F4211D"/>
    <w:rsid w:val="00F421D2"/>
    <w:rsid w:val="00F42218"/>
    <w:rsid w:val="00F423FF"/>
    <w:rsid w:val="00F42498"/>
    <w:rsid w:val="00F42586"/>
    <w:rsid w:val="00F428AC"/>
    <w:rsid w:val="00F429CA"/>
    <w:rsid w:val="00F42AAE"/>
    <w:rsid w:val="00F42B15"/>
    <w:rsid w:val="00F42B20"/>
    <w:rsid w:val="00F42B84"/>
    <w:rsid w:val="00F42C1C"/>
    <w:rsid w:val="00F42C46"/>
    <w:rsid w:val="00F42C53"/>
    <w:rsid w:val="00F42CF0"/>
    <w:rsid w:val="00F42D46"/>
    <w:rsid w:val="00F42E20"/>
    <w:rsid w:val="00F42EEA"/>
    <w:rsid w:val="00F42F24"/>
    <w:rsid w:val="00F42FD1"/>
    <w:rsid w:val="00F43080"/>
    <w:rsid w:val="00F4308F"/>
    <w:rsid w:val="00F432EC"/>
    <w:rsid w:val="00F43312"/>
    <w:rsid w:val="00F43390"/>
    <w:rsid w:val="00F435B4"/>
    <w:rsid w:val="00F435D4"/>
    <w:rsid w:val="00F435D5"/>
    <w:rsid w:val="00F4363F"/>
    <w:rsid w:val="00F4370B"/>
    <w:rsid w:val="00F43724"/>
    <w:rsid w:val="00F43793"/>
    <w:rsid w:val="00F4381A"/>
    <w:rsid w:val="00F4384F"/>
    <w:rsid w:val="00F438CE"/>
    <w:rsid w:val="00F43954"/>
    <w:rsid w:val="00F43AAF"/>
    <w:rsid w:val="00F43AC0"/>
    <w:rsid w:val="00F43C36"/>
    <w:rsid w:val="00F43CB7"/>
    <w:rsid w:val="00F43E39"/>
    <w:rsid w:val="00F43E4F"/>
    <w:rsid w:val="00F44186"/>
    <w:rsid w:val="00F442BF"/>
    <w:rsid w:val="00F442E5"/>
    <w:rsid w:val="00F44313"/>
    <w:rsid w:val="00F4436B"/>
    <w:rsid w:val="00F44486"/>
    <w:rsid w:val="00F444D6"/>
    <w:rsid w:val="00F444FA"/>
    <w:rsid w:val="00F44550"/>
    <w:rsid w:val="00F44557"/>
    <w:rsid w:val="00F445DB"/>
    <w:rsid w:val="00F44719"/>
    <w:rsid w:val="00F4471D"/>
    <w:rsid w:val="00F448F1"/>
    <w:rsid w:val="00F4499E"/>
    <w:rsid w:val="00F449C3"/>
    <w:rsid w:val="00F44C78"/>
    <w:rsid w:val="00F44C89"/>
    <w:rsid w:val="00F44CD0"/>
    <w:rsid w:val="00F44CDF"/>
    <w:rsid w:val="00F44D37"/>
    <w:rsid w:val="00F44D3D"/>
    <w:rsid w:val="00F44E8A"/>
    <w:rsid w:val="00F44FE0"/>
    <w:rsid w:val="00F45058"/>
    <w:rsid w:val="00F451B9"/>
    <w:rsid w:val="00F451BE"/>
    <w:rsid w:val="00F4548A"/>
    <w:rsid w:val="00F4554A"/>
    <w:rsid w:val="00F455A2"/>
    <w:rsid w:val="00F4560A"/>
    <w:rsid w:val="00F4568A"/>
    <w:rsid w:val="00F456D4"/>
    <w:rsid w:val="00F457C7"/>
    <w:rsid w:val="00F45890"/>
    <w:rsid w:val="00F458F7"/>
    <w:rsid w:val="00F459BC"/>
    <w:rsid w:val="00F45A79"/>
    <w:rsid w:val="00F45A7C"/>
    <w:rsid w:val="00F45CC0"/>
    <w:rsid w:val="00F45DE9"/>
    <w:rsid w:val="00F45F64"/>
    <w:rsid w:val="00F46099"/>
    <w:rsid w:val="00F460D7"/>
    <w:rsid w:val="00F46103"/>
    <w:rsid w:val="00F4613A"/>
    <w:rsid w:val="00F461BA"/>
    <w:rsid w:val="00F46221"/>
    <w:rsid w:val="00F46286"/>
    <w:rsid w:val="00F462D8"/>
    <w:rsid w:val="00F4639D"/>
    <w:rsid w:val="00F463FA"/>
    <w:rsid w:val="00F46471"/>
    <w:rsid w:val="00F4649A"/>
    <w:rsid w:val="00F464E8"/>
    <w:rsid w:val="00F46504"/>
    <w:rsid w:val="00F4652E"/>
    <w:rsid w:val="00F46634"/>
    <w:rsid w:val="00F46678"/>
    <w:rsid w:val="00F466DA"/>
    <w:rsid w:val="00F46705"/>
    <w:rsid w:val="00F46839"/>
    <w:rsid w:val="00F4687D"/>
    <w:rsid w:val="00F4688C"/>
    <w:rsid w:val="00F46996"/>
    <w:rsid w:val="00F469C5"/>
    <w:rsid w:val="00F46A4A"/>
    <w:rsid w:val="00F46AC3"/>
    <w:rsid w:val="00F46B4F"/>
    <w:rsid w:val="00F46C15"/>
    <w:rsid w:val="00F46DFD"/>
    <w:rsid w:val="00F46E0D"/>
    <w:rsid w:val="00F46F14"/>
    <w:rsid w:val="00F46FD4"/>
    <w:rsid w:val="00F46FD8"/>
    <w:rsid w:val="00F47101"/>
    <w:rsid w:val="00F47136"/>
    <w:rsid w:val="00F47149"/>
    <w:rsid w:val="00F4716D"/>
    <w:rsid w:val="00F471E7"/>
    <w:rsid w:val="00F4721A"/>
    <w:rsid w:val="00F473FD"/>
    <w:rsid w:val="00F47417"/>
    <w:rsid w:val="00F47506"/>
    <w:rsid w:val="00F475C8"/>
    <w:rsid w:val="00F475E3"/>
    <w:rsid w:val="00F47611"/>
    <w:rsid w:val="00F4767D"/>
    <w:rsid w:val="00F47729"/>
    <w:rsid w:val="00F479AF"/>
    <w:rsid w:val="00F47A16"/>
    <w:rsid w:val="00F47B2C"/>
    <w:rsid w:val="00F47B58"/>
    <w:rsid w:val="00F47B6E"/>
    <w:rsid w:val="00F47CA0"/>
    <w:rsid w:val="00F47CAC"/>
    <w:rsid w:val="00F47CD6"/>
    <w:rsid w:val="00F47CFA"/>
    <w:rsid w:val="00F47D69"/>
    <w:rsid w:val="00F47E85"/>
    <w:rsid w:val="00F47EBC"/>
    <w:rsid w:val="00F47EC3"/>
    <w:rsid w:val="00F47F79"/>
    <w:rsid w:val="00F47FA3"/>
    <w:rsid w:val="00F50017"/>
    <w:rsid w:val="00F500F0"/>
    <w:rsid w:val="00F50162"/>
    <w:rsid w:val="00F502C4"/>
    <w:rsid w:val="00F502E9"/>
    <w:rsid w:val="00F50321"/>
    <w:rsid w:val="00F504B5"/>
    <w:rsid w:val="00F5052D"/>
    <w:rsid w:val="00F50784"/>
    <w:rsid w:val="00F507C0"/>
    <w:rsid w:val="00F50923"/>
    <w:rsid w:val="00F50934"/>
    <w:rsid w:val="00F50963"/>
    <w:rsid w:val="00F50A97"/>
    <w:rsid w:val="00F50B43"/>
    <w:rsid w:val="00F50C31"/>
    <w:rsid w:val="00F50D8C"/>
    <w:rsid w:val="00F50EA1"/>
    <w:rsid w:val="00F50F93"/>
    <w:rsid w:val="00F50F94"/>
    <w:rsid w:val="00F50FF2"/>
    <w:rsid w:val="00F51023"/>
    <w:rsid w:val="00F5122A"/>
    <w:rsid w:val="00F51250"/>
    <w:rsid w:val="00F5142F"/>
    <w:rsid w:val="00F5147C"/>
    <w:rsid w:val="00F5155F"/>
    <w:rsid w:val="00F51655"/>
    <w:rsid w:val="00F516E8"/>
    <w:rsid w:val="00F5182F"/>
    <w:rsid w:val="00F518B7"/>
    <w:rsid w:val="00F51A4F"/>
    <w:rsid w:val="00F51A81"/>
    <w:rsid w:val="00F51AA9"/>
    <w:rsid w:val="00F51CA3"/>
    <w:rsid w:val="00F51D76"/>
    <w:rsid w:val="00F51DB1"/>
    <w:rsid w:val="00F51E5E"/>
    <w:rsid w:val="00F51E8E"/>
    <w:rsid w:val="00F51F7D"/>
    <w:rsid w:val="00F52018"/>
    <w:rsid w:val="00F5207B"/>
    <w:rsid w:val="00F52170"/>
    <w:rsid w:val="00F5218F"/>
    <w:rsid w:val="00F52448"/>
    <w:rsid w:val="00F52499"/>
    <w:rsid w:val="00F524AF"/>
    <w:rsid w:val="00F52639"/>
    <w:rsid w:val="00F52672"/>
    <w:rsid w:val="00F527DB"/>
    <w:rsid w:val="00F528DA"/>
    <w:rsid w:val="00F52ACC"/>
    <w:rsid w:val="00F52C65"/>
    <w:rsid w:val="00F52DE0"/>
    <w:rsid w:val="00F52E0B"/>
    <w:rsid w:val="00F52E77"/>
    <w:rsid w:val="00F52E7B"/>
    <w:rsid w:val="00F52F9F"/>
    <w:rsid w:val="00F5300D"/>
    <w:rsid w:val="00F53100"/>
    <w:rsid w:val="00F5313F"/>
    <w:rsid w:val="00F5318A"/>
    <w:rsid w:val="00F53220"/>
    <w:rsid w:val="00F53325"/>
    <w:rsid w:val="00F53377"/>
    <w:rsid w:val="00F533CE"/>
    <w:rsid w:val="00F53404"/>
    <w:rsid w:val="00F53517"/>
    <w:rsid w:val="00F53832"/>
    <w:rsid w:val="00F538E0"/>
    <w:rsid w:val="00F539D3"/>
    <w:rsid w:val="00F53C64"/>
    <w:rsid w:val="00F53DFC"/>
    <w:rsid w:val="00F53E15"/>
    <w:rsid w:val="00F53E60"/>
    <w:rsid w:val="00F53E7F"/>
    <w:rsid w:val="00F53EDD"/>
    <w:rsid w:val="00F53F8E"/>
    <w:rsid w:val="00F54092"/>
    <w:rsid w:val="00F540F0"/>
    <w:rsid w:val="00F5429E"/>
    <w:rsid w:val="00F542A6"/>
    <w:rsid w:val="00F542F7"/>
    <w:rsid w:val="00F54455"/>
    <w:rsid w:val="00F548B5"/>
    <w:rsid w:val="00F549B4"/>
    <w:rsid w:val="00F54A3A"/>
    <w:rsid w:val="00F54AE7"/>
    <w:rsid w:val="00F54B91"/>
    <w:rsid w:val="00F54BFF"/>
    <w:rsid w:val="00F54DA1"/>
    <w:rsid w:val="00F54E58"/>
    <w:rsid w:val="00F54E6B"/>
    <w:rsid w:val="00F54E93"/>
    <w:rsid w:val="00F54EFC"/>
    <w:rsid w:val="00F55051"/>
    <w:rsid w:val="00F550C8"/>
    <w:rsid w:val="00F55518"/>
    <w:rsid w:val="00F5552E"/>
    <w:rsid w:val="00F55585"/>
    <w:rsid w:val="00F555E6"/>
    <w:rsid w:val="00F55602"/>
    <w:rsid w:val="00F5571C"/>
    <w:rsid w:val="00F5571E"/>
    <w:rsid w:val="00F5578D"/>
    <w:rsid w:val="00F558B1"/>
    <w:rsid w:val="00F558B9"/>
    <w:rsid w:val="00F55B4F"/>
    <w:rsid w:val="00F55C1C"/>
    <w:rsid w:val="00F55D39"/>
    <w:rsid w:val="00F55EC4"/>
    <w:rsid w:val="00F55F84"/>
    <w:rsid w:val="00F56010"/>
    <w:rsid w:val="00F5603E"/>
    <w:rsid w:val="00F56185"/>
    <w:rsid w:val="00F56267"/>
    <w:rsid w:val="00F56279"/>
    <w:rsid w:val="00F56284"/>
    <w:rsid w:val="00F562D0"/>
    <w:rsid w:val="00F56315"/>
    <w:rsid w:val="00F56373"/>
    <w:rsid w:val="00F5638E"/>
    <w:rsid w:val="00F5654D"/>
    <w:rsid w:val="00F56580"/>
    <w:rsid w:val="00F565E5"/>
    <w:rsid w:val="00F566D8"/>
    <w:rsid w:val="00F566EC"/>
    <w:rsid w:val="00F56759"/>
    <w:rsid w:val="00F568EC"/>
    <w:rsid w:val="00F56914"/>
    <w:rsid w:val="00F56966"/>
    <w:rsid w:val="00F5698E"/>
    <w:rsid w:val="00F56ADB"/>
    <w:rsid w:val="00F56BFC"/>
    <w:rsid w:val="00F56C18"/>
    <w:rsid w:val="00F56C82"/>
    <w:rsid w:val="00F56D12"/>
    <w:rsid w:val="00F56D16"/>
    <w:rsid w:val="00F56D86"/>
    <w:rsid w:val="00F56DA6"/>
    <w:rsid w:val="00F56E4E"/>
    <w:rsid w:val="00F56FF5"/>
    <w:rsid w:val="00F5724A"/>
    <w:rsid w:val="00F572AB"/>
    <w:rsid w:val="00F573D4"/>
    <w:rsid w:val="00F5742F"/>
    <w:rsid w:val="00F57584"/>
    <w:rsid w:val="00F575C3"/>
    <w:rsid w:val="00F5764F"/>
    <w:rsid w:val="00F5765B"/>
    <w:rsid w:val="00F576DC"/>
    <w:rsid w:val="00F57793"/>
    <w:rsid w:val="00F5789C"/>
    <w:rsid w:val="00F5797A"/>
    <w:rsid w:val="00F57ADA"/>
    <w:rsid w:val="00F57AEF"/>
    <w:rsid w:val="00F57B70"/>
    <w:rsid w:val="00F57C19"/>
    <w:rsid w:val="00F57CA1"/>
    <w:rsid w:val="00F57D23"/>
    <w:rsid w:val="00F57EE5"/>
    <w:rsid w:val="00F57F6A"/>
    <w:rsid w:val="00F57F84"/>
    <w:rsid w:val="00F60032"/>
    <w:rsid w:val="00F6028D"/>
    <w:rsid w:val="00F603CD"/>
    <w:rsid w:val="00F604FF"/>
    <w:rsid w:val="00F60646"/>
    <w:rsid w:val="00F6085C"/>
    <w:rsid w:val="00F608A6"/>
    <w:rsid w:val="00F608EA"/>
    <w:rsid w:val="00F609A1"/>
    <w:rsid w:val="00F609E0"/>
    <w:rsid w:val="00F60A9D"/>
    <w:rsid w:val="00F60AFB"/>
    <w:rsid w:val="00F60BA0"/>
    <w:rsid w:val="00F60D35"/>
    <w:rsid w:val="00F60D74"/>
    <w:rsid w:val="00F60E5C"/>
    <w:rsid w:val="00F60E6C"/>
    <w:rsid w:val="00F60E6F"/>
    <w:rsid w:val="00F60ECC"/>
    <w:rsid w:val="00F61124"/>
    <w:rsid w:val="00F6128C"/>
    <w:rsid w:val="00F6131A"/>
    <w:rsid w:val="00F6133B"/>
    <w:rsid w:val="00F6133E"/>
    <w:rsid w:val="00F613DE"/>
    <w:rsid w:val="00F616FF"/>
    <w:rsid w:val="00F617A6"/>
    <w:rsid w:val="00F61849"/>
    <w:rsid w:val="00F61871"/>
    <w:rsid w:val="00F61926"/>
    <w:rsid w:val="00F61972"/>
    <w:rsid w:val="00F6197A"/>
    <w:rsid w:val="00F619CA"/>
    <w:rsid w:val="00F61BEB"/>
    <w:rsid w:val="00F61CCB"/>
    <w:rsid w:val="00F61E11"/>
    <w:rsid w:val="00F61E6D"/>
    <w:rsid w:val="00F61F26"/>
    <w:rsid w:val="00F61FE1"/>
    <w:rsid w:val="00F62032"/>
    <w:rsid w:val="00F6205E"/>
    <w:rsid w:val="00F6206F"/>
    <w:rsid w:val="00F620DA"/>
    <w:rsid w:val="00F620FD"/>
    <w:rsid w:val="00F621BA"/>
    <w:rsid w:val="00F622D6"/>
    <w:rsid w:val="00F62458"/>
    <w:rsid w:val="00F6248F"/>
    <w:rsid w:val="00F625D5"/>
    <w:rsid w:val="00F62616"/>
    <w:rsid w:val="00F62709"/>
    <w:rsid w:val="00F6273B"/>
    <w:rsid w:val="00F62792"/>
    <w:rsid w:val="00F6281A"/>
    <w:rsid w:val="00F6293B"/>
    <w:rsid w:val="00F62943"/>
    <w:rsid w:val="00F62950"/>
    <w:rsid w:val="00F62994"/>
    <w:rsid w:val="00F629B1"/>
    <w:rsid w:val="00F62A41"/>
    <w:rsid w:val="00F62A9A"/>
    <w:rsid w:val="00F62BF6"/>
    <w:rsid w:val="00F62BFC"/>
    <w:rsid w:val="00F62C05"/>
    <w:rsid w:val="00F62CD0"/>
    <w:rsid w:val="00F62EBE"/>
    <w:rsid w:val="00F62F41"/>
    <w:rsid w:val="00F62F46"/>
    <w:rsid w:val="00F63261"/>
    <w:rsid w:val="00F632D4"/>
    <w:rsid w:val="00F63442"/>
    <w:rsid w:val="00F63462"/>
    <w:rsid w:val="00F6346F"/>
    <w:rsid w:val="00F634E0"/>
    <w:rsid w:val="00F6361E"/>
    <w:rsid w:val="00F6362A"/>
    <w:rsid w:val="00F63681"/>
    <w:rsid w:val="00F637CB"/>
    <w:rsid w:val="00F637FF"/>
    <w:rsid w:val="00F638D7"/>
    <w:rsid w:val="00F6394D"/>
    <w:rsid w:val="00F63BA1"/>
    <w:rsid w:val="00F63C1F"/>
    <w:rsid w:val="00F63C89"/>
    <w:rsid w:val="00F63DF3"/>
    <w:rsid w:val="00F63E23"/>
    <w:rsid w:val="00F640CE"/>
    <w:rsid w:val="00F6431E"/>
    <w:rsid w:val="00F64546"/>
    <w:rsid w:val="00F64573"/>
    <w:rsid w:val="00F6462C"/>
    <w:rsid w:val="00F6484B"/>
    <w:rsid w:val="00F64895"/>
    <w:rsid w:val="00F648F9"/>
    <w:rsid w:val="00F64A91"/>
    <w:rsid w:val="00F64AD7"/>
    <w:rsid w:val="00F64BFC"/>
    <w:rsid w:val="00F64C33"/>
    <w:rsid w:val="00F64EE4"/>
    <w:rsid w:val="00F64F9A"/>
    <w:rsid w:val="00F64FA0"/>
    <w:rsid w:val="00F653CE"/>
    <w:rsid w:val="00F6542B"/>
    <w:rsid w:val="00F65451"/>
    <w:rsid w:val="00F6549E"/>
    <w:rsid w:val="00F654CA"/>
    <w:rsid w:val="00F65532"/>
    <w:rsid w:val="00F65600"/>
    <w:rsid w:val="00F65695"/>
    <w:rsid w:val="00F656AF"/>
    <w:rsid w:val="00F657E0"/>
    <w:rsid w:val="00F65990"/>
    <w:rsid w:val="00F65991"/>
    <w:rsid w:val="00F65B62"/>
    <w:rsid w:val="00F65B7A"/>
    <w:rsid w:val="00F65BD3"/>
    <w:rsid w:val="00F65E82"/>
    <w:rsid w:val="00F65E96"/>
    <w:rsid w:val="00F65FFE"/>
    <w:rsid w:val="00F6621F"/>
    <w:rsid w:val="00F66250"/>
    <w:rsid w:val="00F66291"/>
    <w:rsid w:val="00F6634B"/>
    <w:rsid w:val="00F66424"/>
    <w:rsid w:val="00F664B1"/>
    <w:rsid w:val="00F666AC"/>
    <w:rsid w:val="00F66826"/>
    <w:rsid w:val="00F668DC"/>
    <w:rsid w:val="00F669E9"/>
    <w:rsid w:val="00F66C26"/>
    <w:rsid w:val="00F66C8D"/>
    <w:rsid w:val="00F66D5C"/>
    <w:rsid w:val="00F66D83"/>
    <w:rsid w:val="00F66EDF"/>
    <w:rsid w:val="00F66FC7"/>
    <w:rsid w:val="00F6717A"/>
    <w:rsid w:val="00F671E2"/>
    <w:rsid w:val="00F672B1"/>
    <w:rsid w:val="00F672D5"/>
    <w:rsid w:val="00F67519"/>
    <w:rsid w:val="00F675E6"/>
    <w:rsid w:val="00F677F7"/>
    <w:rsid w:val="00F6784B"/>
    <w:rsid w:val="00F6796E"/>
    <w:rsid w:val="00F67A9D"/>
    <w:rsid w:val="00F67B16"/>
    <w:rsid w:val="00F67B4F"/>
    <w:rsid w:val="00F67BC0"/>
    <w:rsid w:val="00F67BEF"/>
    <w:rsid w:val="00F67C41"/>
    <w:rsid w:val="00F67D09"/>
    <w:rsid w:val="00F67D5D"/>
    <w:rsid w:val="00F67F20"/>
    <w:rsid w:val="00F67F4A"/>
    <w:rsid w:val="00F67F66"/>
    <w:rsid w:val="00F7015F"/>
    <w:rsid w:val="00F701C0"/>
    <w:rsid w:val="00F701C8"/>
    <w:rsid w:val="00F7034B"/>
    <w:rsid w:val="00F704DB"/>
    <w:rsid w:val="00F705ED"/>
    <w:rsid w:val="00F70664"/>
    <w:rsid w:val="00F7077D"/>
    <w:rsid w:val="00F70781"/>
    <w:rsid w:val="00F70789"/>
    <w:rsid w:val="00F70826"/>
    <w:rsid w:val="00F70959"/>
    <w:rsid w:val="00F709E4"/>
    <w:rsid w:val="00F709EB"/>
    <w:rsid w:val="00F70B13"/>
    <w:rsid w:val="00F70B1B"/>
    <w:rsid w:val="00F70C54"/>
    <w:rsid w:val="00F70DCA"/>
    <w:rsid w:val="00F70FEE"/>
    <w:rsid w:val="00F7106A"/>
    <w:rsid w:val="00F71248"/>
    <w:rsid w:val="00F7132A"/>
    <w:rsid w:val="00F7145D"/>
    <w:rsid w:val="00F7148D"/>
    <w:rsid w:val="00F714A7"/>
    <w:rsid w:val="00F714AF"/>
    <w:rsid w:val="00F714B8"/>
    <w:rsid w:val="00F715F5"/>
    <w:rsid w:val="00F71697"/>
    <w:rsid w:val="00F7173B"/>
    <w:rsid w:val="00F71927"/>
    <w:rsid w:val="00F71A14"/>
    <w:rsid w:val="00F71B2A"/>
    <w:rsid w:val="00F71B43"/>
    <w:rsid w:val="00F71B54"/>
    <w:rsid w:val="00F71E55"/>
    <w:rsid w:val="00F71E9F"/>
    <w:rsid w:val="00F71F10"/>
    <w:rsid w:val="00F71F44"/>
    <w:rsid w:val="00F71FED"/>
    <w:rsid w:val="00F72082"/>
    <w:rsid w:val="00F72199"/>
    <w:rsid w:val="00F72224"/>
    <w:rsid w:val="00F722A4"/>
    <w:rsid w:val="00F72320"/>
    <w:rsid w:val="00F72332"/>
    <w:rsid w:val="00F72386"/>
    <w:rsid w:val="00F72396"/>
    <w:rsid w:val="00F72451"/>
    <w:rsid w:val="00F724C2"/>
    <w:rsid w:val="00F724D0"/>
    <w:rsid w:val="00F7251F"/>
    <w:rsid w:val="00F7252C"/>
    <w:rsid w:val="00F7257E"/>
    <w:rsid w:val="00F7261C"/>
    <w:rsid w:val="00F726DD"/>
    <w:rsid w:val="00F72899"/>
    <w:rsid w:val="00F72CEC"/>
    <w:rsid w:val="00F72E35"/>
    <w:rsid w:val="00F72E3A"/>
    <w:rsid w:val="00F72FDE"/>
    <w:rsid w:val="00F73008"/>
    <w:rsid w:val="00F73020"/>
    <w:rsid w:val="00F7319D"/>
    <w:rsid w:val="00F7332A"/>
    <w:rsid w:val="00F7336B"/>
    <w:rsid w:val="00F73375"/>
    <w:rsid w:val="00F7355F"/>
    <w:rsid w:val="00F735F8"/>
    <w:rsid w:val="00F7360E"/>
    <w:rsid w:val="00F73661"/>
    <w:rsid w:val="00F7383E"/>
    <w:rsid w:val="00F73896"/>
    <w:rsid w:val="00F7392D"/>
    <w:rsid w:val="00F73934"/>
    <w:rsid w:val="00F73957"/>
    <w:rsid w:val="00F73A1D"/>
    <w:rsid w:val="00F73A2F"/>
    <w:rsid w:val="00F73A7F"/>
    <w:rsid w:val="00F73C55"/>
    <w:rsid w:val="00F73CB6"/>
    <w:rsid w:val="00F73D2D"/>
    <w:rsid w:val="00F73E8C"/>
    <w:rsid w:val="00F74066"/>
    <w:rsid w:val="00F7418D"/>
    <w:rsid w:val="00F74213"/>
    <w:rsid w:val="00F74356"/>
    <w:rsid w:val="00F74519"/>
    <w:rsid w:val="00F7451E"/>
    <w:rsid w:val="00F74550"/>
    <w:rsid w:val="00F74552"/>
    <w:rsid w:val="00F74657"/>
    <w:rsid w:val="00F7465F"/>
    <w:rsid w:val="00F746FD"/>
    <w:rsid w:val="00F7471F"/>
    <w:rsid w:val="00F7472D"/>
    <w:rsid w:val="00F748ED"/>
    <w:rsid w:val="00F74912"/>
    <w:rsid w:val="00F74972"/>
    <w:rsid w:val="00F74B4C"/>
    <w:rsid w:val="00F74C0C"/>
    <w:rsid w:val="00F74CBE"/>
    <w:rsid w:val="00F74D05"/>
    <w:rsid w:val="00F74EEF"/>
    <w:rsid w:val="00F74F72"/>
    <w:rsid w:val="00F75005"/>
    <w:rsid w:val="00F75014"/>
    <w:rsid w:val="00F75033"/>
    <w:rsid w:val="00F751E7"/>
    <w:rsid w:val="00F7520C"/>
    <w:rsid w:val="00F753F4"/>
    <w:rsid w:val="00F753F5"/>
    <w:rsid w:val="00F754FB"/>
    <w:rsid w:val="00F7553C"/>
    <w:rsid w:val="00F75559"/>
    <w:rsid w:val="00F755EB"/>
    <w:rsid w:val="00F7566A"/>
    <w:rsid w:val="00F75972"/>
    <w:rsid w:val="00F75A3F"/>
    <w:rsid w:val="00F75A70"/>
    <w:rsid w:val="00F75BCD"/>
    <w:rsid w:val="00F75C46"/>
    <w:rsid w:val="00F75CDC"/>
    <w:rsid w:val="00F75CE3"/>
    <w:rsid w:val="00F75D53"/>
    <w:rsid w:val="00F75DF6"/>
    <w:rsid w:val="00F75F4C"/>
    <w:rsid w:val="00F7606D"/>
    <w:rsid w:val="00F761F5"/>
    <w:rsid w:val="00F764D1"/>
    <w:rsid w:val="00F765A3"/>
    <w:rsid w:val="00F76670"/>
    <w:rsid w:val="00F766B3"/>
    <w:rsid w:val="00F76785"/>
    <w:rsid w:val="00F767C9"/>
    <w:rsid w:val="00F767E6"/>
    <w:rsid w:val="00F7692F"/>
    <w:rsid w:val="00F76AFC"/>
    <w:rsid w:val="00F76BF8"/>
    <w:rsid w:val="00F76C54"/>
    <w:rsid w:val="00F76CC8"/>
    <w:rsid w:val="00F76DED"/>
    <w:rsid w:val="00F76E03"/>
    <w:rsid w:val="00F76F89"/>
    <w:rsid w:val="00F76FD0"/>
    <w:rsid w:val="00F77002"/>
    <w:rsid w:val="00F7701C"/>
    <w:rsid w:val="00F7702F"/>
    <w:rsid w:val="00F77096"/>
    <w:rsid w:val="00F77142"/>
    <w:rsid w:val="00F771E0"/>
    <w:rsid w:val="00F77246"/>
    <w:rsid w:val="00F772C3"/>
    <w:rsid w:val="00F772D5"/>
    <w:rsid w:val="00F77478"/>
    <w:rsid w:val="00F774D5"/>
    <w:rsid w:val="00F77510"/>
    <w:rsid w:val="00F77525"/>
    <w:rsid w:val="00F77696"/>
    <w:rsid w:val="00F776E1"/>
    <w:rsid w:val="00F77739"/>
    <w:rsid w:val="00F77768"/>
    <w:rsid w:val="00F777A2"/>
    <w:rsid w:val="00F7782B"/>
    <w:rsid w:val="00F77A0D"/>
    <w:rsid w:val="00F77A42"/>
    <w:rsid w:val="00F77A9F"/>
    <w:rsid w:val="00F77B0D"/>
    <w:rsid w:val="00F77C63"/>
    <w:rsid w:val="00F77D34"/>
    <w:rsid w:val="00F77DA8"/>
    <w:rsid w:val="00F77DB1"/>
    <w:rsid w:val="00F77FEE"/>
    <w:rsid w:val="00F800B9"/>
    <w:rsid w:val="00F800C8"/>
    <w:rsid w:val="00F80111"/>
    <w:rsid w:val="00F80141"/>
    <w:rsid w:val="00F801DA"/>
    <w:rsid w:val="00F802FF"/>
    <w:rsid w:val="00F80392"/>
    <w:rsid w:val="00F8039F"/>
    <w:rsid w:val="00F8041C"/>
    <w:rsid w:val="00F80469"/>
    <w:rsid w:val="00F80552"/>
    <w:rsid w:val="00F805FC"/>
    <w:rsid w:val="00F80626"/>
    <w:rsid w:val="00F80795"/>
    <w:rsid w:val="00F80A80"/>
    <w:rsid w:val="00F80AC9"/>
    <w:rsid w:val="00F80BF5"/>
    <w:rsid w:val="00F80C1A"/>
    <w:rsid w:val="00F80C3B"/>
    <w:rsid w:val="00F80D8B"/>
    <w:rsid w:val="00F80DC5"/>
    <w:rsid w:val="00F80DD3"/>
    <w:rsid w:val="00F80EE6"/>
    <w:rsid w:val="00F80EED"/>
    <w:rsid w:val="00F80F72"/>
    <w:rsid w:val="00F80FB4"/>
    <w:rsid w:val="00F80FEA"/>
    <w:rsid w:val="00F8106B"/>
    <w:rsid w:val="00F810BB"/>
    <w:rsid w:val="00F8111E"/>
    <w:rsid w:val="00F81144"/>
    <w:rsid w:val="00F81263"/>
    <w:rsid w:val="00F81265"/>
    <w:rsid w:val="00F8156F"/>
    <w:rsid w:val="00F815C1"/>
    <w:rsid w:val="00F815EA"/>
    <w:rsid w:val="00F8168F"/>
    <w:rsid w:val="00F816FE"/>
    <w:rsid w:val="00F817DB"/>
    <w:rsid w:val="00F818E0"/>
    <w:rsid w:val="00F8199C"/>
    <w:rsid w:val="00F81BBA"/>
    <w:rsid w:val="00F81CA2"/>
    <w:rsid w:val="00F81CE3"/>
    <w:rsid w:val="00F81D53"/>
    <w:rsid w:val="00F81D69"/>
    <w:rsid w:val="00F81D74"/>
    <w:rsid w:val="00F81E25"/>
    <w:rsid w:val="00F81E62"/>
    <w:rsid w:val="00F81E8F"/>
    <w:rsid w:val="00F81F99"/>
    <w:rsid w:val="00F821AA"/>
    <w:rsid w:val="00F82223"/>
    <w:rsid w:val="00F823C7"/>
    <w:rsid w:val="00F82407"/>
    <w:rsid w:val="00F82515"/>
    <w:rsid w:val="00F825F4"/>
    <w:rsid w:val="00F82644"/>
    <w:rsid w:val="00F82690"/>
    <w:rsid w:val="00F82735"/>
    <w:rsid w:val="00F82743"/>
    <w:rsid w:val="00F82A6C"/>
    <w:rsid w:val="00F82B78"/>
    <w:rsid w:val="00F82C4B"/>
    <w:rsid w:val="00F82C74"/>
    <w:rsid w:val="00F82CEF"/>
    <w:rsid w:val="00F82E04"/>
    <w:rsid w:val="00F82E74"/>
    <w:rsid w:val="00F82E7E"/>
    <w:rsid w:val="00F82F4C"/>
    <w:rsid w:val="00F83123"/>
    <w:rsid w:val="00F831FD"/>
    <w:rsid w:val="00F832D5"/>
    <w:rsid w:val="00F833B0"/>
    <w:rsid w:val="00F8347A"/>
    <w:rsid w:val="00F835A0"/>
    <w:rsid w:val="00F83783"/>
    <w:rsid w:val="00F837B1"/>
    <w:rsid w:val="00F83818"/>
    <w:rsid w:val="00F8382E"/>
    <w:rsid w:val="00F8392C"/>
    <w:rsid w:val="00F83995"/>
    <w:rsid w:val="00F839ED"/>
    <w:rsid w:val="00F83A74"/>
    <w:rsid w:val="00F83A93"/>
    <w:rsid w:val="00F83D55"/>
    <w:rsid w:val="00F83DF9"/>
    <w:rsid w:val="00F83E22"/>
    <w:rsid w:val="00F83E5E"/>
    <w:rsid w:val="00F83F01"/>
    <w:rsid w:val="00F83FEF"/>
    <w:rsid w:val="00F84037"/>
    <w:rsid w:val="00F840AB"/>
    <w:rsid w:val="00F8421B"/>
    <w:rsid w:val="00F84478"/>
    <w:rsid w:val="00F844A8"/>
    <w:rsid w:val="00F8452B"/>
    <w:rsid w:val="00F84602"/>
    <w:rsid w:val="00F84745"/>
    <w:rsid w:val="00F847F2"/>
    <w:rsid w:val="00F8485A"/>
    <w:rsid w:val="00F848A4"/>
    <w:rsid w:val="00F84944"/>
    <w:rsid w:val="00F849E4"/>
    <w:rsid w:val="00F84A07"/>
    <w:rsid w:val="00F84A28"/>
    <w:rsid w:val="00F84B16"/>
    <w:rsid w:val="00F84BB9"/>
    <w:rsid w:val="00F84BF2"/>
    <w:rsid w:val="00F84D3D"/>
    <w:rsid w:val="00F84DF5"/>
    <w:rsid w:val="00F84E62"/>
    <w:rsid w:val="00F84EAD"/>
    <w:rsid w:val="00F84EAF"/>
    <w:rsid w:val="00F84EB8"/>
    <w:rsid w:val="00F84FC1"/>
    <w:rsid w:val="00F85010"/>
    <w:rsid w:val="00F8508A"/>
    <w:rsid w:val="00F8508B"/>
    <w:rsid w:val="00F850D1"/>
    <w:rsid w:val="00F85142"/>
    <w:rsid w:val="00F85194"/>
    <w:rsid w:val="00F851C5"/>
    <w:rsid w:val="00F85415"/>
    <w:rsid w:val="00F854D6"/>
    <w:rsid w:val="00F854DF"/>
    <w:rsid w:val="00F85555"/>
    <w:rsid w:val="00F85556"/>
    <w:rsid w:val="00F85602"/>
    <w:rsid w:val="00F8579C"/>
    <w:rsid w:val="00F857A1"/>
    <w:rsid w:val="00F857C8"/>
    <w:rsid w:val="00F85872"/>
    <w:rsid w:val="00F858E4"/>
    <w:rsid w:val="00F85A27"/>
    <w:rsid w:val="00F85BBB"/>
    <w:rsid w:val="00F85C46"/>
    <w:rsid w:val="00F85C47"/>
    <w:rsid w:val="00F85CF8"/>
    <w:rsid w:val="00F85DA4"/>
    <w:rsid w:val="00F85E0D"/>
    <w:rsid w:val="00F86202"/>
    <w:rsid w:val="00F862B1"/>
    <w:rsid w:val="00F8634A"/>
    <w:rsid w:val="00F863E6"/>
    <w:rsid w:val="00F8658F"/>
    <w:rsid w:val="00F866D2"/>
    <w:rsid w:val="00F867F0"/>
    <w:rsid w:val="00F869DA"/>
    <w:rsid w:val="00F86AF9"/>
    <w:rsid w:val="00F86B2F"/>
    <w:rsid w:val="00F86BB3"/>
    <w:rsid w:val="00F86C85"/>
    <w:rsid w:val="00F86CBE"/>
    <w:rsid w:val="00F86DC5"/>
    <w:rsid w:val="00F86F18"/>
    <w:rsid w:val="00F8708F"/>
    <w:rsid w:val="00F87269"/>
    <w:rsid w:val="00F872B2"/>
    <w:rsid w:val="00F87484"/>
    <w:rsid w:val="00F874FC"/>
    <w:rsid w:val="00F8764D"/>
    <w:rsid w:val="00F87750"/>
    <w:rsid w:val="00F87768"/>
    <w:rsid w:val="00F87980"/>
    <w:rsid w:val="00F87B3D"/>
    <w:rsid w:val="00F87BA2"/>
    <w:rsid w:val="00F87BEC"/>
    <w:rsid w:val="00F87C49"/>
    <w:rsid w:val="00F87DC8"/>
    <w:rsid w:val="00F87F9D"/>
    <w:rsid w:val="00F90298"/>
    <w:rsid w:val="00F902DD"/>
    <w:rsid w:val="00F9035D"/>
    <w:rsid w:val="00F903F5"/>
    <w:rsid w:val="00F90474"/>
    <w:rsid w:val="00F9048C"/>
    <w:rsid w:val="00F904C9"/>
    <w:rsid w:val="00F9060F"/>
    <w:rsid w:val="00F90689"/>
    <w:rsid w:val="00F9077A"/>
    <w:rsid w:val="00F90A31"/>
    <w:rsid w:val="00F90A48"/>
    <w:rsid w:val="00F90AD4"/>
    <w:rsid w:val="00F90C6A"/>
    <w:rsid w:val="00F90E08"/>
    <w:rsid w:val="00F90EF0"/>
    <w:rsid w:val="00F90EF1"/>
    <w:rsid w:val="00F90F15"/>
    <w:rsid w:val="00F910FA"/>
    <w:rsid w:val="00F9118A"/>
    <w:rsid w:val="00F911FB"/>
    <w:rsid w:val="00F91351"/>
    <w:rsid w:val="00F91356"/>
    <w:rsid w:val="00F9146B"/>
    <w:rsid w:val="00F9146C"/>
    <w:rsid w:val="00F91524"/>
    <w:rsid w:val="00F9153A"/>
    <w:rsid w:val="00F915BA"/>
    <w:rsid w:val="00F9164B"/>
    <w:rsid w:val="00F91661"/>
    <w:rsid w:val="00F916DA"/>
    <w:rsid w:val="00F91757"/>
    <w:rsid w:val="00F91837"/>
    <w:rsid w:val="00F9189A"/>
    <w:rsid w:val="00F91987"/>
    <w:rsid w:val="00F91A11"/>
    <w:rsid w:val="00F91A77"/>
    <w:rsid w:val="00F91B46"/>
    <w:rsid w:val="00F91B4D"/>
    <w:rsid w:val="00F91B9A"/>
    <w:rsid w:val="00F91C9D"/>
    <w:rsid w:val="00F91D35"/>
    <w:rsid w:val="00F91E85"/>
    <w:rsid w:val="00F91EC2"/>
    <w:rsid w:val="00F921C3"/>
    <w:rsid w:val="00F922DB"/>
    <w:rsid w:val="00F923AF"/>
    <w:rsid w:val="00F923DB"/>
    <w:rsid w:val="00F92447"/>
    <w:rsid w:val="00F9250C"/>
    <w:rsid w:val="00F92632"/>
    <w:rsid w:val="00F9275C"/>
    <w:rsid w:val="00F927C6"/>
    <w:rsid w:val="00F92892"/>
    <w:rsid w:val="00F92973"/>
    <w:rsid w:val="00F929F1"/>
    <w:rsid w:val="00F929FC"/>
    <w:rsid w:val="00F92A45"/>
    <w:rsid w:val="00F92A51"/>
    <w:rsid w:val="00F92A73"/>
    <w:rsid w:val="00F92B3C"/>
    <w:rsid w:val="00F92B62"/>
    <w:rsid w:val="00F92D24"/>
    <w:rsid w:val="00F92E8D"/>
    <w:rsid w:val="00F92ECF"/>
    <w:rsid w:val="00F92FBF"/>
    <w:rsid w:val="00F9300C"/>
    <w:rsid w:val="00F930E1"/>
    <w:rsid w:val="00F93238"/>
    <w:rsid w:val="00F93256"/>
    <w:rsid w:val="00F932B6"/>
    <w:rsid w:val="00F9333F"/>
    <w:rsid w:val="00F93376"/>
    <w:rsid w:val="00F93384"/>
    <w:rsid w:val="00F933A8"/>
    <w:rsid w:val="00F933CB"/>
    <w:rsid w:val="00F9344F"/>
    <w:rsid w:val="00F93452"/>
    <w:rsid w:val="00F935DE"/>
    <w:rsid w:val="00F93605"/>
    <w:rsid w:val="00F9362E"/>
    <w:rsid w:val="00F936A1"/>
    <w:rsid w:val="00F93860"/>
    <w:rsid w:val="00F9389A"/>
    <w:rsid w:val="00F93906"/>
    <w:rsid w:val="00F939F7"/>
    <w:rsid w:val="00F93BED"/>
    <w:rsid w:val="00F93C98"/>
    <w:rsid w:val="00F93D72"/>
    <w:rsid w:val="00F93EA6"/>
    <w:rsid w:val="00F93F77"/>
    <w:rsid w:val="00F9416E"/>
    <w:rsid w:val="00F941E1"/>
    <w:rsid w:val="00F94213"/>
    <w:rsid w:val="00F94361"/>
    <w:rsid w:val="00F943A2"/>
    <w:rsid w:val="00F94786"/>
    <w:rsid w:val="00F9487D"/>
    <w:rsid w:val="00F94945"/>
    <w:rsid w:val="00F94A50"/>
    <w:rsid w:val="00F94C08"/>
    <w:rsid w:val="00F94E1E"/>
    <w:rsid w:val="00F94EFF"/>
    <w:rsid w:val="00F94FCE"/>
    <w:rsid w:val="00F950F7"/>
    <w:rsid w:val="00F952B2"/>
    <w:rsid w:val="00F9544C"/>
    <w:rsid w:val="00F9547F"/>
    <w:rsid w:val="00F955A6"/>
    <w:rsid w:val="00F956D1"/>
    <w:rsid w:val="00F95948"/>
    <w:rsid w:val="00F95A6F"/>
    <w:rsid w:val="00F95A98"/>
    <w:rsid w:val="00F95B3E"/>
    <w:rsid w:val="00F95B93"/>
    <w:rsid w:val="00F95B9A"/>
    <w:rsid w:val="00F95BBE"/>
    <w:rsid w:val="00F95CAE"/>
    <w:rsid w:val="00F95DB4"/>
    <w:rsid w:val="00F95E9E"/>
    <w:rsid w:val="00F95F48"/>
    <w:rsid w:val="00F96030"/>
    <w:rsid w:val="00F9617E"/>
    <w:rsid w:val="00F961FE"/>
    <w:rsid w:val="00F96257"/>
    <w:rsid w:val="00F96449"/>
    <w:rsid w:val="00F9648D"/>
    <w:rsid w:val="00F964C1"/>
    <w:rsid w:val="00F964DC"/>
    <w:rsid w:val="00F964F3"/>
    <w:rsid w:val="00F965BD"/>
    <w:rsid w:val="00F96611"/>
    <w:rsid w:val="00F96675"/>
    <w:rsid w:val="00F96676"/>
    <w:rsid w:val="00F966CD"/>
    <w:rsid w:val="00F9689E"/>
    <w:rsid w:val="00F96939"/>
    <w:rsid w:val="00F96946"/>
    <w:rsid w:val="00F96A8B"/>
    <w:rsid w:val="00F96AD5"/>
    <w:rsid w:val="00F96AF0"/>
    <w:rsid w:val="00F96C78"/>
    <w:rsid w:val="00F96C9A"/>
    <w:rsid w:val="00F96DCF"/>
    <w:rsid w:val="00F96EA6"/>
    <w:rsid w:val="00F96EC2"/>
    <w:rsid w:val="00F96EDE"/>
    <w:rsid w:val="00F96F7E"/>
    <w:rsid w:val="00F96F8E"/>
    <w:rsid w:val="00F970BB"/>
    <w:rsid w:val="00F97271"/>
    <w:rsid w:val="00F97289"/>
    <w:rsid w:val="00F97343"/>
    <w:rsid w:val="00F9736B"/>
    <w:rsid w:val="00F97397"/>
    <w:rsid w:val="00F9746B"/>
    <w:rsid w:val="00F97491"/>
    <w:rsid w:val="00F9754D"/>
    <w:rsid w:val="00F9765E"/>
    <w:rsid w:val="00F976B0"/>
    <w:rsid w:val="00F97705"/>
    <w:rsid w:val="00F97898"/>
    <w:rsid w:val="00F9798B"/>
    <w:rsid w:val="00F9799C"/>
    <w:rsid w:val="00F979D7"/>
    <w:rsid w:val="00F97A59"/>
    <w:rsid w:val="00F97B84"/>
    <w:rsid w:val="00F97BA5"/>
    <w:rsid w:val="00F97BED"/>
    <w:rsid w:val="00F97C0C"/>
    <w:rsid w:val="00F97CA8"/>
    <w:rsid w:val="00F97CF9"/>
    <w:rsid w:val="00F97D06"/>
    <w:rsid w:val="00F97D48"/>
    <w:rsid w:val="00F97E5E"/>
    <w:rsid w:val="00F97EC3"/>
    <w:rsid w:val="00F97F05"/>
    <w:rsid w:val="00F97F1C"/>
    <w:rsid w:val="00F97F5C"/>
    <w:rsid w:val="00FA0026"/>
    <w:rsid w:val="00FA0031"/>
    <w:rsid w:val="00FA0062"/>
    <w:rsid w:val="00FA009C"/>
    <w:rsid w:val="00FA00DC"/>
    <w:rsid w:val="00FA02A4"/>
    <w:rsid w:val="00FA037E"/>
    <w:rsid w:val="00FA03EA"/>
    <w:rsid w:val="00FA0543"/>
    <w:rsid w:val="00FA06A1"/>
    <w:rsid w:val="00FA06E8"/>
    <w:rsid w:val="00FA0A16"/>
    <w:rsid w:val="00FA0A3A"/>
    <w:rsid w:val="00FA0AC8"/>
    <w:rsid w:val="00FA0B79"/>
    <w:rsid w:val="00FA0BE9"/>
    <w:rsid w:val="00FA0D2D"/>
    <w:rsid w:val="00FA0E5C"/>
    <w:rsid w:val="00FA0EAD"/>
    <w:rsid w:val="00FA111E"/>
    <w:rsid w:val="00FA1160"/>
    <w:rsid w:val="00FA116C"/>
    <w:rsid w:val="00FA1219"/>
    <w:rsid w:val="00FA1231"/>
    <w:rsid w:val="00FA1333"/>
    <w:rsid w:val="00FA140E"/>
    <w:rsid w:val="00FA141A"/>
    <w:rsid w:val="00FA14D7"/>
    <w:rsid w:val="00FA14FD"/>
    <w:rsid w:val="00FA15A6"/>
    <w:rsid w:val="00FA15DF"/>
    <w:rsid w:val="00FA1798"/>
    <w:rsid w:val="00FA17E6"/>
    <w:rsid w:val="00FA1805"/>
    <w:rsid w:val="00FA1B13"/>
    <w:rsid w:val="00FA1BE5"/>
    <w:rsid w:val="00FA1C32"/>
    <w:rsid w:val="00FA1C44"/>
    <w:rsid w:val="00FA1C79"/>
    <w:rsid w:val="00FA1E64"/>
    <w:rsid w:val="00FA1F82"/>
    <w:rsid w:val="00FA2017"/>
    <w:rsid w:val="00FA2085"/>
    <w:rsid w:val="00FA21B7"/>
    <w:rsid w:val="00FA232E"/>
    <w:rsid w:val="00FA2385"/>
    <w:rsid w:val="00FA23B4"/>
    <w:rsid w:val="00FA241D"/>
    <w:rsid w:val="00FA2435"/>
    <w:rsid w:val="00FA2472"/>
    <w:rsid w:val="00FA2623"/>
    <w:rsid w:val="00FA2721"/>
    <w:rsid w:val="00FA28BA"/>
    <w:rsid w:val="00FA2979"/>
    <w:rsid w:val="00FA29A1"/>
    <w:rsid w:val="00FA2A9F"/>
    <w:rsid w:val="00FA2AF1"/>
    <w:rsid w:val="00FA2B70"/>
    <w:rsid w:val="00FA2B96"/>
    <w:rsid w:val="00FA2C27"/>
    <w:rsid w:val="00FA2DC9"/>
    <w:rsid w:val="00FA2F3D"/>
    <w:rsid w:val="00FA2F55"/>
    <w:rsid w:val="00FA2F82"/>
    <w:rsid w:val="00FA2FB1"/>
    <w:rsid w:val="00FA2FC2"/>
    <w:rsid w:val="00FA3023"/>
    <w:rsid w:val="00FA30A9"/>
    <w:rsid w:val="00FA316C"/>
    <w:rsid w:val="00FA3180"/>
    <w:rsid w:val="00FA31A9"/>
    <w:rsid w:val="00FA32EA"/>
    <w:rsid w:val="00FA359E"/>
    <w:rsid w:val="00FA3615"/>
    <w:rsid w:val="00FA36C6"/>
    <w:rsid w:val="00FA36FD"/>
    <w:rsid w:val="00FA3746"/>
    <w:rsid w:val="00FA3809"/>
    <w:rsid w:val="00FA3814"/>
    <w:rsid w:val="00FA3962"/>
    <w:rsid w:val="00FA3A60"/>
    <w:rsid w:val="00FA3BBE"/>
    <w:rsid w:val="00FA3BCA"/>
    <w:rsid w:val="00FA3CA7"/>
    <w:rsid w:val="00FA3D1A"/>
    <w:rsid w:val="00FA3D38"/>
    <w:rsid w:val="00FA3D4B"/>
    <w:rsid w:val="00FA3D76"/>
    <w:rsid w:val="00FA3DC0"/>
    <w:rsid w:val="00FA3DD6"/>
    <w:rsid w:val="00FA3EB0"/>
    <w:rsid w:val="00FA3F52"/>
    <w:rsid w:val="00FA3F76"/>
    <w:rsid w:val="00FA3FD4"/>
    <w:rsid w:val="00FA40E8"/>
    <w:rsid w:val="00FA413D"/>
    <w:rsid w:val="00FA4368"/>
    <w:rsid w:val="00FA438D"/>
    <w:rsid w:val="00FA43C1"/>
    <w:rsid w:val="00FA43DA"/>
    <w:rsid w:val="00FA4411"/>
    <w:rsid w:val="00FA44DC"/>
    <w:rsid w:val="00FA4603"/>
    <w:rsid w:val="00FA473B"/>
    <w:rsid w:val="00FA4A08"/>
    <w:rsid w:val="00FA4ACD"/>
    <w:rsid w:val="00FA4B70"/>
    <w:rsid w:val="00FA4E93"/>
    <w:rsid w:val="00FA4F93"/>
    <w:rsid w:val="00FA4F9F"/>
    <w:rsid w:val="00FA4FEF"/>
    <w:rsid w:val="00FA50EB"/>
    <w:rsid w:val="00FA52CE"/>
    <w:rsid w:val="00FA5403"/>
    <w:rsid w:val="00FA552F"/>
    <w:rsid w:val="00FA5786"/>
    <w:rsid w:val="00FA578F"/>
    <w:rsid w:val="00FA5AB2"/>
    <w:rsid w:val="00FA5AE1"/>
    <w:rsid w:val="00FA5B35"/>
    <w:rsid w:val="00FA5C04"/>
    <w:rsid w:val="00FA5D55"/>
    <w:rsid w:val="00FA5D83"/>
    <w:rsid w:val="00FA5D88"/>
    <w:rsid w:val="00FA5F0C"/>
    <w:rsid w:val="00FA5FF2"/>
    <w:rsid w:val="00FA5FFE"/>
    <w:rsid w:val="00FA608B"/>
    <w:rsid w:val="00FA634C"/>
    <w:rsid w:val="00FA66CF"/>
    <w:rsid w:val="00FA66D5"/>
    <w:rsid w:val="00FA66E2"/>
    <w:rsid w:val="00FA676C"/>
    <w:rsid w:val="00FA67B4"/>
    <w:rsid w:val="00FA684C"/>
    <w:rsid w:val="00FA68C5"/>
    <w:rsid w:val="00FA6AE4"/>
    <w:rsid w:val="00FA6AFA"/>
    <w:rsid w:val="00FA6C8C"/>
    <w:rsid w:val="00FA6C96"/>
    <w:rsid w:val="00FA6CCC"/>
    <w:rsid w:val="00FA6EC1"/>
    <w:rsid w:val="00FA6EF1"/>
    <w:rsid w:val="00FA6FA6"/>
    <w:rsid w:val="00FA6FDB"/>
    <w:rsid w:val="00FA7094"/>
    <w:rsid w:val="00FA70A1"/>
    <w:rsid w:val="00FA70E6"/>
    <w:rsid w:val="00FA712C"/>
    <w:rsid w:val="00FA76EC"/>
    <w:rsid w:val="00FA7748"/>
    <w:rsid w:val="00FA792C"/>
    <w:rsid w:val="00FA7A4B"/>
    <w:rsid w:val="00FA7A55"/>
    <w:rsid w:val="00FA7A78"/>
    <w:rsid w:val="00FA7ADA"/>
    <w:rsid w:val="00FA7AF2"/>
    <w:rsid w:val="00FA7B78"/>
    <w:rsid w:val="00FA7BBC"/>
    <w:rsid w:val="00FA7CB5"/>
    <w:rsid w:val="00FA7D48"/>
    <w:rsid w:val="00FA7D70"/>
    <w:rsid w:val="00FA7D7C"/>
    <w:rsid w:val="00FA7E13"/>
    <w:rsid w:val="00FA7EB7"/>
    <w:rsid w:val="00FA7F97"/>
    <w:rsid w:val="00FB0072"/>
    <w:rsid w:val="00FB00C5"/>
    <w:rsid w:val="00FB018A"/>
    <w:rsid w:val="00FB0307"/>
    <w:rsid w:val="00FB0370"/>
    <w:rsid w:val="00FB0397"/>
    <w:rsid w:val="00FB05A5"/>
    <w:rsid w:val="00FB05D6"/>
    <w:rsid w:val="00FB085D"/>
    <w:rsid w:val="00FB094A"/>
    <w:rsid w:val="00FB0B5E"/>
    <w:rsid w:val="00FB0BC9"/>
    <w:rsid w:val="00FB0C78"/>
    <w:rsid w:val="00FB0CB9"/>
    <w:rsid w:val="00FB0E2A"/>
    <w:rsid w:val="00FB0F95"/>
    <w:rsid w:val="00FB13FE"/>
    <w:rsid w:val="00FB14AB"/>
    <w:rsid w:val="00FB14C6"/>
    <w:rsid w:val="00FB14C8"/>
    <w:rsid w:val="00FB1577"/>
    <w:rsid w:val="00FB15F7"/>
    <w:rsid w:val="00FB18E6"/>
    <w:rsid w:val="00FB1A10"/>
    <w:rsid w:val="00FB1A3B"/>
    <w:rsid w:val="00FB1A46"/>
    <w:rsid w:val="00FB1D08"/>
    <w:rsid w:val="00FB1D8C"/>
    <w:rsid w:val="00FB20A5"/>
    <w:rsid w:val="00FB2114"/>
    <w:rsid w:val="00FB2280"/>
    <w:rsid w:val="00FB2313"/>
    <w:rsid w:val="00FB24F2"/>
    <w:rsid w:val="00FB2527"/>
    <w:rsid w:val="00FB27BC"/>
    <w:rsid w:val="00FB286A"/>
    <w:rsid w:val="00FB297E"/>
    <w:rsid w:val="00FB2981"/>
    <w:rsid w:val="00FB2A46"/>
    <w:rsid w:val="00FB2AE1"/>
    <w:rsid w:val="00FB2B7C"/>
    <w:rsid w:val="00FB2C69"/>
    <w:rsid w:val="00FB2CB6"/>
    <w:rsid w:val="00FB2CE2"/>
    <w:rsid w:val="00FB2D4C"/>
    <w:rsid w:val="00FB2DA3"/>
    <w:rsid w:val="00FB2DE5"/>
    <w:rsid w:val="00FB2E43"/>
    <w:rsid w:val="00FB2E67"/>
    <w:rsid w:val="00FB2EF6"/>
    <w:rsid w:val="00FB2F81"/>
    <w:rsid w:val="00FB30E8"/>
    <w:rsid w:val="00FB30F3"/>
    <w:rsid w:val="00FB317A"/>
    <w:rsid w:val="00FB32D4"/>
    <w:rsid w:val="00FB3400"/>
    <w:rsid w:val="00FB342D"/>
    <w:rsid w:val="00FB3489"/>
    <w:rsid w:val="00FB34ED"/>
    <w:rsid w:val="00FB3528"/>
    <w:rsid w:val="00FB3554"/>
    <w:rsid w:val="00FB3556"/>
    <w:rsid w:val="00FB3609"/>
    <w:rsid w:val="00FB360D"/>
    <w:rsid w:val="00FB3683"/>
    <w:rsid w:val="00FB37AE"/>
    <w:rsid w:val="00FB388A"/>
    <w:rsid w:val="00FB3898"/>
    <w:rsid w:val="00FB394E"/>
    <w:rsid w:val="00FB39DA"/>
    <w:rsid w:val="00FB3ADC"/>
    <w:rsid w:val="00FB3C09"/>
    <w:rsid w:val="00FB3D4E"/>
    <w:rsid w:val="00FB3FEB"/>
    <w:rsid w:val="00FB3FF0"/>
    <w:rsid w:val="00FB3FFA"/>
    <w:rsid w:val="00FB4095"/>
    <w:rsid w:val="00FB4099"/>
    <w:rsid w:val="00FB415E"/>
    <w:rsid w:val="00FB416F"/>
    <w:rsid w:val="00FB417C"/>
    <w:rsid w:val="00FB4208"/>
    <w:rsid w:val="00FB4376"/>
    <w:rsid w:val="00FB4554"/>
    <w:rsid w:val="00FB4595"/>
    <w:rsid w:val="00FB45F8"/>
    <w:rsid w:val="00FB4614"/>
    <w:rsid w:val="00FB462B"/>
    <w:rsid w:val="00FB4630"/>
    <w:rsid w:val="00FB4631"/>
    <w:rsid w:val="00FB478A"/>
    <w:rsid w:val="00FB47BD"/>
    <w:rsid w:val="00FB4847"/>
    <w:rsid w:val="00FB4AA0"/>
    <w:rsid w:val="00FB4AC7"/>
    <w:rsid w:val="00FB4B89"/>
    <w:rsid w:val="00FB4BAA"/>
    <w:rsid w:val="00FB4CBD"/>
    <w:rsid w:val="00FB4CDB"/>
    <w:rsid w:val="00FB4D26"/>
    <w:rsid w:val="00FB4D50"/>
    <w:rsid w:val="00FB4DD2"/>
    <w:rsid w:val="00FB4E5D"/>
    <w:rsid w:val="00FB5004"/>
    <w:rsid w:val="00FB5046"/>
    <w:rsid w:val="00FB543A"/>
    <w:rsid w:val="00FB5539"/>
    <w:rsid w:val="00FB55CF"/>
    <w:rsid w:val="00FB56B2"/>
    <w:rsid w:val="00FB5731"/>
    <w:rsid w:val="00FB5984"/>
    <w:rsid w:val="00FB59FF"/>
    <w:rsid w:val="00FB5A31"/>
    <w:rsid w:val="00FB5A6B"/>
    <w:rsid w:val="00FB5C80"/>
    <w:rsid w:val="00FB5E8E"/>
    <w:rsid w:val="00FB61B2"/>
    <w:rsid w:val="00FB61B6"/>
    <w:rsid w:val="00FB622B"/>
    <w:rsid w:val="00FB62DB"/>
    <w:rsid w:val="00FB6794"/>
    <w:rsid w:val="00FB69B4"/>
    <w:rsid w:val="00FB69FB"/>
    <w:rsid w:val="00FB6AA0"/>
    <w:rsid w:val="00FB6B21"/>
    <w:rsid w:val="00FB6B8D"/>
    <w:rsid w:val="00FB6DE2"/>
    <w:rsid w:val="00FB6E68"/>
    <w:rsid w:val="00FB7198"/>
    <w:rsid w:val="00FB7249"/>
    <w:rsid w:val="00FB7253"/>
    <w:rsid w:val="00FB72FC"/>
    <w:rsid w:val="00FB743E"/>
    <w:rsid w:val="00FB7477"/>
    <w:rsid w:val="00FB7478"/>
    <w:rsid w:val="00FB7545"/>
    <w:rsid w:val="00FB7584"/>
    <w:rsid w:val="00FB75BD"/>
    <w:rsid w:val="00FB762E"/>
    <w:rsid w:val="00FB782C"/>
    <w:rsid w:val="00FB7A1F"/>
    <w:rsid w:val="00FB7A62"/>
    <w:rsid w:val="00FB7C73"/>
    <w:rsid w:val="00FB7D99"/>
    <w:rsid w:val="00FB7E2E"/>
    <w:rsid w:val="00FB7F73"/>
    <w:rsid w:val="00FC0010"/>
    <w:rsid w:val="00FC00E9"/>
    <w:rsid w:val="00FC01CC"/>
    <w:rsid w:val="00FC0243"/>
    <w:rsid w:val="00FC0309"/>
    <w:rsid w:val="00FC034D"/>
    <w:rsid w:val="00FC036F"/>
    <w:rsid w:val="00FC0389"/>
    <w:rsid w:val="00FC0451"/>
    <w:rsid w:val="00FC049B"/>
    <w:rsid w:val="00FC0506"/>
    <w:rsid w:val="00FC0509"/>
    <w:rsid w:val="00FC0666"/>
    <w:rsid w:val="00FC06A0"/>
    <w:rsid w:val="00FC06CD"/>
    <w:rsid w:val="00FC0836"/>
    <w:rsid w:val="00FC0957"/>
    <w:rsid w:val="00FC0DBD"/>
    <w:rsid w:val="00FC0E6E"/>
    <w:rsid w:val="00FC0EE8"/>
    <w:rsid w:val="00FC0F5B"/>
    <w:rsid w:val="00FC10C9"/>
    <w:rsid w:val="00FC1150"/>
    <w:rsid w:val="00FC1208"/>
    <w:rsid w:val="00FC12F8"/>
    <w:rsid w:val="00FC1466"/>
    <w:rsid w:val="00FC1538"/>
    <w:rsid w:val="00FC1734"/>
    <w:rsid w:val="00FC1D42"/>
    <w:rsid w:val="00FC1DC7"/>
    <w:rsid w:val="00FC1F18"/>
    <w:rsid w:val="00FC20E1"/>
    <w:rsid w:val="00FC2193"/>
    <w:rsid w:val="00FC219F"/>
    <w:rsid w:val="00FC223E"/>
    <w:rsid w:val="00FC227C"/>
    <w:rsid w:val="00FC2308"/>
    <w:rsid w:val="00FC23D5"/>
    <w:rsid w:val="00FC2425"/>
    <w:rsid w:val="00FC2505"/>
    <w:rsid w:val="00FC25F7"/>
    <w:rsid w:val="00FC25FF"/>
    <w:rsid w:val="00FC2773"/>
    <w:rsid w:val="00FC288F"/>
    <w:rsid w:val="00FC29B4"/>
    <w:rsid w:val="00FC2AFE"/>
    <w:rsid w:val="00FC2B82"/>
    <w:rsid w:val="00FC2BA1"/>
    <w:rsid w:val="00FC2E76"/>
    <w:rsid w:val="00FC300E"/>
    <w:rsid w:val="00FC3199"/>
    <w:rsid w:val="00FC3226"/>
    <w:rsid w:val="00FC32DC"/>
    <w:rsid w:val="00FC3307"/>
    <w:rsid w:val="00FC3460"/>
    <w:rsid w:val="00FC349E"/>
    <w:rsid w:val="00FC37A0"/>
    <w:rsid w:val="00FC37C0"/>
    <w:rsid w:val="00FC3807"/>
    <w:rsid w:val="00FC3878"/>
    <w:rsid w:val="00FC3986"/>
    <w:rsid w:val="00FC39CF"/>
    <w:rsid w:val="00FC39FD"/>
    <w:rsid w:val="00FC3C07"/>
    <w:rsid w:val="00FC3C76"/>
    <w:rsid w:val="00FC3CA4"/>
    <w:rsid w:val="00FC3D64"/>
    <w:rsid w:val="00FC3D95"/>
    <w:rsid w:val="00FC3DAE"/>
    <w:rsid w:val="00FC3EB7"/>
    <w:rsid w:val="00FC3EE4"/>
    <w:rsid w:val="00FC3FC8"/>
    <w:rsid w:val="00FC40C3"/>
    <w:rsid w:val="00FC41BE"/>
    <w:rsid w:val="00FC41D1"/>
    <w:rsid w:val="00FC4280"/>
    <w:rsid w:val="00FC42D5"/>
    <w:rsid w:val="00FC43D0"/>
    <w:rsid w:val="00FC43FD"/>
    <w:rsid w:val="00FC442A"/>
    <w:rsid w:val="00FC4774"/>
    <w:rsid w:val="00FC4A8A"/>
    <w:rsid w:val="00FC4AF2"/>
    <w:rsid w:val="00FC4B47"/>
    <w:rsid w:val="00FC4CB3"/>
    <w:rsid w:val="00FC4CD0"/>
    <w:rsid w:val="00FC4CDC"/>
    <w:rsid w:val="00FC4CE3"/>
    <w:rsid w:val="00FC4E13"/>
    <w:rsid w:val="00FC4F1B"/>
    <w:rsid w:val="00FC4F3E"/>
    <w:rsid w:val="00FC51B9"/>
    <w:rsid w:val="00FC53D1"/>
    <w:rsid w:val="00FC53D6"/>
    <w:rsid w:val="00FC547B"/>
    <w:rsid w:val="00FC56C5"/>
    <w:rsid w:val="00FC56CE"/>
    <w:rsid w:val="00FC5705"/>
    <w:rsid w:val="00FC5786"/>
    <w:rsid w:val="00FC57EE"/>
    <w:rsid w:val="00FC5836"/>
    <w:rsid w:val="00FC5962"/>
    <w:rsid w:val="00FC5AAC"/>
    <w:rsid w:val="00FC5BD3"/>
    <w:rsid w:val="00FC5C02"/>
    <w:rsid w:val="00FC5C6B"/>
    <w:rsid w:val="00FC5DBE"/>
    <w:rsid w:val="00FC5E22"/>
    <w:rsid w:val="00FC5F28"/>
    <w:rsid w:val="00FC5FAC"/>
    <w:rsid w:val="00FC6094"/>
    <w:rsid w:val="00FC6161"/>
    <w:rsid w:val="00FC62EB"/>
    <w:rsid w:val="00FC6327"/>
    <w:rsid w:val="00FC63B5"/>
    <w:rsid w:val="00FC6484"/>
    <w:rsid w:val="00FC64A6"/>
    <w:rsid w:val="00FC64EC"/>
    <w:rsid w:val="00FC6516"/>
    <w:rsid w:val="00FC6520"/>
    <w:rsid w:val="00FC66AF"/>
    <w:rsid w:val="00FC66E9"/>
    <w:rsid w:val="00FC6746"/>
    <w:rsid w:val="00FC6763"/>
    <w:rsid w:val="00FC682C"/>
    <w:rsid w:val="00FC68DA"/>
    <w:rsid w:val="00FC691D"/>
    <w:rsid w:val="00FC6953"/>
    <w:rsid w:val="00FC6A2C"/>
    <w:rsid w:val="00FC6B42"/>
    <w:rsid w:val="00FC6BC4"/>
    <w:rsid w:val="00FC6C2B"/>
    <w:rsid w:val="00FC6D08"/>
    <w:rsid w:val="00FC6D13"/>
    <w:rsid w:val="00FC6D23"/>
    <w:rsid w:val="00FC6D35"/>
    <w:rsid w:val="00FC6D3D"/>
    <w:rsid w:val="00FC6D6E"/>
    <w:rsid w:val="00FC6F00"/>
    <w:rsid w:val="00FC6F45"/>
    <w:rsid w:val="00FC70D9"/>
    <w:rsid w:val="00FC7109"/>
    <w:rsid w:val="00FC712B"/>
    <w:rsid w:val="00FC7173"/>
    <w:rsid w:val="00FC718F"/>
    <w:rsid w:val="00FC7323"/>
    <w:rsid w:val="00FC7331"/>
    <w:rsid w:val="00FC7569"/>
    <w:rsid w:val="00FC75F7"/>
    <w:rsid w:val="00FC76BF"/>
    <w:rsid w:val="00FC76E9"/>
    <w:rsid w:val="00FC77FB"/>
    <w:rsid w:val="00FC78B3"/>
    <w:rsid w:val="00FC7949"/>
    <w:rsid w:val="00FC796E"/>
    <w:rsid w:val="00FC79F8"/>
    <w:rsid w:val="00FC7A9C"/>
    <w:rsid w:val="00FC7C59"/>
    <w:rsid w:val="00FC7DF8"/>
    <w:rsid w:val="00FC7F3B"/>
    <w:rsid w:val="00FD0002"/>
    <w:rsid w:val="00FD015E"/>
    <w:rsid w:val="00FD016E"/>
    <w:rsid w:val="00FD019B"/>
    <w:rsid w:val="00FD01F7"/>
    <w:rsid w:val="00FD0254"/>
    <w:rsid w:val="00FD04CD"/>
    <w:rsid w:val="00FD050C"/>
    <w:rsid w:val="00FD054B"/>
    <w:rsid w:val="00FD0570"/>
    <w:rsid w:val="00FD057D"/>
    <w:rsid w:val="00FD064C"/>
    <w:rsid w:val="00FD0695"/>
    <w:rsid w:val="00FD06A1"/>
    <w:rsid w:val="00FD06BF"/>
    <w:rsid w:val="00FD0781"/>
    <w:rsid w:val="00FD082E"/>
    <w:rsid w:val="00FD093F"/>
    <w:rsid w:val="00FD0AD3"/>
    <w:rsid w:val="00FD0BC5"/>
    <w:rsid w:val="00FD0C3E"/>
    <w:rsid w:val="00FD0CF1"/>
    <w:rsid w:val="00FD0EFB"/>
    <w:rsid w:val="00FD0FD0"/>
    <w:rsid w:val="00FD0FE9"/>
    <w:rsid w:val="00FD108C"/>
    <w:rsid w:val="00FD109D"/>
    <w:rsid w:val="00FD1190"/>
    <w:rsid w:val="00FD120F"/>
    <w:rsid w:val="00FD124E"/>
    <w:rsid w:val="00FD1284"/>
    <w:rsid w:val="00FD12E4"/>
    <w:rsid w:val="00FD1305"/>
    <w:rsid w:val="00FD1386"/>
    <w:rsid w:val="00FD13DF"/>
    <w:rsid w:val="00FD1970"/>
    <w:rsid w:val="00FD19B4"/>
    <w:rsid w:val="00FD19CE"/>
    <w:rsid w:val="00FD1A30"/>
    <w:rsid w:val="00FD1A37"/>
    <w:rsid w:val="00FD1B45"/>
    <w:rsid w:val="00FD1B7C"/>
    <w:rsid w:val="00FD1C19"/>
    <w:rsid w:val="00FD1C48"/>
    <w:rsid w:val="00FD1C5B"/>
    <w:rsid w:val="00FD1DC7"/>
    <w:rsid w:val="00FD1E22"/>
    <w:rsid w:val="00FD1EB1"/>
    <w:rsid w:val="00FD1FA6"/>
    <w:rsid w:val="00FD200B"/>
    <w:rsid w:val="00FD2035"/>
    <w:rsid w:val="00FD2307"/>
    <w:rsid w:val="00FD2408"/>
    <w:rsid w:val="00FD2467"/>
    <w:rsid w:val="00FD2479"/>
    <w:rsid w:val="00FD2532"/>
    <w:rsid w:val="00FD25A0"/>
    <w:rsid w:val="00FD26B5"/>
    <w:rsid w:val="00FD2944"/>
    <w:rsid w:val="00FD2955"/>
    <w:rsid w:val="00FD29AF"/>
    <w:rsid w:val="00FD2BB9"/>
    <w:rsid w:val="00FD2C0D"/>
    <w:rsid w:val="00FD2C52"/>
    <w:rsid w:val="00FD2CF2"/>
    <w:rsid w:val="00FD2E6A"/>
    <w:rsid w:val="00FD2ED3"/>
    <w:rsid w:val="00FD30DD"/>
    <w:rsid w:val="00FD3261"/>
    <w:rsid w:val="00FD326A"/>
    <w:rsid w:val="00FD33BD"/>
    <w:rsid w:val="00FD3451"/>
    <w:rsid w:val="00FD3542"/>
    <w:rsid w:val="00FD35FC"/>
    <w:rsid w:val="00FD3617"/>
    <w:rsid w:val="00FD361F"/>
    <w:rsid w:val="00FD3690"/>
    <w:rsid w:val="00FD369E"/>
    <w:rsid w:val="00FD36BC"/>
    <w:rsid w:val="00FD3742"/>
    <w:rsid w:val="00FD3856"/>
    <w:rsid w:val="00FD399D"/>
    <w:rsid w:val="00FD3A85"/>
    <w:rsid w:val="00FD3BAD"/>
    <w:rsid w:val="00FD3BC9"/>
    <w:rsid w:val="00FD3C58"/>
    <w:rsid w:val="00FD3C8C"/>
    <w:rsid w:val="00FD3DF4"/>
    <w:rsid w:val="00FD3EC4"/>
    <w:rsid w:val="00FD3F97"/>
    <w:rsid w:val="00FD3FF3"/>
    <w:rsid w:val="00FD4277"/>
    <w:rsid w:val="00FD4320"/>
    <w:rsid w:val="00FD444A"/>
    <w:rsid w:val="00FD4507"/>
    <w:rsid w:val="00FD4556"/>
    <w:rsid w:val="00FD4597"/>
    <w:rsid w:val="00FD4706"/>
    <w:rsid w:val="00FD4795"/>
    <w:rsid w:val="00FD47C0"/>
    <w:rsid w:val="00FD4854"/>
    <w:rsid w:val="00FD4858"/>
    <w:rsid w:val="00FD4876"/>
    <w:rsid w:val="00FD4899"/>
    <w:rsid w:val="00FD48EA"/>
    <w:rsid w:val="00FD48F5"/>
    <w:rsid w:val="00FD492F"/>
    <w:rsid w:val="00FD4A6D"/>
    <w:rsid w:val="00FD4A87"/>
    <w:rsid w:val="00FD4A9E"/>
    <w:rsid w:val="00FD4AFE"/>
    <w:rsid w:val="00FD4B28"/>
    <w:rsid w:val="00FD4C61"/>
    <w:rsid w:val="00FD4D65"/>
    <w:rsid w:val="00FD4EF2"/>
    <w:rsid w:val="00FD4F43"/>
    <w:rsid w:val="00FD5244"/>
    <w:rsid w:val="00FD527B"/>
    <w:rsid w:val="00FD5284"/>
    <w:rsid w:val="00FD5343"/>
    <w:rsid w:val="00FD536B"/>
    <w:rsid w:val="00FD547F"/>
    <w:rsid w:val="00FD5560"/>
    <w:rsid w:val="00FD5575"/>
    <w:rsid w:val="00FD56F8"/>
    <w:rsid w:val="00FD573A"/>
    <w:rsid w:val="00FD580C"/>
    <w:rsid w:val="00FD58A8"/>
    <w:rsid w:val="00FD58BD"/>
    <w:rsid w:val="00FD594C"/>
    <w:rsid w:val="00FD59A1"/>
    <w:rsid w:val="00FD59A4"/>
    <w:rsid w:val="00FD5A9D"/>
    <w:rsid w:val="00FD5CA4"/>
    <w:rsid w:val="00FD5DED"/>
    <w:rsid w:val="00FD5EB9"/>
    <w:rsid w:val="00FD601A"/>
    <w:rsid w:val="00FD6132"/>
    <w:rsid w:val="00FD63F9"/>
    <w:rsid w:val="00FD6453"/>
    <w:rsid w:val="00FD64BF"/>
    <w:rsid w:val="00FD66D7"/>
    <w:rsid w:val="00FD66EB"/>
    <w:rsid w:val="00FD6737"/>
    <w:rsid w:val="00FD6798"/>
    <w:rsid w:val="00FD6AC6"/>
    <w:rsid w:val="00FD6B28"/>
    <w:rsid w:val="00FD6B80"/>
    <w:rsid w:val="00FD6B85"/>
    <w:rsid w:val="00FD6BED"/>
    <w:rsid w:val="00FD6CF2"/>
    <w:rsid w:val="00FD6CFF"/>
    <w:rsid w:val="00FD6D72"/>
    <w:rsid w:val="00FD6D7A"/>
    <w:rsid w:val="00FD6EB5"/>
    <w:rsid w:val="00FD6FD9"/>
    <w:rsid w:val="00FD7021"/>
    <w:rsid w:val="00FD7075"/>
    <w:rsid w:val="00FD70A1"/>
    <w:rsid w:val="00FD7105"/>
    <w:rsid w:val="00FD71B0"/>
    <w:rsid w:val="00FD71EE"/>
    <w:rsid w:val="00FD722C"/>
    <w:rsid w:val="00FD726D"/>
    <w:rsid w:val="00FD7345"/>
    <w:rsid w:val="00FD73B1"/>
    <w:rsid w:val="00FD73BB"/>
    <w:rsid w:val="00FD74EE"/>
    <w:rsid w:val="00FD7710"/>
    <w:rsid w:val="00FD7726"/>
    <w:rsid w:val="00FD7789"/>
    <w:rsid w:val="00FD78C0"/>
    <w:rsid w:val="00FD797D"/>
    <w:rsid w:val="00FD7C7F"/>
    <w:rsid w:val="00FD7D70"/>
    <w:rsid w:val="00FD7FA1"/>
    <w:rsid w:val="00FE0015"/>
    <w:rsid w:val="00FE01CB"/>
    <w:rsid w:val="00FE023B"/>
    <w:rsid w:val="00FE026F"/>
    <w:rsid w:val="00FE02E6"/>
    <w:rsid w:val="00FE0376"/>
    <w:rsid w:val="00FE042C"/>
    <w:rsid w:val="00FE0565"/>
    <w:rsid w:val="00FE059C"/>
    <w:rsid w:val="00FE05EC"/>
    <w:rsid w:val="00FE081E"/>
    <w:rsid w:val="00FE0859"/>
    <w:rsid w:val="00FE0942"/>
    <w:rsid w:val="00FE09B2"/>
    <w:rsid w:val="00FE0B05"/>
    <w:rsid w:val="00FE0B8E"/>
    <w:rsid w:val="00FE0C31"/>
    <w:rsid w:val="00FE0C7E"/>
    <w:rsid w:val="00FE0CAA"/>
    <w:rsid w:val="00FE0D8D"/>
    <w:rsid w:val="00FE0D95"/>
    <w:rsid w:val="00FE0F2C"/>
    <w:rsid w:val="00FE100D"/>
    <w:rsid w:val="00FE1095"/>
    <w:rsid w:val="00FE110E"/>
    <w:rsid w:val="00FE1148"/>
    <w:rsid w:val="00FE130B"/>
    <w:rsid w:val="00FE1366"/>
    <w:rsid w:val="00FE1390"/>
    <w:rsid w:val="00FE1405"/>
    <w:rsid w:val="00FE148C"/>
    <w:rsid w:val="00FE1582"/>
    <w:rsid w:val="00FE16B7"/>
    <w:rsid w:val="00FE16FF"/>
    <w:rsid w:val="00FE1787"/>
    <w:rsid w:val="00FE185B"/>
    <w:rsid w:val="00FE1B46"/>
    <w:rsid w:val="00FE1BA4"/>
    <w:rsid w:val="00FE1CDB"/>
    <w:rsid w:val="00FE1D04"/>
    <w:rsid w:val="00FE1D72"/>
    <w:rsid w:val="00FE1E94"/>
    <w:rsid w:val="00FE1EDB"/>
    <w:rsid w:val="00FE1FD3"/>
    <w:rsid w:val="00FE2107"/>
    <w:rsid w:val="00FE217D"/>
    <w:rsid w:val="00FE2180"/>
    <w:rsid w:val="00FE21DE"/>
    <w:rsid w:val="00FE230A"/>
    <w:rsid w:val="00FE2328"/>
    <w:rsid w:val="00FE234C"/>
    <w:rsid w:val="00FE23FD"/>
    <w:rsid w:val="00FE2534"/>
    <w:rsid w:val="00FE2536"/>
    <w:rsid w:val="00FE2591"/>
    <w:rsid w:val="00FE2753"/>
    <w:rsid w:val="00FE29D4"/>
    <w:rsid w:val="00FE2AF4"/>
    <w:rsid w:val="00FE2B99"/>
    <w:rsid w:val="00FE2BEF"/>
    <w:rsid w:val="00FE2C27"/>
    <w:rsid w:val="00FE2C5C"/>
    <w:rsid w:val="00FE2DBB"/>
    <w:rsid w:val="00FE3005"/>
    <w:rsid w:val="00FE313F"/>
    <w:rsid w:val="00FE3438"/>
    <w:rsid w:val="00FE3534"/>
    <w:rsid w:val="00FE3569"/>
    <w:rsid w:val="00FE37BB"/>
    <w:rsid w:val="00FE3A5A"/>
    <w:rsid w:val="00FE3B15"/>
    <w:rsid w:val="00FE3B41"/>
    <w:rsid w:val="00FE3CA1"/>
    <w:rsid w:val="00FE3E0E"/>
    <w:rsid w:val="00FE3E23"/>
    <w:rsid w:val="00FE3E80"/>
    <w:rsid w:val="00FE405B"/>
    <w:rsid w:val="00FE406A"/>
    <w:rsid w:val="00FE40E8"/>
    <w:rsid w:val="00FE411E"/>
    <w:rsid w:val="00FE4440"/>
    <w:rsid w:val="00FE4483"/>
    <w:rsid w:val="00FE4512"/>
    <w:rsid w:val="00FE457A"/>
    <w:rsid w:val="00FE45A8"/>
    <w:rsid w:val="00FE48DE"/>
    <w:rsid w:val="00FE4939"/>
    <w:rsid w:val="00FE4991"/>
    <w:rsid w:val="00FE4A66"/>
    <w:rsid w:val="00FE4A6C"/>
    <w:rsid w:val="00FE4AD1"/>
    <w:rsid w:val="00FE4B20"/>
    <w:rsid w:val="00FE4B59"/>
    <w:rsid w:val="00FE4C76"/>
    <w:rsid w:val="00FE4CAB"/>
    <w:rsid w:val="00FE4CD4"/>
    <w:rsid w:val="00FE4D75"/>
    <w:rsid w:val="00FE4D78"/>
    <w:rsid w:val="00FE4DD3"/>
    <w:rsid w:val="00FE4DD4"/>
    <w:rsid w:val="00FE4F7D"/>
    <w:rsid w:val="00FE5083"/>
    <w:rsid w:val="00FE53D4"/>
    <w:rsid w:val="00FE565E"/>
    <w:rsid w:val="00FE5799"/>
    <w:rsid w:val="00FE57CD"/>
    <w:rsid w:val="00FE587E"/>
    <w:rsid w:val="00FE59F9"/>
    <w:rsid w:val="00FE5A30"/>
    <w:rsid w:val="00FE5A3F"/>
    <w:rsid w:val="00FE5C96"/>
    <w:rsid w:val="00FE5F49"/>
    <w:rsid w:val="00FE5F6C"/>
    <w:rsid w:val="00FE6027"/>
    <w:rsid w:val="00FE61A4"/>
    <w:rsid w:val="00FE62FD"/>
    <w:rsid w:val="00FE6319"/>
    <w:rsid w:val="00FE63AF"/>
    <w:rsid w:val="00FE640C"/>
    <w:rsid w:val="00FE6470"/>
    <w:rsid w:val="00FE64D8"/>
    <w:rsid w:val="00FE64EA"/>
    <w:rsid w:val="00FE662E"/>
    <w:rsid w:val="00FE66BA"/>
    <w:rsid w:val="00FE6780"/>
    <w:rsid w:val="00FE6822"/>
    <w:rsid w:val="00FE6871"/>
    <w:rsid w:val="00FE699A"/>
    <w:rsid w:val="00FE69E6"/>
    <w:rsid w:val="00FE6A2E"/>
    <w:rsid w:val="00FE6AF1"/>
    <w:rsid w:val="00FE6B7A"/>
    <w:rsid w:val="00FE6B9E"/>
    <w:rsid w:val="00FE6BE9"/>
    <w:rsid w:val="00FE6D74"/>
    <w:rsid w:val="00FE6E20"/>
    <w:rsid w:val="00FE6E9B"/>
    <w:rsid w:val="00FE722B"/>
    <w:rsid w:val="00FE7235"/>
    <w:rsid w:val="00FE72B4"/>
    <w:rsid w:val="00FE731F"/>
    <w:rsid w:val="00FE733B"/>
    <w:rsid w:val="00FE7469"/>
    <w:rsid w:val="00FE74A0"/>
    <w:rsid w:val="00FE75AE"/>
    <w:rsid w:val="00FE75F2"/>
    <w:rsid w:val="00FE760C"/>
    <w:rsid w:val="00FE765F"/>
    <w:rsid w:val="00FE7719"/>
    <w:rsid w:val="00FE7795"/>
    <w:rsid w:val="00FE77BF"/>
    <w:rsid w:val="00FE78B0"/>
    <w:rsid w:val="00FE7BC4"/>
    <w:rsid w:val="00FE7C25"/>
    <w:rsid w:val="00FE7C48"/>
    <w:rsid w:val="00FE7C77"/>
    <w:rsid w:val="00FE7D13"/>
    <w:rsid w:val="00FE7D4F"/>
    <w:rsid w:val="00FE7F24"/>
    <w:rsid w:val="00FE7F67"/>
    <w:rsid w:val="00FE7F7A"/>
    <w:rsid w:val="00FE7FD5"/>
    <w:rsid w:val="00FEFAF2"/>
    <w:rsid w:val="00FF027A"/>
    <w:rsid w:val="00FF032A"/>
    <w:rsid w:val="00FF0351"/>
    <w:rsid w:val="00FF0436"/>
    <w:rsid w:val="00FF049A"/>
    <w:rsid w:val="00FF05CD"/>
    <w:rsid w:val="00FF05F3"/>
    <w:rsid w:val="00FF0631"/>
    <w:rsid w:val="00FF064C"/>
    <w:rsid w:val="00FF06C4"/>
    <w:rsid w:val="00FF06CE"/>
    <w:rsid w:val="00FF0891"/>
    <w:rsid w:val="00FF098A"/>
    <w:rsid w:val="00FF09BD"/>
    <w:rsid w:val="00FF0A3D"/>
    <w:rsid w:val="00FF0AF0"/>
    <w:rsid w:val="00FF0C07"/>
    <w:rsid w:val="00FF0D05"/>
    <w:rsid w:val="00FF0D09"/>
    <w:rsid w:val="00FF0E6C"/>
    <w:rsid w:val="00FF0F2F"/>
    <w:rsid w:val="00FF0FD0"/>
    <w:rsid w:val="00FF1019"/>
    <w:rsid w:val="00FF108E"/>
    <w:rsid w:val="00FF118F"/>
    <w:rsid w:val="00FF122E"/>
    <w:rsid w:val="00FF12D0"/>
    <w:rsid w:val="00FF1335"/>
    <w:rsid w:val="00FF1340"/>
    <w:rsid w:val="00FF13B7"/>
    <w:rsid w:val="00FF13E4"/>
    <w:rsid w:val="00FF142B"/>
    <w:rsid w:val="00FF143C"/>
    <w:rsid w:val="00FF1459"/>
    <w:rsid w:val="00FF149D"/>
    <w:rsid w:val="00FF1532"/>
    <w:rsid w:val="00FF15B0"/>
    <w:rsid w:val="00FF15BB"/>
    <w:rsid w:val="00FF16F5"/>
    <w:rsid w:val="00FF17AB"/>
    <w:rsid w:val="00FF17BD"/>
    <w:rsid w:val="00FF19C4"/>
    <w:rsid w:val="00FF19D9"/>
    <w:rsid w:val="00FF1A52"/>
    <w:rsid w:val="00FF1A83"/>
    <w:rsid w:val="00FF1C14"/>
    <w:rsid w:val="00FF1D45"/>
    <w:rsid w:val="00FF1E97"/>
    <w:rsid w:val="00FF1F24"/>
    <w:rsid w:val="00FF20B2"/>
    <w:rsid w:val="00FF238D"/>
    <w:rsid w:val="00FF23B1"/>
    <w:rsid w:val="00FF23D7"/>
    <w:rsid w:val="00FF250F"/>
    <w:rsid w:val="00FF25C1"/>
    <w:rsid w:val="00FF281E"/>
    <w:rsid w:val="00FF286C"/>
    <w:rsid w:val="00FF2876"/>
    <w:rsid w:val="00FF28FF"/>
    <w:rsid w:val="00FF294D"/>
    <w:rsid w:val="00FF2AA8"/>
    <w:rsid w:val="00FF2B1B"/>
    <w:rsid w:val="00FF2B4E"/>
    <w:rsid w:val="00FF2BAD"/>
    <w:rsid w:val="00FF2BBD"/>
    <w:rsid w:val="00FF2BF6"/>
    <w:rsid w:val="00FF2D35"/>
    <w:rsid w:val="00FF2E3D"/>
    <w:rsid w:val="00FF2EEB"/>
    <w:rsid w:val="00FF2EF9"/>
    <w:rsid w:val="00FF2F28"/>
    <w:rsid w:val="00FF2FD9"/>
    <w:rsid w:val="00FF3024"/>
    <w:rsid w:val="00FF30AA"/>
    <w:rsid w:val="00FF3117"/>
    <w:rsid w:val="00FF3169"/>
    <w:rsid w:val="00FF31D3"/>
    <w:rsid w:val="00FF3370"/>
    <w:rsid w:val="00FF353F"/>
    <w:rsid w:val="00FF358C"/>
    <w:rsid w:val="00FF36D2"/>
    <w:rsid w:val="00FF382B"/>
    <w:rsid w:val="00FF3865"/>
    <w:rsid w:val="00FF3A31"/>
    <w:rsid w:val="00FF3BF7"/>
    <w:rsid w:val="00FF3C0E"/>
    <w:rsid w:val="00FF3C46"/>
    <w:rsid w:val="00FF3CC5"/>
    <w:rsid w:val="00FF3CFF"/>
    <w:rsid w:val="00FF3DCB"/>
    <w:rsid w:val="00FF3EE1"/>
    <w:rsid w:val="00FF3F69"/>
    <w:rsid w:val="00FF40B6"/>
    <w:rsid w:val="00FF4112"/>
    <w:rsid w:val="00FF4125"/>
    <w:rsid w:val="00FF416A"/>
    <w:rsid w:val="00FF419D"/>
    <w:rsid w:val="00FF43B7"/>
    <w:rsid w:val="00FF4460"/>
    <w:rsid w:val="00FF4643"/>
    <w:rsid w:val="00FF4686"/>
    <w:rsid w:val="00FF46AE"/>
    <w:rsid w:val="00FF46B3"/>
    <w:rsid w:val="00FF479B"/>
    <w:rsid w:val="00FF47C8"/>
    <w:rsid w:val="00FF48BD"/>
    <w:rsid w:val="00FF48E8"/>
    <w:rsid w:val="00FF491B"/>
    <w:rsid w:val="00FF4953"/>
    <w:rsid w:val="00FF496C"/>
    <w:rsid w:val="00FF49C3"/>
    <w:rsid w:val="00FF49F9"/>
    <w:rsid w:val="00FF4AB6"/>
    <w:rsid w:val="00FF4AB7"/>
    <w:rsid w:val="00FF4B59"/>
    <w:rsid w:val="00FF4C0C"/>
    <w:rsid w:val="00FF4F45"/>
    <w:rsid w:val="00FF4F60"/>
    <w:rsid w:val="00FF5054"/>
    <w:rsid w:val="00FF5058"/>
    <w:rsid w:val="00FF50D0"/>
    <w:rsid w:val="00FF50FE"/>
    <w:rsid w:val="00FF512A"/>
    <w:rsid w:val="00FF5287"/>
    <w:rsid w:val="00FF52A3"/>
    <w:rsid w:val="00FF52DF"/>
    <w:rsid w:val="00FF5475"/>
    <w:rsid w:val="00FF55F4"/>
    <w:rsid w:val="00FF55FA"/>
    <w:rsid w:val="00FF5698"/>
    <w:rsid w:val="00FF59B2"/>
    <w:rsid w:val="00FF59FE"/>
    <w:rsid w:val="00FF5C82"/>
    <w:rsid w:val="00FF5FED"/>
    <w:rsid w:val="00FF6039"/>
    <w:rsid w:val="00FF6073"/>
    <w:rsid w:val="00FF621E"/>
    <w:rsid w:val="00FF62BE"/>
    <w:rsid w:val="00FF633E"/>
    <w:rsid w:val="00FF6352"/>
    <w:rsid w:val="00FF6470"/>
    <w:rsid w:val="00FF64C2"/>
    <w:rsid w:val="00FF6541"/>
    <w:rsid w:val="00FF656E"/>
    <w:rsid w:val="00FF66DC"/>
    <w:rsid w:val="00FF674E"/>
    <w:rsid w:val="00FF677C"/>
    <w:rsid w:val="00FF67CD"/>
    <w:rsid w:val="00FF682F"/>
    <w:rsid w:val="00FF68BF"/>
    <w:rsid w:val="00FF6AC7"/>
    <w:rsid w:val="00FF6AF0"/>
    <w:rsid w:val="00FF6B55"/>
    <w:rsid w:val="00FF6B61"/>
    <w:rsid w:val="00FF6BC6"/>
    <w:rsid w:val="00FF6FA6"/>
    <w:rsid w:val="00FF6FF3"/>
    <w:rsid w:val="00FF70DA"/>
    <w:rsid w:val="00FF70F3"/>
    <w:rsid w:val="00FF7143"/>
    <w:rsid w:val="00FF71C4"/>
    <w:rsid w:val="00FF71F6"/>
    <w:rsid w:val="00FF72A2"/>
    <w:rsid w:val="00FF743F"/>
    <w:rsid w:val="00FF747C"/>
    <w:rsid w:val="00FF74B6"/>
    <w:rsid w:val="00FF7515"/>
    <w:rsid w:val="00FF75D7"/>
    <w:rsid w:val="00FF79E0"/>
    <w:rsid w:val="00FF7A2B"/>
    <w:rsid w:val="00FF7A49"/>
    <w:rsid w:val="00FF7B19"/>
    <w:rsid w:val="00FF7C13"/>
    <w:rsid w:val="00FF7C3C"/>
    <w:rsid w:val="00FF7C50"/>
    <w:rsid w:val="00FF7CAE"/>
    <w:rsid w:val="00FF7ED2"/>
    <w:rsid w:val="00FF7F22"/>
    <w:rsid w:val="00FF89DB"/>
    <w:rsid w:val="01050495"/>
    <w:rsid w:val="0109F022"/>
    <w:rsid w:val="010AFC80"/>
    <w:rsid w:val="010BC9E2"/>
    <w:rsid w:val="011289DB"/>
    <w:rsid w:val="0116E061"/>
    <w:rsid w:val="011B9E0A"/>
    <w:rsid w:val="011D650E"/>
    <w:rsid w:val="01241789"/>
    <w:rsid w:val="012743F3"/>
    <w:rsid w:val="01274AE6"/>
    <w:rsid w:val="01292BCF"/>
    <w:rsid w:val="012B4BB6"/>
    <w:rsid w:val="013140C9"/>
    <w:rsid w:val="013429E2"/>
    <w:rsid w:val="0138A9AA"/>
    <w:rsid w:val="013BA83B"/>
    <w:rsid w:val="0141EA34"/>
    <w:rsid w:val="0146602A"/>
    <w:rsid w:val="0155025C"/>
    <w:rsid w:val="015BA354"/>
    <w:rsid w:val="015F2D27"/>
    <w:rsid w:val="016129D4"/>
    <w:rsid w:val="01622378"/>
    <w:rsid w:val="01655E75"/>
    <w:rsid w:val="0168596E"/>
    <w:rsid w:val="0170D3B1"/>
    <w:rsid w:val="0174E6BB"/>
    <w:rsid w:val="01780C71"/>
    <w:rsid w:val="017C4CB5"/>
    <w:rsid w:val="017DF8C0"/>
    <w:rsid w:val="017EE2A7"/>
    <w:rsid w:val="017F3EF4"/>
    <w:rsid w:val="018005CE"/>
    <w:rsid w:val="01808FAC"/>
    <w:rsid w:val="0180DDC5"/>
    <w:rsid w:val="01814F01"/>
    <w:rsid w:val="018588D9"/>
    <w:rsid w:val="018697E2"/>
    <w:rsid w:val="0191EE32"/>
    <w:rsid w:val="0192CB4F"/>
    <w:rsid w:val="01930B79"/>
    <w:rsid w:val="01993909"/>
    <w:rsid w:val="0199EC1B"/>
    <w:rsid w:val="019C1735"/>
    <w:rsid w:val="019D4092"/>
    <w:rsid w:val="019D9D97"/>
    <w:rsid w:val="01A1041F"/>
    <w:rsid w:val="01A1BADE"/>
    <w:rsid w:val="01A8A952"/>
    <w:rsid w:val="01AB4990"/>
    <w:rsid w:val="01B0A7F4"/>
    <w:rsid w:val="01B3505D"/>
    <w:rsid w:val="01B65CC5"/>
    <w:rsid w:val="01B81D50"/>
    <w:rsid w:val="01BB98D1"/>
    <w:rsid w:val="01BBD92C"/>
    <w:rsid w:val="01C76059"/>
    <w:rsid w:val="01CF283C"/>
    <w:rsid w:val="01D07206"/>
    <w:rsid w:val="01D07E4D"/>
    <w:rsid w:val="01E1AFF7"/>
    <w:rsid w:val="01E21D52"/>
    <w:rsid w:val="01E3020A"/>
    <w:rsid w:val="01E462F9"/>
    <w:rsid w:val="01E47F1D"/>
    <w:rsid w:val="01E5057D"/>
    <w:rsid w:val="01E73A77"/>
    <w:rsid w:val="01E9BBDA"/>
    <w:rsid w:val="01ECAE2F"/>
    <w:rsid w:val="01EF9704"/>
    <w:rsid w:val="01F1936C"/>
    <w:rsid w:val="01FD2AF1"/>
    <w:rsid w:val="01FE4D26"/>
    <w:rsid w:val="01FEEA2D"/>
    <w:rsid w:val="01FEF149"/>
    <w:rsid w:val="02007A7B"/>
    <w:rsid w:val="02092D7A"/>
    <w:rsid w:val="020B36AF"/>
    <w:rsid w:val="02105F23"/>
    <w:rsid w:val="021756FF"/>
    <w:rsid w:val="02186E56"/>
    <w:rsid w:val="021BA358"/>
    <w:rsid w:val="021C89FA"/>
    <w:rsid w:val="021DDB35"/>
    <w:rsid w:val="022066C9"/>
    <w:rsid w:val="02217E51"/>
    <w:rsid w:val="0221AC72"/>
    <w:rsid w:val="0223418B"/>
    <w:rsid w:val="022633C0"/>
    <w:rsid w:val="0227FAFE"/>
    <w:rsid w:val="022B1CEC"/>
    <w:rsid w:val="022D7D6E"/>
    <w:rsid w:val="022FAAFD"/>
    <w:rsid w:val="0231F1BC"/>
    <w:rsid w:val="024069DD"/>
    <w:rsid w:val="02418CFC"/>
    <w:rsid w:val="02423C3D"/>
    <w:rsid w:val="0244FF2E"/>
    <w:rsid w:val="02470627"/>
    <w:rsid w:val="0248906A"/>
    <w:rsid w:val="0248F2AE"/>
    <w:rsid w:val="024BBF25"/>
    <w:rsid w:val="02545625"/>
    <w:rsid w:val="025B2632"/>
    <w:rsid w:val="025B3C93"/>
    <w:rsid w:val="025E159D"/>
    <w:rsid w:val="025EA2F2"/>
    <w:rsid w:val="02601C90"/>
    <w:rsid w:val="0265A7CA"/>
    <w:rsid w:val="026D686F"/>
    <w:rsid w:val="027061D8"/>
    <w:rsid w:val="0270A1C9"/>
    <w:rsid w:val="02771B58"/>
    <w:rsid w:val="02783554"/>
    <w:rsid w:val="027C1326"/>
    <w:rsid w:val="0280C838"/>
    <w:rsid w:val="0281334D"/>
    <w:rsid w:val="02817D18"/>
    <w:rsid w:val="02843330"/>
    <w:rsid w:val="028475F4"/>
    <w:rsid w:val="028928BD"/>
    <w:rsid w:val="028C9E40"/>
    <w:rsid w:val="0293CBD0"/>
    <w:rsid w:val="0299FFB6"/>
    <w:rsid w:val="029DC9FC"/>
    <w:rsid w:val="029F65BC"/>
    <w:rsid w:val="02A31BFE"/>
    <w:rsid w:val="02A57930"/>
    <w:rsid w:val="02A89D21"/>
    <w:rsid w:val="02BEFA3F"/>
    <w:rsid w:val="02C0CC09"/>
    <w:rsid w:val="02C4FED6"/>
    <w:rsid w:val="02D06FC7"/>
    <w:rsid w:val="02D2E1B5"/>
    <w:rsid w:val="02D4B9DC"/>
    <w:rsid w:val="02D56B06"/>
    <w:rsid w:val="02D5CBF6"/>
    <w:rsid w:val="02D826AF"/>
    <w:rsid w:val="02DB5478"/>
    <w:rsid w:val="02DD3DFC"/>
    <w:rsid w:val="02DF3887"/>
    <w:rsid w:val="02E63C6B"/>
    <w:rsid w:val="02E77F24"/>
    <w:rsid w:val="02EA45C8"/>
    <w:rsid w:val="02EB9652"/>
    <w:rsid w:val="02EF36AF"/>
    <w:rsid w:val="02FA6E43"/>
    <w:rsid w:val="03014288"/>
    <w:rsid w:val="03111F30"/>
    <w:rsid w:val="03150927"/>
    <w:rsid w:val="031D1FB8"/>
    <w:rsid w:val="0321E336"/>
    <w:rsid w:val="032A7DF4"/>
    <w:rsid w:val="032B9FEF"/>
    <w:rsid w:val="032D9A68"/>
    <w:rsid w:val="032F7863"/>
    <w:rsid w:val="03313140"/>
    <w:rsid w:val="03371C8A"/>
    <w:rsid w:val="034040EC"/>
    <w:rsid w:val="0349E2B7"/>
    <w:rsid w:val="034EFD7F"/>
    <w:rsid w:val="0350D531"/>
    <w:rsid w:val="035A2D39"/>
    <w:rsid w:val="035A6CCC"/>
    <w:rsid w:val="035EDBE1"/>
    <w:rsid w:val="035FCFEF"/>
    <w:rsid w:val="03612C17"/>
    <w:rsid w:val="0364D8FD"/>
    <w:rsid w:val="0368D211"/>
    <w:rsid w:val="0368E84E"/>
    <w:rsid w:val="036AF8D4"/>
    <w:rsid w:val="036E0D3C"/>
    <w:rsid w:val="036FA0F7"/>
    <w:rsid w:val="03774C52"/>
    <w:rsid w:val="0377AE54"/>
    <w:rsid w:val="037CF7C6"/>
    <w:rsid w:val="03834B96"/>
    <w:rsid w:val="0386A07F"/>
    <w:rsid w:val="03885843"/>
    <w:rsid w:val="038AAF2B"/>
    <w:rsid w:val="038E5723"/>
    <w:rsid w:val="03933707"/>
    <w:rsid w:val="039D4FE7"/>
    <w:rsid w:val="039FC112"/>
    <w:rsid w:val="03A2FE05"/>
    <w:rsid w:val="03B6D1BB"/>
    <w:rsid w:val="03BA76EB"/>
    <w:rsid w:val="03BA85F2"/>
    <w:rsid w:val="03BB59C1"/>
    <w:rsid w:val="03BE04B0"/>
    <w:rsid w:val="03C1595F"/>
    <w:rsid w:val="03C1C766"/>
    <w:rsid w:val="03C33CA4"/>
    <w:rsid w:val="03C58769"/>
    <w:rsid w:val="03C702E5"/>
    <w:rsid w:val="03C9A799"/>
    <w:rsid w:val="03C9E197"/>
    <w:rsid w:val="03D4678A"/>
    <w:rsid w:val="03D9362B"/>
    <w:rsid w:val="03DCD4B3"/>
    <w:rsid w:val="03E05247"/>
    <w:rsid w:val="03E0FFCA"/>
    <w:rsid w:val="03E35FD6"/>
    <w:rsid w:val="03EDF704"/>
    <w:rsid w:val="03F8F741"/>
    <w:rsid w:val="03F9C9FC"/>
    <w:rsid w:val="03FA437E"/>
    <w:rsid w:val="03FA5892"/>
    <w:rsid w:val="03FD3943"/>
    <w:rsid w:val="04010A17"/>
    <w:rsid w:val="04016A24"/>
    <w:rsid w:val="04019F2E"/>
    <w:rsid w:val="04066921"/>
    <w:rsid w:val="040A7AEF"/>
    <w:rsid w:val="040CCBDD"/>
    <w:rsid w:val="040FEEDF"/>
    <w:rsid w:val="0410236F"/>
    <w:rsid w:val="0411E521"/>
    <w:rsid w:val="0412C37D"/>
    <w:rsid w:val="0416AF7D"/>
    <w:rsid w:val="0417E5A8"/>
    <w:rsid w:val="0418EB75"/>
    <w:rsid w:val="0419FBBD"/>
    <w:rsid w:val="041D343F"/>
    <w:rsid w:val="04203EF6"/>
    <w:rsid w:val="0425BB41"/>
    <w:rsid w:val="0427C675"/>
    <w:rsid w:val="042B5736"/>
    <w:rsid w:val="0432B474"/>
    <w:rsid w:val="043324DB"/>
    <w:rsid w:val="0433823D"/>
    <w:rsid w:val="0434DAB9"/>
    <w:rsid w:val="0436D42E"/>
    <w:rsid w:val="043D8E96"/>
    <w:rsid w:val="044085B4"/>
    <w:rsid w:val="04482F75"/>
    <w:rsid w:val="044AB497"/>
    <w:rsid w:val="044B5073"/>
    <w:rsid w:val="044FC7A1"/>
    <w:rsid w:val="0451895B"/>
    <w:rsid w:val="045312A7"/>
    <w:rsid w:val="045967CA"/>
    <w:rsid w:val="045E2172"/>
    <w:rsid w:val="045F33FC"/>
    <w:rsid w:val="04677F55"/>
    <w:rsid w:val="04679859"/>
    <w:rsid w:val="0469BA15"/>
    <w:rsid w:val="046A1DF8"/>
    <w:rsid w:val="046B66CF"/>
    <w:rsid w:val="046CC84A"/>
    <w:rsid w:val="046E9658"/>
    <w:rsid w:val="046ECC29"/>
    <w:rsid w:val="0476C52D"/>
    <w:rsid w:val="047A0CB8"/>
    <w:rsid w:val="047D94BE"/>
    <w:rsid w:val="047E5F30"/>
    <w:rsid w:val="04809E5A"/>
    <w:rsid w:val="0480EDD7"/>
    <w:rsid w:val="0483121C"/>
    <w:rsid w:val="0483A2BA"/>
    <w:rsid w:val="04860932"/>
    <w:rsid w:val="048BEC65"/>
    <w:rsid w:val="04A25B5D"/>
    <w:rsid w:val="04A921D2"/>
    <w:rsid w:val="04AF9E0E"/>
    <w:rsid w:val="04B1B4FA"/>
    <w:rsid w:val="04BBA972"/>
    <w:rsid w:val="04C03CBF"/>
    <w:rsid w:val="04C43322"/>
    <w:rsid w:val="04C51C07"/>
    <w:rsid w:val="04D07AFA"/>
    <w:rsid w:val="04D0C71D"/>
    <w:rsid w:val="04D17140"/>
    <w:rsid w:val="04D46E51"/>
    <w:rsid w:val="04D5C784"/>
    <w:rsid w:val="04EA738C"/>
    <w:rsid w:val="04EB5AFD"/>
    <w:rsid w:val="04EB6FFE"/>
    <w:rsid w:val="04EB7649"/>
    <w:rsid w:val="04EC39D1"/>
    <w:rsid w:val="04EC55DF"/>
    <w:rsid w:val="04EC6E99"/>
    <w:rsid w:val="04FAB234"/>
    <w:rsid w:val="04FB5029"/>
    <w:rsid w:val="04FE5C32"/>
    <w:rsid w:val="05056CC6"/>
    <w:rsid w:val="0509E27C"/>
    <w:rsid w:val="050C9044"/>
    <w:rsid w:val="05106687"/>
    <w:rsid w:val="0511F986"/>
    <w:rsid w:val="05127F40"/>
    <w:rsid w:val="0512D80D"/>
    <w:rsid w:val="05199E1E"/>
    <w:rsid w:val="051F8FCC"/>
    <w:rsid w:val="0520DECB"/>
    <w:rsid w:val="0521C292"/>
    <w:rsid w:val="052C7BC3"/>
    <w:rsid w:val="052CD35B"/>
    <w:rsid w:val="05339FEF"/>
    <w:rsid w:val="0534FC0F"/>
    <w:rsid w:val="053550BA"/>
    <w:rsid w:val="053810A4"/>
    <w:rsid w:val="05389633"/>
    <w:rsid w:val="0541CECF"/>
    <w:rsid w:val="054D14F4"/>
    <w:rsid w:val="054E848D"/>
    <w:rsid w:val="055D113A"/>
    <w:rsid w:val="05604E1F"/>
    <w:rsid w:val="0562E503"/>
    <w:rsid w:val="05699BE4"/>
    <w:rsid w:val="05723F9D"/>
    <w:rsid w:val="057266E8"/>
    <w:rsid w:val="05753F4E"/>
    <w:rsid w:val="0575CA71"/>
    <w:rsid w:val="0578D98F"/>
    <w:rsid w:val="057A6CEF"/>
    <w:rsid w:val="057F52DB"/>
    <w:rsid w:val="057FF6EC"/>
    <w:rsid w:val="0580EE4D"/>
    <w:rsid w:val="05814A10"/>
    <w:rsid w:val="058C6159"/>
    <w:rsid w:val="058F573C"/>
    <w:rsid w:val="0590CC34"/>
    <w:rsid w:val="05964D1A"/>
    <w:rsid w:val="0596EECB"/>
    <w:rsid w:val="05994250"/>
    <w:rsid w:val="05994A04"/>
    <w:rsid w:val="059B52C7"/>
    <w:rsid w:val="059CE142"/>
    <w:rsid w:val="059E6679"/>
    <w:rsid w:val="059F49A1"/>
    <w:rsid w:val="059FE7D8"/>
    <w:rsid w:val="05A50A35"/>
    <w:rsid w:val="05AD57C4"/>
    <w:rsid w:val="05AEE227"/>
    <w:rsid w:val="05B31283"/>
    <w:rsid w:val="05B6FD1B"/>
    <w:rsid w:val="05BAA285"/>
    <w:rsid w:val="05BB4977"/>
    <w:rsid w:val="05BB5113"/>
    <w:rsid w:val="05BB69D4"/>
    <w:rsid w:val="05BD5D18"/>
    <w:rsid w:val="05C1B108"/>
    <w:rsid w:val="05C55CEB"/>
    <w:rsid w:val="05CF0E08"/>
    <w:rsid w:val="05D05DF9"/>
    <w:rsid w:val="05D07F4A"/>
    <w:rsid w:val="05D120D4"/>
    <w:rsid w:val="05D231A2"/>
    <w:rsid w:val="05D64059"/>
    <w:rsid w:val="05DC9742"/>
    <w:rsid w:val="05E12A56"/>
    <w:rsid w:val="05EDF4B6"/>
    <w:rsid w:val="05F529D7"/>
    <w:rsid w:val="05F8D222"/>
    <w:rsid w:val="06010B1E"/>
    <w:rsid w:val="060596A0"/>
    <w:rsid w:val="0608972F"/>
    <w:rsid w:val="060D9B7D"/>
    <w:rsid w:val="060F54DC"/>
    <w:rsid w:val="06122E0C"/>
    <w:rsid w:val="061E92DC"/>
    <w:rsid w:val="0620C165"/>
    <w:rsid w:val="0621903C"/>
    <w:rsid w:val="0626CB69"/>
    <w:rsid w:val="062AD916"/>
    <w:rsid w:val="062C2DD5"/>
    <w:rsid w:val="062FB745"/>
    <w:rsid w:val="0630A314"/>
    <w:rsid w:val="06328DC5"/>
    <w:rsid w:val="0634CD96"/>
    <w:rsid w:val="06356030"/>
    <w:rsid w:val="06365B17"/>
    <w:rsid w:val="063899CF"/>
    <w:rsid w:val="063B552E"/>
    <w:rsid w:val="063C0C5F"/>
    <w:rsid w:val="063C9749"/>
    <w:rsid w:val="063E6655"/>
    <w:rsid w:val="06472B45"/>
    <w:rsid w:val="0647B28B"/>
    <w:rsid w:val="065175AE"/>
    <w:rsid w:val="065538E3"/>
    <w:rsid w:val="0655879F"/>
    <w:rsid w:val="065B3170"/>
    <w:rsid w:val="065D125B"/>
    <w:rsid w:val="0666ABD5"/>
    <w:rsid w:val="0667530B"/>
    <w:rsid w:val="066F0FA4"/>
    <w:rsid w:val="0672095C"/>
    <w:rsid w:val="0678C768"/>
    <w:rsid w:val="067C532B"/>
    <w:rsid w:val="067C73E4"/>
    <w:rsid w:val="067DCC8F"/>
    <w:rsid w:val="067E8723"/>
    <w:rsid w:val="068266DF"/>
    <w:rsid w:val="068340AC"/>
    <w:rsid w:val="0686F70F"/>
    <w:rsid w:val="068F02D5"/>
    <w:rsid w:val="068F441F"/>
    <w:rsid w:val="06947068"/>
    <w:rsid w:val="0696171D"/>
    <w:rsid w:val="069EFA58"/>
    <w:rsid w:val="06A19493"/>
    <w:rsid w:val="06AAE748"/>
    <w:rsid w:val="06AB5366"/>
    <w:rsid w:val="06AC98F5"/>
    <w:rsid w:val="06ACF138"/>
    <w:rsid w:val="06AD2AB2"/>
    <w:rsid w:val="06AFE677"/>
    <w:rsid w:val="06BA2FBF"/>
    <w:rsid w:val="06BCEE0B"/>
    <w:rsid w:val="06BFC1FC"/>
    <w:rsid w:val="06C11F8D"/>
    <w:rsid w:val="06C9E513"/>
    <w:rsid w:val="06CBC85C"/>
    <w:rsid w:val="06CD89A2"/>
    <w:rsid w:val="06D7DF3C"/>
    <w:rsid w:val="06DC6DD3"/>
    <w:rsid w:val="06DEB67C"/>
    <w:rsid w:val="06DEC7DD"/>
    <w:rsid w:val="06E0A07A"/>
    <w:rsid w:val="06E2225C"/>
    <w:rsid w:val="06E23AC6"/>
    <w:rsid w:val="06E4022A"/>
    <w:rsid w:val="06E87A8D"/>
    <w:rsid w:val="06F1EC38"/>
    <w:rsid w:val="06F20B84"/>
    <w:rsid w:val="06F32B79"/>
    <w:rsid w:val="06F6272A"/>
    <w:rsid w:val="06F70A11"/>
    <w:rsid w:val="06F755E6"/>
    <w:rsid w:val="06F81CFD"/>
    <w:rsid w:val="06F88E4D"/>
    <w:rsid w:val="06FAE4DE"/>
    <w:rsid w:val="06FD44D2"/>
    <w:rsid w:val="06FD65C8"/>
    <w:rsid w:val="06FFB767"/>
    <w:rsid w:val="0702F119"/>
    <w:rsid w:val="0703EDB7"/>
    <w:rsid w:val="0709945E"/>
    <w:rsid w:val="0709F8CF"/>
    <w:rsid w:val="070A0B2F"/>
    <w:rsid w:val="070CF00D"/>
    <w:rsid w:val="0712D05E"/>
    <w:rsid w:val="0721DB98"/>
    <w:rsid w:val="07251F1E"/>
    <w:rsid w:val="072A33DB"/>
    <w:rsid w:val="072B77EC"/>
    <w:rsid w:val="07302C89"/>
    <w:rsid w:val="0736C7A8"/>
    <w:rsid w:val="0739A8BB"/>
    <w:rsid w:val="07421077"/>
    <w:rsid w:val="0744FC14"/>
    <w:rsid w:val="074914FE"/>
    <w:rsid w:val="074F119F"/>
    <w:rsid w:val="07509136"/>
    <w:rsid w:val="075201F9"/>
    <w:rsid w:val="075C2849"/>
    <w:rsid w:val="075CD5A7"/>
    <w:rsid w:val="075E0E49"/>
    <w:rsid w:val="076980AD"/>
    <w:rsid w:val="076F4F15"/>
    <w:rsid w:val="0770F608"/>
    <w:rsid w:val="0772103D"/>
    <w:rsid w:val="0774F145"/>
    <w:rsid w:val="0778462D"/>
    <w:rsid w:val="077E317F"/>
    <w:rsid w:val="077E8FC5"/>
    <w:rsid w:val="078D53A8"/>
    <w:rsid w:val="0791C799"/>
    <w:rsid w:val="079F9436"/>
    <w:rsid w:val="079FF436"/>
    <w:rsid w:val="07A16F6C"/>
    <w:rsid w:val="07AC920D"/>
    <w:rsid w:val="07B030F7"/>
    <w:rsid w:val="07B114B1"/>
    <w:rsid w:val="07B2D648"/>
    <w:rsid w:val="07B5F641"/>
    <w:rsid w:val="07B78A6F"/>
    <w:rsid w:val="07BC3E0F"/>
    <w:rsid w:val="07C19152"/>
    <w:rsid w:val="07C5D2DA"/>
    <w:rsid w:val="07C9D7D3"/>
    <w:rsid w:val="07CBC3D7"/>
    <w:rsid w:val="07CF23C8"/>
    <w:rsid w:val="07CF96D7"/>
    <w:rsid w:val="07D08EFB"/>
    <w:rsid w:val="07D48628"/>
    <w:rsid w:val="07D829BA"/>
    <w:rsid w:val="07D96937"/>
    <w:rsid w:val="07E11FC6"/>
    <w:rsid w:val="07E7E360"/>
    <w:rsid w:val="07EE7B3F"/>
    <w:rsid w:val="07F1CC73"/>
    <w:rsid w:val="07F46C05"/>
    <w:rsid w:val="07F7C7B4"/>
    <w:rsid w:val="07F8E7E6"/>
    <w:rsid w:val="07F9C0BF"/>
    <w:rsid w:val="07FCFC24"/>
    <w:rsid w:val="07FFA20F"/>
    <w:rsid w:val="080AE114"/>
    <w:rsid w:val="080CC6F3"/>
    <w:rsid w:val="081410E2"/>
    <w:rsid w:val="0816B149"/>
    <w:rsid w:val="0817A7B0"/>
    <w:rsid w:val="08181937"/>
    <w:rsid w:val="08185FAA"/>
    <w:rsid w:val="081A2305"/>
    <w:rsid w:val="081BFE6A"/>
    <w:rsid w:val="081CBC97"/>
    <w:rsid w:val="0827F46F"/>
    <w:rsid w:val="08284BC8"/>
    <w:rsid w:val="082C579E"/>
    <w:rsid w:val="0831228D"/>
    <w:rsid w:val="08331E86"/>
    <w:rsid w:val="083638CB"/>
    <w:rsid w:val="083A3504"/>
    <w:rsid w:val="083A4508"/>
    <w:rsid w:val="08403150"/>
    <w:rsid w:val="0840F0E5"/>
    <w:rsid w:val="08417C0A"/>
    <w:rsid w:val="084184F1"/>
    <w:rsid w:val="084D0165"/>
    <w:rsid w:val="084F94C1"/>
    <w:rsid w:val="085136ED"/>
    <w:rsid w:val="0854141C"/>
    <w:rsid w:val="0858278C"/>
    <w:rsid w:val="085B686A"/>
    <w:rsid w:val="085D3889"/>
    <w:rsid w:val="085FD079"/>
    <w:rsid w:val="08649ECB"/>
    <w:rsid w:val="0867766E"/>
    <w:rsid w:val="08678858"/>
    <w:rsid w:val="086B8797"/>
    <w:rsid w:val="086D3129"/>
    <w:rsid w:val="086D5BEF"/>
    <w:rsid w:val="086E80A8"/>
    <w:rsid w:val="08741BCF"/>
    <w:rsid w:val="087987A8"/>
    <w:rsid w:val="08799E19"/>
    <w:rsid w:val="0879CF75"/>
    <w:rsid w:val="087C0E58"/>
    <w:rsid w:val="0880C1AD"/>
    <w:rsid w:val="088883CB"/>
    <w:rsid w:val="0889EC7A"/>
    <w:rsid w:val="088CD41E"/>
    <w:rsid w:val="088CF96F"/>
    <w:rsid w:val="08900EF3"/>
    <w:rsid w:val="08922835"/>
    <w:rsid w:val="08954D68"/>
    <w:rsid w:val="0898E3CA"/>
    <w:rsid w:val="089C3503"/>
    <w:rsid w:val="089C4819"/>
    <w:rsid w:val="089C540B"/>
    <w:rsid w:val="089F57BB"/>
    <w:rsid w:val="08A2E3E0"/>
    <w:rsid w:val="08A87AD3"/>
    <w:rsid w:val="08ABE103"/>
    <w:rsid w:val="08AC03CF"/>
    <w:rsid w:val="08AE0F53"/>
    <w:rsid w:val="08B26F1C"/>
    <w:rsid w:val="08B53700"/>
    <w:rsid w:val="08B62886"/>
    <w:rsid w:val="08B8E55F"/>
    <w:rsid w:val="08BAC970"/>
    <w:rsid w:val="08C72D4E"/>
    <w:rsid w:val="08C91117"/>
    <w:rsid w:val="08C9E5E6"/>
    <w:rsid w:val="08CB9E8A"/>
    <w:rsid w:val="08CD3040"/>
    <w:rsid w:val="08D3DFE4"/>
    <w:rsid w:val="08D4D84B"/>
    <w:rsid w:val="08D68DDE"/>
    <w:rsid w:val="08D71629"/>
    <w:rsid w:val="08D7871E"/>
    <w:rsid w:val="08D8D32F"/>
    <w:rsid w:val="08F0E7E2"/>
    <w:rsid w:val="08F16032"/>
    <w:rsid w:val="08FA9C74"/>
    <w:rsid w:val="0907FD94"/>
    <w:rsid w:val="090A7F40"/>
    <w:rsid w:val="090E3B77"/>
    <w:rsid w:val="090F9534"/>
    <w:rsid w:val="0915198D"/>
    <w:rsid w:val="0915812D"/>
    <w:rsid w:val="091BCA1C"/>
    <w:rsid w:val="091CC710"/>
    <w:rsid w:val="091E64A0"/>
    <w:rsid w:val="09230398"/>
    <w:rsid w:val="0925AC07"/>
    <w:rsid w:val="093CB4F2"/>
    <w:rsid w:val="0942E70A"/>
    <w:rsid w:val="0945EB3E"/>
    <w:rsid w:val="09480FBE"/>
    <w:rsid w:val="094A27B1"/>
    <w:rsid w:val="094A4146"/>
    <w:rsid w:val="094AFCD5"/>
    <w:rsid w:val="094BD655"/>
    <w:rsid w:val="09501217"/>
    <w:rsid w:val="095140BE"/>
    <w:rsid w:val="09585144"/>
    <w:rsid w:val="0961BC1B"/>
    <w:rsid w:val="09633BE5"/>
    <w:rsid w:val="0963E20F"/>
    <w:rsid w:val="0966E359"/>
    <w:rsid w:val="096AE30B"/>
    <w:rsid w:val="096F5750"/>
    <w:rsid w:val="097737D6"/>
    <w:rsid w:val="09777DC6"/>
    <w:rsid w:val="097DD8D2"/>
    <w:rsid w:val="09817B17"/>
    <w:rsid w:val="09831289"/>
    <w:rsid w:val="098551DE"/>
    <w:rsid w:val="098CBC63"/>
    <w:rsid w:val="098CCCBF"/>
    <w:rsid w:val="09913840"/>
    <w:rsid w:val="0993742D"/>
    <w:rsid w:val="0997E068"/>
    <w:rsid w:val="0999A7A4"/>
    <w:rsid w:val="0999ACEC"/>
    <w:rsid w:val="09A20059"/>
    <w:rsid w:val="09A312CF"/>
    <w:rsid w:val="09AE1B49"/>
    <w:rsid w:val="09AF31B7"/>
    <w:rsid w:val="09B07507"/>
    <w:rsid w:val="09B07D48"/>
    <w:rsid w:val="09B4C330"/>
    <w:rsid w:val="09B6C2C2"/>
    <w:rsid w:val="09B8D163"/>
    <w:rsid w:val="09BC08D1"/>
    <w:rsid w:val="09BE0E4B"/>
    <w:rsid w:val="09C76799"/>
    <w:rsid w:val="09C82147"/>
    <w:rsid w:val="09CC0987"/>
    <w:rsid w:val="09CC4765"/>
    <w:rsid w:val="09CCC20C"/>
    <w:rsid w:val="09CE81FB"/>
    <w:rsid w:val="09D8EE49"/>
    <w:rsid w:val="09DAD8C8"/>
    <w:rsid w:val="09DAEE2B"/>
    <w:rsid w:val="09DB9EFF"/>
    <w:rsid w:val="09DED0C8"/>
    <w:rsid w:val="09E68C4A"/>
    <w:rsid w:val="09E6BD21"/>
    <w:rsid w:val="09EE85B9"/>
    <w:rsid w:val="09F012A7"/>
    <w:rsid w:val="09F4938D"/>
    <w:rsid w:val="09F929F8"/>
    <w:rsid w:val="09F94482"/>
    <w:rsid w:val="09FA6C2A"/>
    <w:rsid w:val="09FBC78D"/>
    <w:rsid w:val="09FED05B"/>
    <w:rsid w:val="0A01D5A0"/>
    <w:rsid w:val="0A031E43"/>
    <w:rsid w:val="0A035C1A"/>
    <w:rsid w:val="0A07AB30"/>
    <w:rsid w:val="0A11CB9E"/>
    <w:rsid w:val="0A11D07F"/>
    <w:rsid w:val="0A1312B2"/>
    <w:rsid w:val="0A15A08F"/>
    <w:rsid w:val="0A15F26D"/>
    <w:rsid w:val="0A1B2416"/>
    <w:rsid w:val="0A1C908C"/>
    <w:rsid w:val="0A1DBD18"/>
    <w:rsid w:val="0A210FDF"/>
    <w:rsid w:val="0A22A9C6"/>
    <w:rsid w:val="0A22B30C"/>
    <w:rsid w:val="0A22C475"/>
    <w:rsid w:val="0A232C21"/>
    <w:rsid w:val="0A2BB0CA"/>
    <w:rsid w:val="0A2C882C"/>
    <w:rsid w:val="0A2F2507"/>
    <w:rsid w:val="0A31FA1F"/>
    <w:rsid w:val="0A3D23B1"/>
    <w:rsid w:val="0A3D9D77"/>
    <w:rsid w:val="0A4358C0"/>
    <w:rsid w:val="0A44435E"/>
    <w:rsid w:val="0A483718"/>
    <w:rsid w:val="0A4A72C3"/>
    <w:rsid w:val="0A51FC0F"/>
    <w:rsid w:val="0A54F44D"/>
    <w:rsid w:val="0A5DB53F"/>
    <w:rsid w:val="0A607884"/>
    <w:rsid w:val="0A63009A"/>
    <w:rsid w:val="0A66AAD0"/>
    <w:rsid w:val="0A68F7CB"/>
    <w:rsid w:val="0A6D4C25"/>
    <w:rsid w:val="0A6E4807"/>
    <w:rsid w:val="0A74749F"/>
    <w:rsid w:val="0A757ED8"/>
    <w:rsid w:val="0A779CDD"/>
    <w:rsid w:val="0A78D9E7"/>
    <w:rsid w:val="0A791D02"/>
    <w:rsid w:val="0A7B57BE"/>
    <w:rsid w:val="0A7D39FC"/>
    <w:rsid w:val="0A7D645C"/>
    <w:rsid w:val="0A81E241"/>
    <w:rsid w:val="0A852C9D"/>
    <w:rsid w:val="0A8714CA"/>
    <w:rsid w:val="0A875784"/>
    <w:rsid w:val="0A89BD8D"/>
    <w:rsid w:val="0A8A68E5"/>
    <w:rsid w:val="0A8E2216"/>
    <w:rsid w:val="0A8FEB6A"/>
    <w:rsid w:val="0A914886"/>
    <w:rsid w:val="0A93E521"/>
    <w:rsid w:val="0A9B9522"/>
    <w:rsid w:val="0A9E78E0"/>
    <w:rsid w:val="0AA176DE"/>
    <w:rsid w:val="0AA22212"/>
    <w:rsid w:val="0AA32092"/>
    <w:rsid w:val="0AA407B8"/>
    <w:rsid w:val="0AAAD897"/>
    <w:rsid w:val="0AACF85D"/>
    <w:rsid w:val="0AAE8828"/>
    <w:rsid w:val="0AB22BF2"/>
    <w:rsid w:val="0AB65ADA"/>
    <w:rsid w:val="0ABB0D59"/>
    <w:rsid w:val="0ABB5262"/>
    <w:rsid w:val="0ABF6166"/>
    <w:rsid w:val="0AC07BF9"/>
    <w:rsid w:val="0AC1B06E"/>
    <w:rsid w:val="0AC66B65"/>
    <w:rsid w:val="0AC841FB"/>
    <w:rsid w:val="0AC9A607"/>
    <w:rsid w:val="0AD3D638"/>
    <w:rsid w:val="0AD4C3BA"/>
    <w:rsid w:val="0AD56C6A"/>
    <w:rsid w:val="0AD86660"/>
    <w:rsid w:val="0AD9EA49"/>
    <w:rsid w:val="0ADA0099"/>
    <w:rsid w:val="0ADA5B26"/>
    <w:rsid w:val="0ADB92BB"/>
    <w:rsid w:val="0ADBEFA6"/>
    <w:rsid w:val="0AE28A32"/>
    <w:rsid w:val="0AE51B37"/>
    <w:rsid w:val="0AE5EBF8"/>
    <w:rsid w:val="0AE7460B"/>
    <w:rsid w:val="0AE8756B"/>
    <w:rsid w:val="0AEF0455"/>
    <w:rsid w:val="0AF62E86"/>
    <w:rsid w:val="0AF6C315"/>
    <w:rsid w:val="0B04A4DA"/>
    <w:rsid w:val="0B04F26D"/>
    <w:rsid w:val="0B098AA2"/>
    <w:rsid w:val="0B0EB388"/>
    <w:rsid w:val="0B160EE0"/>
    <w:rsid w:val="0B174A9C"/>
    <w:rsid w:val="0B1E473C"/>
    <w:rsid w:val="0B23248F"/>
    <w:rsid w:val="0B2386D0"/>
    <w:rsid w:val="0B23AFD6"/>
    <w:rsid w:val="0B27EBA8"/>
    <w:rsid w:val="0B315BC2"/>
    <w:rsid w:val="0B34705C"/>
    <w:rsid w:val="0B37BB00"/>
    <w:rsid w:val="0B385692"/>
    <w:rsid w:val="0B38E987"/>
    <w:rsid w:val="0B3972BB"/>
    <w:rsid w:val="0B397CE2"/>
    <w:rsid w:val="0B46166F"/>
    <w:rsid w:val="0B4D23FB"/>
    <w:rsid w:val="0B52E7C0"/>
    <w:rsid w:val="0B5528F6"/>
    <w:rsid w:val="0B5AAF7D"/>
    <w:rsid w:val="0B5DCCC5"/>
    <w:rsid w:val="0B5E4D5A"/>
    <w:rsid w:val="0B600205"/>
    <w:rsid w:val="0B67FD69"/>
    <w:rsid w:val="0B69F7B4"/>
    <w:rsid w:val="0B6DDBE3"/>
    <w:rsid w:val="0B72CD6B"/>
    <w:rsid w:val="0B757470"/>
    <w:rsid w:val="0B7B67C0"/>
    <w:rsid w:val="0B7BD905"/>
    <w:rsid w:val="0B7F5E3D"/>
    <w:rsid w:val="0B7F8536"/>
    <w:rsid w:val="0B843E01"/>
    <w:rsid w:val="0B86F898"/>
    <w:rsid w:val="0B874491"/>
    <w:rsid w:val="0B882AE1"/>
    <w:rsid w:val="0B88F68D"/>
    <w:rsid w:val="0B916541"/>
    <w:rsid w:val="0B9478B3"/>
    <w:rsid w:val="0B985F2B"/>
    <w:rsid w:val="0B9877C5"/>
    <w:rsid w:val="0B9E6E47"/>
    <w:rsid w:val="0B9EC805"/>
    <w:rsid w:val="0B9FAEAC"/>
    <w:rsid w:val="0BABBB6D"/>
    <w:rsid w:val="0BB40515"/>
    <w:rsid w:val="0BB4EC46"/>
    <w:rsid w:val="0BB5F29B"/>
    <w:rsid w:val="0BB98D79"/>
    <w:rsid w:val="0BBF170D"/>
    <w:rsid w:val="0BC4BC83"/>
    <w:rsid w:val="0BCBFA58"/>
    <w:rsid w:val="0BCCE38C"/>
    <w:rsid w:val="0BCD175D"/>
    <w:rsid w:val="0BCFC936"/>
    <w:rsid w:val="0BD51D35"/>
    <w:rsid w:val="0BDB61A3"/>
    <w:rsid w:val="0BDD331B"/>
    <w:rsid w:val="0BE45345"/>
    <w:rsid w:val="0BE62DAD"/>
    <w:rsid w:val="0BE632FF"/>
    <w:rsid w:val="0BEB0859"/>
    <w:rsid w:val="0BEDD7B9"/>
    <w:rsid w:val="0BEF63FA"/>
    <w:rsid w:val="0BF1539E"/>
    <w:rsid w:val="0BFADA61"/>
    <w:rsid w:val="0C0196B2"/>
    <w:rsid w:val="0C0C30B9"/>
    <w:rsid w:val="0C10D3E7"/>
    <w:rsid w:val="0C116D19"/>
    <w:rsid w:val="0C14A41D"/>
    <w:rsid w:val="0C153539"/>
    <w:rsid w:val="0C1AF7FB"/>
    <w:rsid w:val="0C1B94EC"/>
    <w:rsid w:val="0C1C214A"/>
    <w:rsid w:val="0C1CBA7F"/>
    <w:rsid w:val="0C23DB3F"/>
    <w:rsid w:val="0C25924D"/>
    <w:rsid w:val="0C272ED9"/>
    <w:rsid w:val="0C2C4D53"/>
    <w:rsid w:val="0C2EAA5C"/>
    <w:rsid w:val="0C32F5BB"/>
    <w:rsid w:val="0C3BD125"/>
    <w:rsid w:val="0C3C19FF"/>
    <w:rsid w:val="0C416C4D"/>
    <w:rsid w:val="0C45D812"/>
    <w:rsid w:val="0C46C432"/>
    <w:rsid w:val="0C4BE9FF"/>
    <w:rsid w:val="0C4D165D"/>
    <w:rsid w:val="0C4D2399"/>
    <w:rsid w:val="0C4DB090"/>
    <w:rsid w:val="0C4E7ABC"/>
    <w:rsid w:val="0C510671"/>
    <w:rsid w:val="0C514DD7"/>
    <w:rsid w:val="0C530D59"/>
    <w:rsid w:val="0C5453A2"/>
    <w:rsid w:val="0C560F24"/>
    <w:rsid w:val="0C5B1D07"/>
    <w:rsid w:val="0C5C9361"/>
    <w:rsid w:val="0C5F022E"/>
    <w:rsid w:val="0C600936"/>
    <w:rsid w:val="0C60916E"/>
    <w:rsid w:val="0C60A165"/>
    <w:rsid w:val="0C61036F"/>
    <w:rsid w:val="0C62C0D4"/>
    <w:rsid w:val="0C631075"/>
    <w:rsid w:val="0C780DCE"/>
    <w:rsid w:val="0C8230C7"/>
    <w:rsid w:val="0C841F12"/>
    <w:rsid w:val="0C858223"/>
    <w:rsid w:val="0C8606EE"/>
    <w:rsid w:val="0C86A12D"/>
    <w:rsid w:val="0C885CBF"/>
    <w:rsid w:val="0C8A29F8"/>
    <w:rsid w:val="0C8F95D6"/>
    <w:rsid w:val="0C91D372"/>
    <w:rsid w:val="0C9829F8"/>
    <w:rsid w:val="0C99D2E2"/>
    <w:rsid w:val="0C9A5EDF"/>
    <w:rsid w:val="0C9DCAF4"/>
    <w:rsid w:val="0CA1A42E"/>
    <w:rsid w:val="0CA64EC9"/>
    <w:rsid w:val="0CAD1E37"/>
    <w:rsid w:val="0CADD854"/>
    <w:rsid w:val="0CB01E99"/>
    <w:rsid w:val="0CB5FA60"/>
    <w:rsid w:val="0CBE94B2"/>
    <w:rsid w:val="0CBEB1C6"/>
    <w:rsid w:val="0CC2DCF0"/>
    <w:rsid w:val="0CC36B01"/>
    <w:rsid w:val="0CC371D0"/>
    <w:rsid w:val="0CC373B0"/>
    <w:rsid w:val="0CC8B7B4"/>
    <w:rsid w:val="0CC92A6D"/>
    <w:rsid w:val="0CCC964F"/>
    <w:rsid w:val="0CCD3A55"/>
    <w:rsid w:val="0CCF2C9D"/>
    <w:rsid w:val="0CD43D79"/>
    <w:rsid w:val="0CD744B8"/>
    <w:rsid w:val="0CDAF2CD"/>
    <w:rsid w:val="0CE0841D"/>
    <w:rsid w:val="0CE8230E"/>
    <w:rsid w:val="0CF33A78"/>
    <w:rsid w:val="0CFF2B5E"/>
    <w:rsid w:val="0D01217E"/>
    <w:rsid w:val="0D0B23DB"/>
    <w:rsid w:val="0D0C3DBA"/>
    <w:rsid w:val="0D0EDDAE"/>
    <w:rsid w:val="0D0FDB5D"/>
    <w:rsid w:val="0D11DFCD"/>
    <w:rsid w:val="0D1805F0"/>
    <w:rsid w:val="0D1D6D2B"/>
    <w:rsid w:val="0D1DFD44"/>
    <w:rsid w:val="0D215E1C"/>
    <w:rsid w:val="0D2349BD"/>
    <w:rsid w:val="0D288BC4"/>
    <w:rsid w:val="0D298223"/>
    <w:rsid w:val="0D2BCA0E"/>
    <w:rsid w:val="0D33F4D3"/>
    <w:rsid w:val="0D349A28"/>
    <w:rsid w:val="0D36664F"/>
    <w:rsid w:val="0D389066"/>
    <w:rsid w:val="0D39262A"/>
    <w:rsid w:val="0D3E12D2"/>
    <w:rsid w:val="0D4250F1"/>
    <w:rsid w:val="0D46992A"/>
    <w:rsid w:val="0D4D90EC"/>
    <w:rsid w:val="0D4DF5F0"/>
    <w:rsid w:val="0D52943F"/>
    <w:rsid w:val="0D53407E"/>
    <w:rsid w:val="0D555DDA"/>
    <w:rsid w:val="0D5A5351"/>
    <w:rsid w:val="0D5BA27A"/>
    <w:rsid w:val="0D5F537E"/>
    <w:rsid w:val="0D6A228E"/>
    <w:rsid w:val="0D6A43E6"/>
    <w:rsid w:val="0D71C009"/>
    <w:rsid w:val="0D747A36"/>
    <w:rsid w:val="0D750467"/>
    <w:rsid w:val="0D753134"/>
    <w:rsid w:val="0D79115B"/>
    <w:rsid w:val="0D7D12AD"/>
    <w:rsid w:val="0D7E8706"/>
    <w:rsid w:val="0D7F238D"/>
    <w:rsid w:val="0D7FDB15"/>
    <w:rsid w:val="0D894D5D"/>
    <w:rsid w:val="0D90F966"/>
    <w:rsid w:val="0D91075F"/>
    <w:rsid w:val="0D92A80A"/>
    <w:rsid w:val="0D945607"/>
    <w:rsid w:val="0D9811D7"/>
    <w:rsid w:val="0D991AD0"/>
    <w:rsid w:val="0D99D11E"/>
    <w:rsid w:val="0D9BA433"/>
    <w:rsid w:val="0DA1A592"/>
    <w:rsid w:val="0DA298EB"/>
    <w:rsid w:val="0DA2E153"/>
    <w:rsid w:val="0DA5AC5B"/>
    <w:rsid w:val="0DA6C924"/>
    <w:rsid w:val="0DA977EA"/>
    <w:rsid w:val="0DAE0399"/>
    <w:rsid w:val="0DB0417D"/>
    <w:rsid w:val="0DB1F9D4"/>
    <w:rsid w:val="0DB6ED0F"/>
    <w:rsid w:val="0DB8D90E"/>
    <w:rsid w:val="0DBE40F8"/>
    <w:rsid w:val="0DBEF311"/>
    <w:rsid w:val="0DBF921F"/>
    <w:rsid w:val="0DC26F7C"/>
    <w:rsid w:val="0DC8F9AF"/>
    <w:rsid w:val="0DC9D240"/>
    <w:rsid w:val="0DD1EC21"/>
    <w:rsid w:val="0DD4E129"/>
    <w:rsid w:val="0DDA5869"/>
    <w:rsid w:val="0DEC14D1"/>
    <w:rsid w:val="0DF0443D"/>
    <w:rsid w:val="0DF57468"/>
    <w:rsid w:val="0E0248C3"/>
    <w:rsid w:val="0E066726"/>
    <w:rsid w:val="0E0A7FEE"/>
    <w:rsid w:val="0E0E18A5"/>
    <w:rsid w:val="0E0F630C"/>
    <w:rsid w:val="0E1097E7"/>
    <w:rsid w:val="0E11CC67"/>
    <w:rsid w:val="0E1676BA"/>
    <w:rsid w:val="0E196CF1"/>
    <w:rsid w:val="0E19A91D"/>
    <w:rsid w:val="0E1C5EC2"/>
    <w:rsid w:val="0E1F8388"/>
    <w:rsid w:val="0E25DC4F"/>
    <w:rsid w:val="0E25FF2B"/>
    <w:rsid w:val="0E2AF22B"/>
    <w:rsid w:val="0E2C82FE"/>
    <w:rsid w:val="0E33AE3D"/>
    <w:rsid w:val="0E34AAA1"/>
    <w:rsid w:val="0E34EB5F"/>
    <w:rsid w:val="0E3538EA"/>
    <w:rsid w:val="0E35E2A6"/>
    <w:rsid w:val="0E3A058B"/>
    <w:rsid w:val="0E417B82"/>
    <w:rsid w:val="0E42C873"/>
    <w:rsid w:val="0E459C9F"/>
    <w:rsid w:val="0E4C4CD5"/>
    <w:rsid w:val="0E4D8BA2"/>
    <w:rsid w:val="0E4E2188"/>
    <w:rsid w:val="0E4EF54B"/>
    <w:rsid w:val="0E5436CA"/>
    <w:rsid w:val="0E5E7A2D"/>
    <w:rsid w:val="0E61A003"/>
    <w:rsid w:val="0E62CA57"/>
    <w:rsid w:val="0E655898"/>
    <w:rsid w:val="0E69B40C"/>
    <w:rsid w:val="0E6AD2A7"/>
    <w:rsid w:val="0E6BEAB5"/>
    <w:rsid w:val="0E6BFDDD"/>
    <w:rsid w:val="0E6D6252"/>
    <w:rsid w:val="0E744D07"/>
    <w:rsid w:val="0E74BA94"/>
    <w:rsid w:val="0E74FA2A"/>
    <w:rsid w:val="0E764A14"/>
    <w:rsid w:val="0E7E06A5"/>
    <w:rsid w:val="0E82E10C"/>
    <w:rsid w:val="0E844CE4"/>
    <w:rsid w:val="0E870A4F"/>
    <w:rsid w:val="0E8973EE"/>
    <w:rsid w:val="0E8B17B5"/>
    <w:rsid w:val="0E8C343D"/>
    <w:rsid w:val="0E8D67EB"/>
    <w:rsid w:val="0E8DF9AB"/>
    <w:rsid w:val="0E922DC1"/>
    <w:rsid w:val="0E935B3F"/>
    <w:rsid w:val="0E95BDE2"/>
    <w:rsid w:val="0E970E51"/>
    <w:rsid w:val="0E9737FF"/>
    <w:rsid w:val="0E9A71D0"/>
    <w:rsid w:val="0E9D6CEC"/>
    <w:rsid w:val="0E9F334D"/>
    <w:rsid w:val="0EA418D3"/>
    <w:rsid w:val="0EA4535D"/>
    <w:rsid w:val="0EA47394"/>
    <w:rsid w:val="0EA57F43"/>
    <w:rsid w:val="0EAB06EA"/>
    <w:rsid w:val="0EB2340A"/>
    <w:rsid w:val="0EB62A45"/>
    <w:rsid w:val="0EB6D4CF"/>
    <w:rsid w:val="0EB8A063"/>
    <w:rsid w:val="0EBB6EDC"/>
    <w:rsid w:val="0EBD1870"/>
    <w:rsid w:val="0EBFC1FD"/>
    <w:rsid w:val="0EC0974F"/>
    <w:rsid w:val="0EC2A701"/>
    <w:rsid w:val="0EC430E4"/>
    <w:rsid w:val="0ED9CC06"/>
    <w:rsid w:val="0EE8A0D6"/>
    <w:rsid w:val="0EEB469C"/>
    <w:rsid w:val="0EF70E4E"/>
    <w:rsid w:val="0EF8F5EC"/>
    <w:rsid w:val="0EFAB3B5"/>
    <w:rsid w:val="0EFADC15"/>
    <w:rsid w:val="0EFD0E92"/>
    <w:rsid w:val="0F01F295"/>
    <w:rsid w:val="0F031BA5"/>
    <w:rsid w:val="0F09407A"/>
    <w:rsid w:val="0F0EB419"/>
    <w:rsid w:val="0F100F19"/>
    <w:rsid w:val="0F1444C9"/>
    <w:rsid w:val="0F17123B"/>
    <w:rsid w:val="0F23ABA8"/>
    <w:rsid w:val="0F2E6BE8"/>
    <w:rsid w:val="0F31CC72"/>
    <w:rsid w:val="0F35D5C8"/>
    <w:rsid w:val="0F364712"/>
    <w:rsid w:val="0F3B8F0A"/>
    <w:rsid w:val="0F414712"/>
    <w:rsid w:val="0F41D4A5"/>
    <w:rsid w:val="0F425C95"/>
    <w:rsid w:val="0F439B62"/>
    <w:rsid w:val="0F4BE3C5"/>
    <w:rsid w:val="0F4E1ABE"/>
    <w:rsid w:val="0F548E88"/>
    <w:rsid w:val="0F56AC69"/>
    <w:rsid w:val="0F5ADBB2"/>
    <w:rsid w:val="0F5CB54C"/>
    <w:rsid w:val="0F609FBE"/>
    <w:rsid w:val="0F622CD6"/>
    <w:rsid w:val="0F6248A2"/>
    <w:rsid w:val="0F62BBFF"/>
    <w:rsid w:val="0F6439BB"/>
    <w:rsid w:val="0F664A62"/>
    <w:rsid w:val="0F66A460"/>
    <w:rsid w:val="0F6AA85A"/>
    <w:rsid w:val="0F6C83A7"/>
    <w:rsid w:val="0F6D26CB"/>
    <w:rsid w:val="0F6DC135"/>
    <w:rsid w:val="0F6EBE61"/>
    <w:rsid w:val="0F6FD646"/>
    <w:rsid w:val="0F71134D"/>
    <w:rsid w:val="0F723D63"/>
    <w:rsid w:val="0F742A75"/>
    <w:rsid w:val="0F7717AF"/>
    <w:rsid w:val="0F79EC4A"/>
    <w:rsid w:val="0F7E58E8"/>
    <w:rsid w:val="0F889B63"/>
    <w:rsid w:val="0F92D52A"/>
    <w:rsid w:val="0F93122B"/>
    <w:rsid w:val="0F9A6196"/>
    <w:rsid w:val="0FA1A857"/>
    <w:rsid w:val="0FA43C3D"/>
    <w:rsid w:val="0FAACB66"/>
    <w:rsid w:val="0FB0DED4"/>
    <w:rsid w:val="0FBD3F3C"/>
    <w:rsid w:val="0FC3A34B"/>
    <w:rsid w:val="0FC7B0D4"/>
    <w:rsid w:val="0FC7B5CB"/>
    <w:rsid w:val="0FCA3D11"/>
    <w:rsid w:val="0FCD5FE0"/>
    <w:rsid w:val="0FD69AF1"/>
    <w:rsid w:val="0FDA9F27"/>
    <w:rsid w:val="0FDD3982"/>
    <w:rsid w:val="0FDF0300"/>
    <w:rsid w:val="0FE0576C"/>
    <w:rsid w:val="0FE1E366"/>
    <w:rsid w:val="0FE92B31"/>
    <w:rsid w:val="0FEA6132"/>
    <w:rsid w:val="0FED6EFC"/>
    <w:rsid w:val="0FF8CF7A"/>
    <w:rsid w:val="1000C2F1"/>
    <w:rsid w:val="1004F6F9"/>
    <w:rsid w:val="1008226B"/>
    <w:rsid w:val="10088C68"/>
    <w:rsid w:val="100B63B7"/>
    <w:rsid w:val="100C2AD4"/>
    <w:rsid w:val="1012DA13"/>
    <w:rsid w:val="10157B4D"/>
    <w:rsid w:val="101F7C69"/>
    <w:rsid w:val="1025A0E6"/>
    <w:rsid w:val="10278A8E"/>
    <w:rsid w:val="102C9B37"/>
    <w:rsid w:val="102ED3D4"/>
    <w:rsid w:val="103063C7"/>
    <w:rsid w:val="10353765"/>
    <w:rsid w:val="1035AC9F"/>
    <w:rsid w:val="1040DC05"/>
    <w:rsid w:val="1042DC9D"/>
    <w:rsid w:val="10460230"/>
    <w:rsid w:val="104B4CBA"/>
    <w:rsid w:val="104C71BD"/>
    <w:rsid w:val="104D08C9"/>
    <w:rsid w:val="1054ED48"/>
    <w:rsid w:val="1057EBD2"/>
    <w:rsid w:val="105B44EF"/>
    <w:rsid w:val="106218E1"/>
    <w:rsid w:val="1068E8A4"/>
    <w:rsid w:val="106A103D"/>
    <w:rsid w:val="106AA02E"/>
    <w:rsid w:val="106B57CA"/>
    <w:rsid w:val="106C02A7"/>
    <w:rsid w:val="10739061"/>
    <w:rsid w:val="1076B1EA"/>
    <w:rsid w:val="107E3490"/>
    <w:rsid w:val="10829BC1"/>
    <w:rsid w:val="1084ED0C"/>
    <w:rsid w:val="1085EF50"/>
    <w:rsid w:val="1088440D"/>
    <w:rsid w:val="108A2D39"/>
    <w:rsid w:val="108B5950"/>
    <w:rsid w:val="108F8A85"/>
    <w:rsid w:val="10940487"/>
    <w:rsid w:val="109428FC"/>
    <w:rsid w:val="1094D4B3"/>
    <w:rsid w:val="1094F5A3"/>
    <w:rsid w:val="1096128C"/>
    <w:rsid w:val="1097331B"/>
    <w:rsid w:val="10976480"/>
    <w:rsid w:val="10992DD4"/>
    <w:rsid w:val="1099C5D2"/>
    <w:rsid w:val="109E1F86"/>
    <w:rsid w:val="109F3E27"/>
    <w:rsid w:val="109FADFF"/>
    <w:rsid w:val="10A3F5A3"/>
    <w:rsid w:val="10A5AC42"/>
    <w:rsid w:val="10A8A827"/>
    <w:rsid w:val="10AC9E52"/>
    <w:rsid w:val="10AE5C24"/>
    <w:rsid w:val="10AF06B7"/>
    <w:rsid w:val="10B2E2E3"/>
    <w:rsid w:val="10B62B5F"/>
    <w:rsid w:val="10B99ACB"/>
    <w:rsid w:val="10BDADB4"/>
    <w:rsid w:val="10BE91D1"/>
    <w:rsid w:val="10BF8EC0"/>
    <w:rsid w:val="10BFD03B"/>
    <w:rsid w:val="10C31D6C"/>
    <w:rsid w:val="10C83E67"/>
    <w:rsid w:val="10D03A9C"/>
    <w:rsid w:val="10D5DF06"/>
    <w:rsid w:val="10D8946E"/>
    <w:rsid w:val="10DA105B"/>
    <w:rsid w:val="10DA1396"/>
    <w:rsid w:val="10DAEC57"/>
    <w:rsid w:val="10DB0925"/>
    <w:rsid w:val="10DC217A"/>
    <w:rsid w:val="10DCF5D3"/>
    <w:rsid w:val="10EA5F4B"/>
    <w:rsid w:val="10EFE9D0"/>
    <w:rsid w:val="10F1AD01"/>
    <w:rsid w:val="10F4CD58"/>
    <w:rsid w:val="10F69B9D"/>
    <w:rsid w:val="10F6DCAC"/>
    <w:rsid w:val="10F7F7F0"/>
    <w:rsid w:val="10FB72FD"/>
    <w:rsid w:val="10FC11DB"/>
    <w:rsid w:val="1102A407"/>
    <w:rsid w:val="110524B5"/>
    <w:rsid w:val="11073D24"/>
    <w:rsid w:val="110926DD"/>
    <w:rsid w:val="110A615B"/>
    <w:rsid w:val="110A8FC1"/>
    <w:rsid w:val="110E0FA7"/>
    <w:rsid w:val="110F290D"/>
    <w:rsid w:val="110F65BF"/>
    <w:rsid w:val="111025BB"/>
    <w:rsid w:val="11108DAA"/>
    <w:rsid w:val="1117AB29"/>
    <w:rsid w:val="111BA683"/>
    <w:rsid w:val="111C7C0F"/>
    <w:rsid w:val="111D8E27"/>
    <w:rsid w:val="111DB07F"/>
    <w:rsid w:val="11213FB9"/>
    <w:rsid w:val="1126C7A2"/>
    <w:rsid w:val="1126EA79"/>
    <w:rsid w:val="11276DE0"/>
    <w:rsid w:val="11290B00"/>
    <w:rsid w:val="112B9695"/>
    <w:rsid w:val="112BD8C8"/>
    <w:rsid w:val="112DF17E"/>
    <w:rsid w:val="1130B902"/>
    <w:rsid w:val="1132DA09"/>
    <w:rsid w:val="1136CC46"/>
    <w:rsid w:val="113E2B59"/>
    <w:rsid w:val="11438F30"/>
    <w:rsid w:val="1143E954"/>
    <w:rsid w:val="1148BC70"/>
    <w:rsid w:val="114B714F"/>
    <w:rsid w:val="114B89BF"/>
    <w:rsid w:val="114D46C6"/>
    <w:rsid w:val="11515E1C"/>
    <w:rsid w:val="11542969"/>
    <w:rsid w:val="1157EC2C"/>
    <w:rsid w:val="1159C236"/>
    <w:rsid w:val="115D360C"/>
    <w:rsid w:val="11670DBE"/>
    <w:rsid w:val="116C69FA"/>
    <w:rsid w:val="1170552B"/>
    <w:rsid w:val="11723BAE"/>
    <w:rsid w:val="1176797D"/>
    <w:rsid w:val="117C4CF0"/>
    <w:rsid w:val="118BDCFB"/>
    <w:rsid w:val="118D7E29"/>
    <w:rsid w:val="11932284"/>
    <w:rsid w:val="1196197B"/>
    <w:rsid w:val="119EB3D6"/>
    <w:rsid w:val="11A01075"/>
    <w:rsid w:val="11A52440"/>
    <w:rsid w:val="11A70DA3"/>
    <w:rsid w:val="11A727A5"/>
    <w:rsid w:val="11AA7FD2"/>
    <w:rsid w:val="11B185F8"/>
    <w:rsid w:val="11B1C3CE"/>
    <w:rsid w:val="11B6C432"/>
    <w:rsid w:val="11B71A1E"/>
    <w:rsid w:val="11B76F2D"/>
    <w:rsid w:val="11B7EA75"/>
    <w:rsid w:val="11B936B9"/>
    <w:rsid w:val="11B969B1"/>
    <w:rsid w:val="11B99C38"/>
    <w:rsid w:val="11BA6B44"/>
    <w:rsid w:val="11C24369"/>
    <w:rsid w:val="11C94DF3"/>
    <w:rsid w:val="11C9618C"/>
    <w:rsid w:val="11C97DCC"/>
    <w:rsid w:val="11CA7EDA"/>
    <w:rsid w:val="11CC6658"/>
    <w:rsid w:val="11D61CD6"/>
    <w:rsid w:val="11DA741A"/>
    <w:rsid w:val="11DAF9B1"/>
    <w:rsid w:val="11DD5148"/>
    <w:rsid w:val="11DDE41D"/>
    <w:rsid w:val="11DE1060"/>
    <w:rsid w:val="11DFCF2D"/>
    <w:rsid w:val="11E01CE7"/>
    <w:rsid w:val="11E41348"/>
    <w:rsid w:val="11E7B99A"/>
    <w:rsid w:val="11E7BD82"/>
    <w:rsid w:val="11E8A85F"/>
    <w:rsid w:val="11EA32E0"/>
    <w:rsid w:val="11ECCB31"/>
    <w:rsid w:val="11F10D77"/>
    <w:rsid w:val="11F5F9D1"/>
    <w:rsid w:val="11FA0185"/>
    <w:rsid w:val="11FC236A"/>
    <w:rsid w:val="11FCD5EF"/>
    <w:rsid w:val="11FD9485"/>
    <w:rsid w:val="11FDF3AE"/>
    <w:rsid w:val="11FF81E8"/>
    <w:rsid w:val="1201177D"/>
    <w:rsid w:val="120194E3"/>
    <w:rsid w:val="120513C4"/>
    <w:rsid w:val="120631EC"/>
    <w:rsid w:val="1206C971"/>
    <w:rsid w:val="120884D1"/>
    <w:rsid w:val="1209EBAA"/>
    <w:rsid w:val="120C5256"/>
    <w:rsid w:val="120E2031"/>
    <w:rsid w:val="12177704"/>
    <w:rsid w:val="121A08AB"/>
    <w:rsid w:val="1224DEFD"/>
    <w:rsid w:val="12278BE6"/>
    <w:rsid w:val="122CBF64"/>
    <w:rsid w:val="1235830D"/>
    <w:rsid w:val="1237571C"/>
    <w:rsid w:val="123A5274"/>
    <w:rsid w:val="123C289D"/>
    <w:rsid w:val="124C6120"/>
    <w:rsid w:val="1254C6FE"/>
    <w:rsid w:val="12569B62"/>
    <w:rsid w:val="125BBACA"/>
    <w:rsid w:val="125FF141"/>
    <w:rsid w:val="1263B986"/>
    <w:rsid w:val="1263F556"/>
    <w:rsid w:val="126A6439"/>
    <w:rsid w:val="12738772"/>
    <w:rsid w:val="12811CBF"/>
    <w:rsid w:val="12945DF0"/>
    <w:rsid w:val="1299CA2D"/>
    <w:rsid w:val="12A3BCCF"/>
    <w:rsid w:val="12A4BF01"/>
    <w:rsid w:val="12AFFF2A"/>
    <w:rsid w:val="12B52904"/>
    <w:rsid w:val="12B72F6A"/>
    <w:rsid w:val="12BF1024"/>
    <w:rsid w:val="12BF90FA"/>
    <w:rsid w:val="12C4E005"/>
    <w:rsid w:val="12C59ACB"/>
    <w:rsid w:val="12CCBE5C"/>
    <w:rsid w:val="12D58637"/>
    <w:rsid w:val="12D97715"/>
    <w:rsid w:val="12D9F873"/>
    <w:rsid w:val="12E6B445"/>
    <w:rsid w:val="12E83A9C"/>
    <w:rsid w:val="12E9A6A7"/>
    <w:rsid w:val="12EA9943"/>
    <w:rsid w:val="12EDFF01"/>
    <w:rsid w:val="12EE3471"/>
    <w:rsid w:val="12F0FC5C"/>
    <w:rsid w:val="12F14F0F"/>
    <w:rsid w:val="12F7F21B"/>
    <w:rsid w:val="12F9E745"/>
    <w:rsid w:val="12FCCB1B"/>
    <w:rsid w:val="1301DE8F"/>
    <w:rsid w:val="13021646"/>
    <w:rsid w:val="1305B841"/>
    <w:rsid w:val="13067D6C"/>
    <w:rsid w:val="130770D9"/>
    <w:rsid w:val="130C27C7"/>
    <w:rsid w:val="130D0BB6"/>
    <w:rsid w:val="13190675"/>
    <w:rsid w:val="131D2496"/>
    <w:rsid w:val="1322E684"/>
    <w:rsid w:val="13244D8E"/>
    <w:rsid w:val="132520A7"/>
    <w:rsid w:val="132A0719"/>
    <w:rsid w:val="132ADADD"/>
    <w:rsid w:val="132B72D4"/>
    <w:rsid w:val="132D126E"/>
    <w:rsid w:val="132DF0D1"/>
    <w:rsid w:val="133704BA"/>
    <w:rsid w:val="13399412"/>
    <w:rsid w:val="133A6BFD"/>
    <w:rsid w:val="133C337E"/>
    <w:rsid w:val="133C3DE9"/>
    <w:rsid w:val="133FF20B"/>
    <w:rsid w:val="13419E96"/>
    <w:rsid w:val="134494B4"/>
    <w:rsid w:val="134FD769"/>
    <w:rsid w:val="1353F82C"/>
    <w:rsid w:val="1357174D"/>
    <w:rsid w:val="1357C1F7"/>
    <w:rsid w:val="135802D0"/>
    <w:rsid w:val="13595334"/>
    <w:rsid w:val="13642C33"/>
    <w:rsid w:val="136522AA"/>
    <w:rsid w:val="13708EF5"/>
    <w:rsid w:val="1375EC47"/>
    <w:rsid w:val="13789C9A"/>
    <w:rsid w:val="137D3DBB"/>
    <w:rsid w:val="1380A9A7"/>
    <w:rsid w:val="1381447D"/>
    <w:rsid w:val="13859C12"/>
    <w:rsid w:val="138C480D"/>
    <w:rsid w:val="138CEA16"/>
    <w:rsid w:val="13912EC0"/>
    <w:rsid w:val="1393A197"/>
    <w:rsid w:val="13955D7E"/>
    <w:rsid w:val="139BE36D"/>
    <w:rsid w:val="139D1822"/>
    <w:rsid w:val="13A3CA05"/>
    <w:rsid w:val="13A6142A"/>
    <w:rsid w:val="13A6F02E"/>
    <w:rsid w:val="13A734C7"/>
    <w:rsid w:val="13A7F089"/>
    <w:rsid w:val="13AC3699"/>
    <w:rsid w:val="13AEFECF"/>
    <w:rsid w:val="13AF51E2"/>
    <w:rsid w:val="13B6BE57"/>
    <w:rsid w:val="13B7651D"/>
    <w:rsid w:val="13B91598"/>
    <w:rsid w:val="13BDB087"/>
    <w:rsid w:val="13BE2B0F"/>
    <w:rsid w:val="13BEF29C"/>
    <w:rsid w:val="13C11AF7"/>
    <w:rsid w:val="13C6DB5C"/>
    <w:rsid w:val="13C73A08"/>
    <w:rsid w:val="13CE5F40"/>
    <w:rsid w:val="13D12DD3"/>
    <w:rsid w:val="13D3F7C5"/>
    <w:rsid w:val="13D71882"/>
    <w:rsid w:val="13E07D2A"/>
    <w:rsid w:val="13E40CF0"/>
    <w:rsid w:val="13E56774"/>
    <w:rsid w:val="13E8AEF1"/>
    <w:rsid w:val="13E8F329"/>
    <w:rsid w:val="13E91DE3"/>
    <w:rsid w:val="13EB8582"/>
    <w:rsid w:val="13F3CA0A"/>
    <w:rsid w:val="13F4CA9A"/>
    <w:rsid w:val="13FA2BEE"/>
    <w:rsid w:val="13FAE0AD"/>
    <w:rsid w:val="13FCE09F"/>
    <w:rsid w:val="140288DF"/>
    <w:rsid w:val="14036E44"/>
    <w:rsid w:val="1411DA98"/>
    <w:rsid w:val="141222FF"/>
    <w:rsid w:val="141A92F2"/>
    <w:rsid w:val="141BE4C0"/>
    <w:rsid w:val="14204D0A"/>
    <w:rsid w:val="1420A96A"/>
    <w:rsid w:val="14211090"/>
    <w:rsid w:val="1421C352"/>
    <w:rsid w:val="14237BE8"/>
    <w:rsid w:val="14255452"/>
    <w:rsid w:val="143588E2"/>
    <w:rsid w:val="14365128"/>
    <w:rsid w:val="143A4385"/>
    <w:rsid w:val="143D1592"/>
    <w:rsid w:val="1446955D"/>
    <w:rsid w:val="144800C7"/>
    <w:rsid w:val="144A7859"/>
    <w:rsid w:val="144C31F3"/>
    <w:rsid w:val="145130BF"/>
    <w:rsid w:val="14555141"/>
    <w:rsid w:val="1459D8D0"/>
    <w:rsid w:val="146197CF"/>
    <w:rsid w:val="146C1554"/>
    <w:rsid w:val="146C291E"/>
    <w:rsid w:val="1471BB47"/>
    <w:rsid w:val="14733B47"/>
    <w:rsid w:val="14737D0F"/>
    <w:rsid w:val="1474A969"/>
    <w:rsid w:val="147CFD89"/>
    <w:rsid w:val="1482F7B7"/>
    <w:rsid w:val="148329C3"/>
    <w:rsid w:val="148D40D3"/>
    <w:rsid w:val="148E5865"/>
    <w:rsid w:val="14901909"/>
    <w:rsid w:val="14919B36"/>
    <w:rsid w:val="149ACAD5"/>
    <w:rsid w:val="149B8C7F"/>
    <w:rsid w:val="149E3DDD"/>
    <w:rsid w:val="14AFB34E"/>
    <w:rsid w:val="14B10251"/>
    <w:rsid w:val="14B15CC5"/>
    <w:rsid w:val="14B2C75C"/>
    <w:rsid w:val="14B2ECF0"/>
    <w:rsid w:val="14B7D17A"/>
    <w:rsid w:val="14BD2D2C"/>
    <w:rsid w:val="14BDBA2F"/>
    <w:rsid w:val="14BF910F"/>
    <w:rsid w:val="14C7707A"/>
    <w:rsid w:val="14D1B1EF"/>
    <w:rsid w:val="14D8D6E8"/>
    <w:rsid w:val="14D96AB4"/>
    <w:rsid w:val="14DAA72C"/>
    <w:rsid w:val="14DAAF46"/>
    <w:rsid w:val="14DC7DC4"/>
    <w:rsid w:val="14E48E9D"/>
    <w:rsid w:val="14E5A9D0"/>
    <w:rsid w:val="14E63256"/>
    <w:rsid w:val="14E90325"/>
    <w:rsid w:val="14EB787A"/>
    <w:rsid w:val="14F10F7D"/>
    <w:rsid w:val="14F402D5"/>
    <w:rsid w:val="14FAF6B5"/>
    <w:rsid w:val="14FDE46F"/>
    <w:rsid w:val="14FE96E5"/>
    <w:rsid w:val="150170F1"/>
    <w:rsid w:val="150287D7"/>
    <w:rsid w:val="1503A470"/>
    <w:rsid w:val="1503ECDC"/>
    <w:rsid w:val="15067537"/>
    <w:rsid w:val="150736C5"/>
    <w:rsid w:val="1507B7C1"/>
    <w:rsid w:val="150880C6"/>
    <w:rsid w:val="1510ECD1"/>
    <w:rsid w:val="151936CA"/>
    <w:rsid w:val="151A1D1D"/>
    <w:rsid w:val="151B53AA"/>
    <w:rsid w:val="151E49E7"/>
    <w:rsid w:val="151F1F06"/>
    <w:rsid w:val="1520DD43"/>
    <w:rsid w:val="1521C631"/>
    <w:rsid w:val="15223EF0"/>
    <w:rsid w:val="1523DA82"/>
    <w:rsid w:val="1525D69E"/>
    <w:rsid w:val="1526D327"/>
    <w:rsid w:val="152CECF0"/>
    <w:rsid w:val="15308155"/>
    <w:rsid w:val="1530BBFC"/>
    <w:rsid w:val="1531BA29"/>
    <w:rsid w:val="1532DAD9"/>
    <w:rsid w:val="1537D5D8"/>
    <w:rsid w:val="153D4035"/>
    <w:rsid w:val="15470003"/>
    <w:rsid w:val="15489030"/>
    <w:rsid w:val="154E1859"/>
    <w:rsid w:val="15547116"/>
    <w:rsid w:val="15559D78"/>
    <w:rsid w:val="15562869"/>
    <w:rsid w:val="1557C12D"/>
    <w:rsid w:val="1557F8F4"/>
    <w:rsid w:val="155EFF46"/>
    <w:rsid w:val="1564E430"/>
    <w:rsid w:val="1572D239"/>
    <w:rsid w:val="1574D7E9"/>
    <w:rsid w:val="157843C2"/>
    <w:rsid w:val="157AC2AE"/>
    <w:rsid w:val="157AF4AC"/>
    <w:rsid w:val="1581FEBA"/>
    <w:rsid w:val="1586E83B"/>
    <w:rsid w:val="158B3DAD"/>
    <w:rsid w:val="158F16A7"/>
    <w:rsid w:val="1596B05E"/>
    <w:rsid w:val="159AAF46"/>
    <w:rsid w:val="159B0C93"/>
    <w:rsid w:val="159E9016"/>
    <w:rsid w:val="15A22A5A"/>
    <w:rsid w:val="15A56C68"/>
    <w:rsid w:val="15AE20C2"/>
    <w:rsid w:val="15B3AE83"/>
    <w:rsid w:val="15B54D52"/>
    <w:rsid w:val="15BC660C"/>
    <w:rsid w:val="15BE5EAF"/>
    <w:rsid w:val="15C581B9"/>
    <w:rsid w:val="15C59C1A"/>
    <w:rsid w:val="15C86CFD"/>
    <w:rsid w:val="15CAD8D4"/>
    <w:rsid w:val="15D3C974"/>
    <w:rsid w:val="15E101BC"/>
    <w:rsid w:val="15E384AC"/>
    <w:rsid w:val="15E41126"/>
    <w:rsid w:val="15E706F2"/>
    <w:rsid w:val="15E78327"/>
    <w:rsid w:val="15EBEB25"/>
    <w:rsid w:val="15F68D42"/>
    <w:rsid w:val="15FB6EFA"/>
    <w:rsid w:val="15FFDE1C"/>
    <w:rsid w:val="160EA95A"/>
    <w:rsid w:val="161803CD"/>
    <w:rsid w:val="16190673"/>
    <w:rsid w:val="1619608A"/>
    <w:rsid w:val="161B00ED"/>
    <w:rsid w:val="161E9811"/>
    <w:rsid w:val="1621359E"/>
    <w:rsid w:val="1624CBC5"/>
    <w:rsid w:val="16268B5D"/>
    <w:rsid w:val="16278C0D"/>
    <w:rsid w:val="162791BD"/>
    <w:rsid w:val="1628F90F"/>
    <w:rsid w:val="162F7110"/>
    <w:rsid w:val="162FA23C"/>
    <w:rsid w:val="163C0D83"/>
    <w:rsid w:val="16412326"/>
    <w:rsid w:val="16478AD3"/>
    <w:rsid w:val="16479AE1"/>
    <w:rsid w:val="1649F164"/>
    <w:rsid w:val="164B242F"/>
    <w:rsid w:val="164C6296"/>
    <w:rsid w:val="164D62F0"/>
    <w:rsid w:val="1651E19A"/>
    <w:rsid w:val="1652930B"/>
    <w:rsid w:val="1654C140"/>
    <w:rsid w:val="166026F2"/>
    <w:rsid w:val="1664A2B3"/>
    <w:rsid w:val="1664B541"/>
    <w:rsid w:val="166B5513"/>
    <w:rsid w:val="166E61BA"/>
    <w:rsid w:val="1670C8DF"/>
    <w:rsid w:val="16715A08"/>
    <w:rsid w:val="16718C7B"/>
    <w:rsid w:val="1677EC9B"/>
    <w:rsid w:val="16794020"/>
    <w:rsid w:val="167DF060"/>
    <w:rsid w:val="167F2803"/>
    <w:rsid w:val="1680163E"/>
    <w:rsid w:val="1682D992"/>
    <w:rsid w:val="168C218D"/>
    <w:rsid w:val="168C7853"/>
    <w:rsid w:val="168CA278"/>
    <w:rsid w:val="1694744B"/>
    <w:rsid w:val="169579C9"/>
    <w:rsid w:val="16960760"/>
    <w:rsid w:val="1697F52C"/>
    <w:rsid w:val="169857CC"/>
    <w:rsid w:val="16A00B63"/>
    <w:rsid w:val="16AAD5AD"/>
    <w:rsid w:val="16B3ADDB"/>
    <w:rsid w:val="16B52714"/>
    <w:rsid w:val="16B530B1"/>
    <w:rsid w:val="16BC3BBF"/>
    <w:rsid w:val="16C4D92F"/>
    <w:rsid w:val="16C76B9F"/>
    <w:rsid w:val="16CE1F76"/>
    <w:rsid w:val="16CE69E4"/>
    <w:rsid w:val="16CF86DD"/>
    <w:rsid w:val="16DD65C4"/>
    <w:rsid w:val="16E17569"/>
    <w:rsid w:val="16ECC7EB"/>
    <w:rsid w:val="16EDF12A"/>
    <w:rsid w:val="16F15959"/>
    <w:rsid w:val="16F270A9"/>
    <w:rsid w:val="16F92B79"/>
    <w:rsid w:val="16FAA7B8"/>
    <w:rsid w:val="170929F5"/>
    <w:rsid w:val="170A2ADA"/>
    <w:rsid w:val="170BAFD0"/>
    <w:rsid w:val="170C9B8F"/>
    <w:rsid w:val="17110D36"/>
    <w:rsid w:val="171953B7"/>
    <w:rsid w:val="171A9021"/>
    <w:rsid w:val="171F2D29"/>
    <w:rsid w:val="17201B52"/>
    <w:rsid w:val="17270B7B"/>
    <w:rsid w:val="172D19E8"/>
    <w:rsid w:val="172E5AF3"/>
    <w:rsid w:val="17328B9C"/>
    <w:rsid w:val="1735B965"/>
    <w:rsid w:val="173804C2"/>
    <w:rsid w:val="173A6948"/>
    <w:rsid w:val="173CA38C"/>
    <w:rsid w:val="173CB761"/>
    <w:rsid w:val="173E0E8E"/>
    <w:rsid w:val="173E98B9"/>
    <w:rsid w:val="173EE72F"/>
    <w:rsid w:val="173FA876"/>
    <w:rsid w:val="1747114F"/>
    <w:rsid w:val="174965D5"/>
    <w:rsid w:val="174B5C9B"/>
    <w:rsid w:val="174BF885"/>
    <w:rsid w:val="174C23F8"/>
    <w:rsid w:val="174D5713"/>
    <w:rsid w:val="174E1241"/>
    <w:rsid w:val="174EBE9C"/>
    <w:rsid w:val="17521127"/>
    <w:rsid w:val="17572DA1"/>
    <w:rsid w:val="1758A4AE"/>
    <w:rsid w:val="1760995C"/>
    <w:rsid w:val="17625CDA"/>
    <w:rsid w:val="1762FCD5"/>
    <w:rsid w:val="17647944"/>
    <w:rsid w:val="1766C047"/>
    <w:rsid w:val="1767E219"/>
    <w:rsid w:val="176CC9E0"/>
    <w:rsid w:val="176E413D"/>
    <w:rsid w:val="176F3E06"/>
    <w:rsid w:val="177002B7"/>
    <w:rsid w:val="17720448"/>
    <w:rsid w:val="17735E97"/>
    <w:rsid w:val="177FF680"/>
    <w:rsid w:val="17833959"/>
    <w:rsid w:val="17898496"/>
    <w:rsid w:val="1792387A"/>
    <w:rsid w:val="17932224"/>
    <w:rsid w:val="1799155C"/>
    <w:rsid w:val="179A07A5"/>
    <w:rsid w:val="17A08D66"/>
    <w:rsid w:val="17A0B339"/>
    <w:rsid w:val="17A102EE"/>
    <w:rsid w:val="17A65C95"/>
    <w:rsid w:val="17A7A4C2"/>
    <w:rsid w:val="17AAC992"/>
    <w:rsid w:val="17B44D21"/>
    <w:rsid w:val="17B46871"/>
    <w:rsid w:val="17BB0309"/>
    <w:rsid w:val="17BC84D1"/>
    <w:rsid w:val="17C33596"/>
    <w:rsid w:val="17C44FF0"/>
    <w:rsid w:val="17C6BF45"/>
    <w:rsid w:val="17C8EC6C"/>
    <w:rsid w:val="17CAB34E"/>
    <w:rsid w:val="17CB23AF"/>
    <w:rsid w:val="17CCE12C"/>
    <w:rsid w:val="17CDBCF5"/>
    <w:rsid w:val="17D06065"/>
    <w:rsid w:val="17D0A693"/>
    <w:rsid w:val="17D5EB15"/>
    <w:rsid w:val="17D6E0B0"/>
    <w:rsid w:val="17D78348"/>
    <w:rsid w:val="17D7B0B9"/>
    <w:rsid w:val="17DE2008"/>
    <w:rsid w:val="17E017F2"/>
    <w:rsid w:val="17E055AF"/>
    <w:rsid w:val="17E111FE"/>
    <w:rsid w:val="17E278AD"/>
    <w:rsid w:val="17E4C9DE"/>
    <w:rsid w:val="17E621A7"/>
    <w:rsid w:val="17E84177"/>
    <w:rsid w:val="17E9B38C"/>
    <w:rsid w:val="17EC32A2"/>
    <w:rsid w:val="17EC5FCD"/>
    <w:rsid w:val="17F51A2E"/>
    <w:rsid w:val="17F78BF0"/>
    <w:rsid w:val="17F8EE21"/>
    <w:rsid w:val="17F90E1B"/>
    <w:rsid w:val="17FD0C55"/>
    <w:rsid w:val="180B6C7F"/>
    <w:rsid w:val="180C123A"/>
    <w:rsid w:val="180CE712"/>
    <w:rsid w:val="180F2402"/>
    <w:rsid w:val="18104705"/>
    <w:rsid w:val="18128A43"/>
    <w:rsid w:val="18129897"/>
    <w:rsid w:val="181712CC"/>
    <w:rsid w:val="181777C6"/>
    <w:rsid w:val="1819C393"/>
    <w:rsid w:val="181E6EF4"/>
    <w:rsid w:val="18241269"/>
    <w:rsid w:val="18245AF8"/>
    <w:rsid w:val="18248DD0"/>
    <w:rsid w:val="182C45FE"/>
    <w:rsid w:val="18345A22"/>
    <w:rsid w:val="18350FD1"/>
    <w:rsid w:val="18354344"/>
    <w:rsid w:val="183E2CE0"/>
    <w:rsid w:val="1849567F"/>
    <w:rsid w:val="184A611C"/>
    <w:rsid w:val="184B52A5"/>
    <w:rsid w:val="184C437C"/>
    <w:rsid w:val="184DA717"/>
    <w:rsid w:val="1852F4CB"/>
    <w:rsid w:val="18552E1A"/>
    <w:rsid w:val="18588D3D"/>
    <w:rsid w:val="185C94BD"/>
    <w:rsid w:val="18617CBB"/>
    <w:rsid w:val="18723358"/>
    <w:rsid w:val="1872541B"/>
    <w:rsid w:val="187432B9"/>
    <w:rsid w:val="187464B0"/>
    <w:rsid w:val="187C5A18"/>
    <w:rsid w:val="18832EB6"/>
    <w:rsid w:val="1887C4E1"/>
    <w:rsid w:val="188A1A63"/>
    <w:rsid w:val="188DBFA6"/>
    <w:rsid w:val="1893779E"/>
    <w:rsid w:val="189B5489"/>
    <w:rsid w:val="189BE1F6"/>
    <w:rsid w:val="189C2B20"/>
    <w:rsid w:val="18A277E2"/>
    <w:rsid w:val="18A52C77"/>
    <w:rsid w:val="18AC6957"/>
    <w:rsid w:val="18ACAF90"/>
    <w:rsid w:val="18AFB787"/>
    <w:rsid w:val="18B75D6C"/>
    <w:rsid w:val="18BD3A55"/>
    <w:rsid w:val="18C0B60F"/>
    <w:rsid w:val="18C8B467"/>
    <w:rsid w:val="18CD152E"/>
    <w:rsid w:val="18CF6BA4"/>
    <w:rsid w:val="18D59DF1"/>
    <w:rsid w:val="18D82A33"/>
    <w:rsid w:val="18D848EA"/>
    <w:rsid w:val="18D9F65E"/>
    <w:rsid w:val="18DD6DAC"/>
    <w:rsid w:val="18E2C5C8"/>
    <w:rsid w:val="18E4473B"/>
    <w:rsid w:val="18E5323F"/>
    <w:rsid w:val="18E88E6A"/>
    <w:rsid w:val="18F0CFF6"/>
    <w:rsid w:val="18F2E2E7"/>
    <w:rsid w:val="18F6DE22"/>
    <w:rsid w:val="18FE79C0"/>
    <w:rsid w:val="1901D5E5"/>
    <w:rsid w:val="1902D943"/>
    <w:rsid w:val="19044E03"/>
    <w:rsid w:val="19054DDD"/>
    <w:rsid w:val="1906BAD7"/>
    <w:rsid w:val="190A2274"/>
    <w:rsid w:val="190C322B"/>
    <w:rsid w:val="190CD1B2"/>
    <w:rsid w:val="190F3DFA"/>
    <w:rsid w:val="19116A7E"/>
    <w:rsid w:val="1912C274"/>
    <w:rsid w:val="1915D977"/>
    <w:rsid w:val="1916B0A4"/>
    <w:rsid w:val="1918A55C"/>
    <w:rsid w:val="19192723"/>
    <w:rsid w:val="191E8C0D"/>
    <w:rsid w:val="191ED0FB"/>
    <w:rsid w:val="1923981E"/>
    <w:rsid w:val="19244234"/>
    <w:rsid w:val="1924812A"/>
    <w:rsid w:val="1927CAE7"/>
    <w:rsid w:val="1929C471"/>
    <w:rsid w:val="1935F8F3"/>
    <w:rsid w:val="1936A3FD"/>
    <w:rsid w:val="193770C3"/>
    <w:rsid w:val="193A44B8"/>
    <w:rsid w:val="1946B0CA"/>
    <w:rsid w:val="19498E40"/>
    <w:rsid w:val="194D0957"/>
    <w:rsid w:val="19525114"/>
    <w:rsid w:val="1957579A"/>
    <w:rsid w:val="1964E307"/>
    <w:rsid w:val="1969B9A5"/>
    <w:rsid w:val="1969DE40"/>
    <w:rsid w:val="196D3A71"/>
    <w:rsid w:val="19716AB5"/>
    <w:rsid w:val="19720B4C"/>
    <w:rsid w:val="19773AF3"/>
    <w:rsid w:val="1977BE04"/>
    <w:rsid w:val="197829F0"/>
    <w:rsid w:val="197832CD"/>
    <w:rsid w:val="197A090B"/>
    <w:rsid w:val="197B3367"/>
    <w:rsid w:val="197D00B9"/>
    <w:rsid w:val="197F5D47"/>
    <w:rsid w:val="1981B6B5"/>
    <w:rsid w:val="19891E3C"/>
    <w:rsid w:val="198DD312"/>
    <w:rsid w:val="198E7564"/>
    <w:rsid w:val="19935125"/>
    <w:rsid w:val="19957B4B"/>
    <w:rsid w:val="1996E02C"/>
    <w:rsid w:val="19990D3E"/>
    <w:rsid w:val="199BDD6D"/>
    <w:rsid w:val="19A0590E"/>
    <w:rsid w:val="19A0DBE9"/>
    <w:rsid w:val="19AC4C71"/>
    <w:rsid w:val="19AD9102"/>
    <w:rsid w:val="19AE05FF"/>
    <w:rsid w:val="19AEC53F"/>
    <w:rsid w:val="19AFAC4E"/>
    <w:rsid w:val="19B2DBB3"/>
    <w:rsid w:val="19B4CB06"/>
    <w:rsid w:val="19B59685"/>
    <w:rsid w:val="19BB0F69"/>
    <w:rsid w:val="19C03518"/>
    <w:rsid w:val="19C3244F"/>
    <w:rsid w:val="19C8A482"/>
    <w:rsid w:val="19CDE0D8"/>
    <w:rsid w:val="19D0E67C"/>
    <w:rsid w:val="19D5901C"/>
    <w:rsid w:val="19D81B32"/>
    <w:rsid w:val="19D95418"/>
    <w:rsid w:val="19DA51BD"/>
    <w:rsid w:val="19E0CFAC"/>
    <w:rsid w:val="19E3B331"/>
    <w:rsid w:val="19E4CC64"/>
    <w:rsid w:val="19E5DEF1"/>
    <w:rsid w:val="19E8DAA5"/>
    <w:rsid w:val="19ED8DA8"/>
    <w:rsid w:val="19EE1D98"/>
    <w:rsid w:val="19F4AC6A"/>
    <w:rsid w:val="19F60BED"/>
    <w:rsid w:val="1A00D6AA"/>
    <w:rsid w:val="1A05C0C7"/>
    <w:rsid w:val="1A0C5EAA"/>
    <w:rsid w:val="1A0D865F"/>
    <w:rsid w:val="1A0F8862"/>
    <w:rsid w:val="1A122F39"/>
    <w:rsid w:val="1A18DC8C"/>
    <w:rsid w:val="1A1CFCAF"/>
    <w:rsid w:val="1A1D83D0"/>
    <w:rsid w:val="1A255A1E"/>
    <w:rsid w:val="1A28A489"/>
    <w:rsid w:val="1A291503"/>
    <w:rsid w:val="1A2E168D"/>
    <w:rsid w:val="1A2F4165"/>
    <w:rsid w:val="1A2FF142"/>
    <w:rsid w:val="1A33B36A"/>
    <w:rsid w:val="1A38F5C0"/>
    <w:rsid w:val="1A3AA660"/>
    <w:rsid w:val="1A42EA2A"/>
    <w:rsid w:val="1A43B6A7"/>
    <w:rsid w:val="1A445B97"/>
    <w:rsid w:val="1A446DEA"/>
    <w:rsid w:val="1A486CBF"/>
    <w:rsid w:val="1A4AFD21"/>
    <w:rsid w:val="1A4CF3C5"/>
    <w:rsid w:val="1A4D5D74"/>
    <w:rsid w:val="1A4EFD47"/>
    <w:rsid w:val="1A50F492"/>
    <w:rsid w:val="1A5288F2"/>
    <w:rsid w:val="1A55760A"/>
    <w:rsid w:val="1A563E20"/>
    <w:rsid w:val="1A571C73"/>
    <w:rsid w:val="1A5A686E"/>
    <w:rsid w:val="1A5C0842"/>
    <w:rsid w:val="1A61D549"/>
    <w:rsid w:val="1A64D9F6"/>
    <w:rsid w:val="1A66E78E"/>
    <w:rsid w:val="1A69240F"/>
    <w:rsid w:val="1A6D945D"/>
    <w:rsid w:val="1A6F74A0"/>
    <w:rsid w:val="1A703EFC"/>
    <w:rsid w:val="1A718668"/>
    <w:rsid w:val="1A750AC6"/>
    <w:rsid w:val="1A7CA72D"/>
    <w:rsid w:val="1A7DA1B9"/>
    <w:rsid w:val="1A7E962B"/>
    <w:rsid w:val="1A87CFFF"/>
    <w:rsid w:val="1A894F2C"/>
    <w:rsid w:val="1A8B7CE6"/>
    <w:rsid w:val="1A8CB1B3"/>
    <w:rsid w:val="1A916793"/>
    <w:rsid w:val="1A91AE66"/>
    <w:rsid w:val="1A9491BE"/>
    <w:rsid w:val="1A977B68"/>
    <w:rsid w:val="1A99D73F"/>
    <w:rsid w:val="1A9ABF9A"/>
    <w:rsid w:val="1A9DAB46"/>
    <w:rsid w:val="1AA3CE47"/>
    <w:rsid w:val="1AA5C497"/>
    <w:rsid w:val="1AA73DE4"/>
    <w:rsid w:val="1AAC1BD7"/>
    <w:rsid w:val="1AAC55D5"/>
    <w:rsid w:val="1AB0631E"/>
    <w:rsid w:val="1AB330F8"/>
    <w:rsid w:val="1AB41406"/>
    <w:rsid w:val="1AB9D2E8"/>
    <w:rsid w:val="1ABE0815"/>
    <w:rsid w:val="1AC037FE"/>
    <w:rsid w:val="1AC3EC7F"/>
    <w:rsid w:val="1AC465F6"/>
    <w:rsid w:val="1AC5424E"/>
    <w:rsid w:val="1ACD7F29"/>
    <w:rsid w:val="1AD39E53"/>
    <w:rsid w:val="1AD3E7D7"/>
    <w:rsid w:val="1AD4968E"/>
    <w:rsid w:val="1AD6E60F"/>
    <w:rsid w:val="1ADABEB5"/>
    <w:rsid w:val="1ADC6637"/>
    <w:rsid w:val="1ADD74EF"/>
    <w:rsid w:val="1AE1E63F"/>
    <w:rsid w:val="1AE33A46"/>
    <w:rsid w:val="1AE4DAA8"/>
    <w:rsid w:val="1AE644BD"/>
    <w:rsid w:val="1AE93874"/>
    <w:rsid w:val="1AEAA09B"/>
    <w:rsid w:val="1AEBD769"/>
    <w:rsid w:val="1AEF686C"/>
    <w:rsid w:val="1AF6AD5D"/>
    <w:rsid w:val="1AF73C34"/>
    <w:rsid w:val="1AF91EEB"/>
    <w:rsid w:val="1B01C0B7"/>
    <w:rsid w:val="1B03FCDE"/>
    <w:rsid w:val="1B040529"/>
    <w:rsid w:val="1B085BF7"/>
    <w:rsid w:val="1B09A886"/>
    <w:rsid w:val="1B0BCFCC"/>
    <w:rsid w:val="1B0DA6C8"/>
    <w:rsid w:val="1B142D5B"/>
    <w:rsid w:val="1B16F54A"/>
    <w:rsid w:val="1B1A32E8"/>
    <w:rsid w:val="1B1BA390"/>
    <w:rsid w:val="1B1D5070"/>
    <w:rsid w:val="1B1F46F7"/>
    <w:rsid w:val="1B21271B"/>
    <w:rsid w:val="1B23F556"/>
    <w:rsid w:val="1B24F71D"/>
    <w:rsid w:val="1B347FB6"/>
    <w:rsid w:val="1B376B28"/>
    <w:rsid w:val="1B39AEDB"/>
    <w:rsid w:val="1B3A0045"/>
    <w:rsid w:val="1B3FB01D"/>
    <w:rsid w:val="1B4C3CAE"/>
    <w:rsid w:val="1B5103B7"/>
    <w:rsid w:val="1B532FB8"/>
    <w:rsid w:val="1B56FAC3"/>
    <w:rsid w:val="1B6120D4"/>
    <w:rsid w:val="1B622284"/>
    <w:rsid w:val="1B645666"/>
    <w:rsid w:val="1B6AAA3A"/>
    <w:rsid w:val="1B6AAB1E"/>
    <w:rsid w:val="1B705FA2"/>
    <w:rsid w:val="1B726F35"/>
    <w:rsid w:val="1B729A05"/>
    <w:rsid w:val="1B7311D3"/>
    <w:rsid w:val="1B734455"/>
    <w:rsid w:val="1B782FF8"/>
    <w:rsid w:val="1B7B4FFB"/>
    <w:rsid w:val="1B7C94DC"/>
    <w:rsid w:val="1B84A23C"/>
    <w:rsid w:val="1B895B23"/>
    <w:rsid w:val="1B8DC293"/>
    <w:rsid w:val="1B929C8A"/>
    <w:rsid w:val="1B96C130"/>
    <w:rsid w:val="1B9C5E13"/>
    <w:rsid w:val="1B9D4701"/>
    <w:rsid w:val="1BA755A5"/>
    <w:rsid w:val="1BA94E9E"/>
    <w:rsid w:val="1BABAD6D"/>
    <w:rsid w:val="1BACB530"/>
    <w:rsid w:val="1BB00618"/>
    <w:rsid w:val="1BB26ECE"/>
    <w:rsid w:val="1BB3D43B"/>
    <w:rsid w:val="1BB4024B"/>
    <w:rsid w:val="1BB6388D"/>
    <w:rsid w:val="1BB82961"/>
    <w:rsid w:val="1BBB1C6D"/>
    <w:rsid w:val="1BC3341C"/>
    <w:rsid w:val="1BC6A447"/>
    <w:rsid w:val="1BC91C1C"/>
    <w:rsid w:val="1BCBC34C"/>
    <w:rsid w:val="1BCD4803"/>
    <w:rsid w:val="1BCE09E6"/>
    <w:rsid w:val="1BD7659A"/>
    <w:rsid w:val="1BD9873B"/>
    <w:rsid w:val="1BDA6208"/>
    <w:rsid w:val="1BDA7845"/>
    <w:rsid w:val="1BDAE4DF"/>
    <w:rsid w:val="1BDF7D7E"/>
    <w:rsid w:val="1BE32C96"/>
    <w:rsid w:val="1BE857F7"/>
    <w:rsid w:val="1BEC91D0"/>
    <w:rsid w:val="1BEC95BA"/>
    <w:rsid w:val="1BF2681B"/>
    <w:rsid w:val="1BF3D39E"/>
    <w:rsid w:val="1BF58954"/>
    <w:rsid w:val="1BF5EFC0"/>
    <w:rsid w:val="1BF7361A"/>
    <w:rsid w:val="1BFDB873"/>
    <w:rsid w:val="1C0166B9"/>
    <w:rsid w:val="1C01A5E5"/>
    <w:rsid w:val="1C01BFBD"/>
    <w:rsid w:val="1C0A702C"/>
    <w:rsid w:val="1C10CA04"/>
    <w:rsid w:val="1C14854E"/>
    <w:rsid w:val="1C14F08F"/>
    <w:rsid w:val="1C1AE958"/>
    <w:rsid w:val="1C259768"/>
    <w:rsid w:val="1C2938D2"/>
    <w:rsid w:val="1C3729F0"/>
    <w:rsid w:val="1C399ABD"/>
    <w:rsid w:val="1C3D85D1"/>
    <w:rsid w:val="1C3E7218"/>
    <w:rsid w:val="1C421CF4"/>
    <w:rsid w:val="1C43CB90"/>
    <w:rsid w:val="1C43EF3E"/>
    <w:rsid w:val="1C4A01E1"/>
    <w:rsid w:val="1C4BA053"/>
    <w:rsid w:val="1C4CC953"/>
    <w:rsid w:val="1C4FDE99"/>
    <w:rsid w:val="1C52E8F4"/>
    <w:rsid w:val="1C55D1C4"/>
    <w:rsid w:val="1C56B695"/>
    <w:rsid w:val="1C592AE2"/>
    <w:rsid w:val="1C5AE022"/>
    <w:rsid w:val="1C5E66DC"/>
    <w:rsid w:val="1C6B09D9"/>
    <w:rsid w:val="1C6C637D"/>
    <w:rsid w:val="1C6F6310"/>
    <w:rsid w:val="1C7448AB"/>
    <w:rsid w:val="1C7687CA"/>
    <w:rsid w:val="1C7DDCCC"/>
    <w:rsid w:val="1C822B31"/>
    <w:rsid w:val="1C84D9FC"/>
    <w:rsid w:val="1C8A5DE3"/>
    <w:rsid w:val="1C8B505F"/>
    <w:rsid w:val="1C90042C"/>
    <w:rsid w:val="1C907604"/>
    <w:rsid w:val="1C917F5C"/>
    <w:rsid w:val="1C938BB0"/>
    <w:rsid w:val="1C948F25"/>
    <w:rsid w:val="1C94A49B"/>
    <w:rsid w:val="1C9A1FBA"/>
    <w:rsid w:val="1CA06EA9"/>
    <w:rsid w:val="1CA38F0B"/>
    <w:rsid w:val="1CA55EA2"/>
    <w:rsid w:val="1CACF609"/>
    <w:rsid w:val="1CB42760"/>
    <w:rsid w:val="1CB543D4"/>
    <w:rsid w:val="1CBD227E"/>
    <w:rsid w:val="1CBE6A4F"/>
    <w:rsid w:val="1CC1B837"/>
    <w:rsid w:val="1CCFBD6F"/>
    <w:rsid w:val="1CD1CDB4"/>
    <w:rsid w:val="1CD1E54D"/>
    <w:rsid w:val="1CD36EDA"/>
    <w:rsid w:val="1CD38F26"/>
    <w:rsid w:val="1CD3A17F"/>
    <w:rsid w:val="1CD7F48D"/>
    <w:rsid w:val="1CDA2EBC"/>
    <w:rsid w:val="1CDAC3D5"/>
    <w:rsid w:val="1CDAC97F"/>
    <w:rsid w:val="1CE231DE"/>
    <w:rsid w:val="1CE79D24"/>
    <w:rsid w:val="1CED9642"/>
    <w:rsid w:val="1CEE7BA7"/>
    <w:rsid w:val="1CF44D08"/>
    <w:rsid w:val="1CF7DFFE"/>
    <w:rsid w:val="1CFAB10B"/>
    <w:rsid w:val="1CFBB74E"/>
    <w:rsid w:val="1D03AE6F"/>
    <w:rsid w:val="1D060105"/>
    <w:rsid w:val="1D065805"/>
    <w:rsid w:val="1D0815E2"/>
    <w:rsid w:val="1D0AE97F"/>
    <w:rsid w:val="1D0D372D"/>
    <w:rsid w:val="1D0E3968"/>
    <w:rsid w:val="1D1101D5"/>
    <w:rsid w:val="1D13EEA7"/>
    <w:rsid w:val="1D1A3F32"/>
    <w:rsid w:val="1D1FCD4D"/>
    <w:rsid w:val="1D221174"/>
    <w:rsid w:val="1D24F73A"/>
    <w:rsid w:val="1D259F54"/>
    <w:rsid w:val="1D27B18E"/>
    <w:rsid w:val="1D29C769"/>
    <w:rsid w:val="1D2FB912"/>
    <w:rsid w:val="1D390F6B"/>
    <w:rsid w:val="1D39506B"/>
    <w:rsid w:val="1D3C2369"/>
    <w:rsid w:val="1D435F0E"/>
    <w:rsid w:val="1D488667"/>
    <w:rsid w:val="1D494ED4"/>
    <w:rsid w:val="1D4EBBD0"/>
    <w:rsid w:val="1D4F62CF"/>
    <w:rsid w:val="1D523BB2"/>
    <w:rsid w:val="1D54D2E2"/>
    <w:rsid w:val="1D55389D"/>
    <w:rsid w:val="1D5EFFCA"/>
    <w:rsid w:val="1D600191"/>
    <w:rsid w:val="1D643E8A"/>
    <w:rsid w:val="1D65F40D"/>
    <w:rsid w:val="1D6A093C"/>
    <w:rsid w:val="1D75CC0D"/>
    <w:rsid w:val="1D75CD61"/>
    <w:rsid w:val="1D77B796"/>
    <w:rsid w:val="1D7BF6DF"/>
    <w:rsid w:val="1D8080C4"/>
    <w:rsid w:val="1D816429"/>
    <w:rsid w:val="1D81B478"/>
    <w:rsid w:val="1D834368"/>
    <w:rsid w:val="1D84D386"/>
    <w:rsid w:val="1D89F1E2"/>
    <w:rsid w:val="1D8C6F04"/>
    <w:rsid w:val="1D9317A0"/>
    <w:rsid w:val="1D935282"/>
    <w:rsid w:val="1D971D94"/>
    <w:rsid w:val="1D976873"/>
    <w:rsid w:val="1D9993D8"/>
    <w:rsid w:val="1DA0FF1D"/>
    <w:rsid w:val="1DA1558F"/>
    <w:rsid w:val="1DA44C66"/>
    <w:rsid w:val="1DA730D8"/>
    <w:rsid w:val="1DA7E619"/>
    <w:rsid w:val="1DA88C04"/>
    <w:rsid w:val="1DA88DF8"/>
    <w:rsid w:val="1DACD66E"/>
    <w:rsid w:val="1DB4F367"/>
    <w:rsid w:val="1DB88014"/>
    <w:rsid w:val="1DB903DA"/>
    <w:rsid w:val="1DBAA2FC"/>
    <w:rsid w:val="1DBC8C19"/>
    <w:rsid w:val="1DBD64BF"/>
    <w:rsid w:val="1DBFA268"/>
    <w:rsid w:val="1DC3A030"/>
    <w:rsid w:val="1DC7A7CF"/>
    <w:rsid w:val="1DC8D716"/>
    <w:rsid w:val="1DCBBFF4"/>
    <w:rsid w:val="1DCD470D"/>
    <w:rsid w:val="1DDAC7FE"/>
    <w:rsid w:val="1DDFBD87"/>
    <w:rsid w:val="1DE852DC"/>
    <w:rsid w:val="1DEDA477"/>
    <w:rsid w:val="1DEF02A6"/>
    <w:rsid w:val="1DEF849D"/>
    <w:rsid w:val="1DEFCE71"/>
    <w:rsid w:val="1DF24B25"/>
    <w:rsid w:val="1DF26B1B"/>
    <w:rsid w:val="1DF3E31A"/>
    <w:rsid w:val="1DFA4409"/>
    <w:rsid w:val="1E0199A6"/>
    <w:rsid w:val="1E03FB2F"/>
    <w:rsid w:val="1E04F328"/>
    <w:rsid w:val="1E072882"/>
    <w:rsid w:val="1E0A4DAB"/>
    <w:rsid w:val="1E0DFA77"/>
    <w:rsid w:val="1E0DFD54"/>
    <w:rsid w:val="1E0E9F93"/>
    <w:rsid w:val="1E15361C"/>
    <w:rsid w:val="1E18E39E"/>
    <w:rsid w:val="1E1F5341"/>
    <w:rsid w:val="1E2783F2"/>
    <w:rsid w:val="1E2B45F3"/>
    <w:rsid w:val="1E31AC26"/>
    <w:rsid w:val="1E39CEED"/>
    <w:rsid w:val="1E3A149C"/>
    <w:rsid w:val="1E3DC3AB"/>
    <w:rsid w:val="1E466EDF"/>
    <w:rsid w:val="1E479497"/>
    <w:rsid w:val="1E47A7D4"/>
    <w:rsid w:val="1E4820C6"/>
    <w:rsid w:val="1E4A2B78"/>
    <w:rsid w:val="1E4F603B"/>
    <w:rsid w:val="1E50C623"/>
    <w:rsid w:val="1E52F6C6"/>
    <w:rsid w:val="1E54148F"/>
    <w:rsid w:val="1E5449C4"/>
    <w:rsid w:val="1E570EF5"/>
    <w:rsid w:val="1E58DF5D"/>
    <w:rsid w:val="1E5ABB67"/>
    <w:rsid w:val="1E5F5530"/>
    <w:rsid w:val="1E6198A4"/>
    <w:rsid w:val="1E632D09"/>
    <w:rsid w:val="1E6490C5"/>
    <w:rsid w:val="1E673531"/>
    <w:rsid w:val="1E677C10"/>
    <w:rsid w:val="1E67AC93"/>
    <w:rsid w:val="1E692B81"/>
    <w:rsid w:val="1E6DF3BC"/>
    <w:rsid w:val="1E6E033D"/>
    <w:rsid w:val="1E7098ED"/>
    <w:rsid w:val="1E7261E1"/>
    <w:rsid w:val="1E778708"/>
    <w:rsid w:val="1E8190C3"/>
    <w:rsid w:val="1E83C422"/>
    <w:rsid w:val="1E83D534"/>
    <w:rsid w:val="1E8C1CFC"/>
    <w:rsid w:val="1E8C714B"/>
    <w:rsid w:val="1E92FEB1"/>
    <w:rsid w:val="1E9BB68B"/>
    <w:rsid w:val="1EA0988F"/>
    <w:rsid w:val="1EA3DA71"/>
    <w:rsid w:val="1EA99FE6"/>
    <w:rsid w:val="1EAD4082"/>
    <w:rsid w:val="1EADD4AC"/>
    <w:rsid w:val="1EAEA3D6"/>
    <w:rsid w:val="1EB4AD66"/>
    <w:rsid w:val="1EB50C48"/>
    <w:rsid w:val="1EBB014C"/>
    <w:rsid w:val="1EBB5587"/>
    <w:rsid w:val="1EBE2A4D"/>
    <w:rsid w:val="1EC2F19F"/>
    <w:rsid w:val="1EC5C4FE"/>
    <w:rsid w:val="1EC971C8"/>
    <w:rsid w:val="1ECA62E8"/>
    <w:rsid w:val="1ECDFF12"/>
    <w:rsid w:val="1ECF7D51"/>
    <w:rsid w:val="1ED13231"/>
    <w:rsid w:val="1ED68444"/>
    <w:rsid w:val="1EDB0F03"/>
    <w:rsid w:val="1EE062D6"/>
    <w:rsid w:val="1EE732E7"/>
    <w:rsid w:val="1EE8D5D9"/>
    <w:rsid w:val="1EE9FB4B"/>
    <w:rsid w:val="1EEC31C6"/>
    <w:rsid w:val="1EF29509"/>
    <w:rsid w:val="1EF4A75F"/>
    <w:rsid w:val="1EF6E644"/>
    <w:rsid w:val="1EF94A90"/>
    <w:rsid w:val="1EFC9732"/>
    <w:rsid w:val="1F051EF1"/>
    <w:rsid w:val="1F05E53C"/>
    <w:rsid w:val="1F06BA8D"/>
    <w:rsid w:val="1F07FD86"/>
    <w:rsid w:val="1F08B089"/>
    <w:rsid w:val="1F0C17B4"/>
    <w:rsid w:val="1F0C529D"/>
    <w:rsid w:val="1F10AEDC"/>
    <w:rsid w:val="1F12187B"/>
    <w:rsid w:val="1F1226CC"/>
    <w:rsid w:val="1F1361E9"/>
    <w:rsid w:val="1F17B0E0"/>
    <w:rsid w:val="1F1E325E"/>
    <w:rsid w:val="1F214D38"/>
    <w:rsid w:val="1F24D656"/>
    <w:rsid w:val="1F292683"/>
    <w:rsid w:val="1F29F8DC"/>
    <w:rsid w:val="1F2DDA54"/>
    <w:rsid w:val="1F31BAA2"/>
    <w:rsid w:val="1F346F93"/>
    <w:rsid w:val="1F36E575"/>
    <w:rsid w:val="1F37949E"/>
    <w:rsid w:val="1F3FE5B5"/>
    <w:rsid w:val="1F413145"/>
    <w:rsid w:val="1F42BE0B"/>
    <w:rsid w:val="1F43AC93"/>
    <w:rsid w:val="1F461A10"/>
    <w:rsid w:val="1F4AE85D"/>
    <w:rsid w:val="1F4DCE3A"/>
    <w:rsid w:val="1F4FF9C2"/>
    <w:rsid w:val="1F50ED8E"/>
    <w:rsid w:val="1F527572"/>
    <w:rsid w:val="1F531B43"/>
    <w:rsid w:val="1F5D791A"/>
    <w:rsid w:val="1F5FC8E2"/>
    <w:rsid w:val="1F67BA08"/>
    <w:rsid w:val="1F6A376B"/>
    <w:rsid w:val="1F71C6C9"/>
    <w:rsid w:val="1F737E32"/>
    <w:rsid w:val="1F75FE56"/>
    <w:rsid w:val="1F7AD05B"/>
    <w:rsid w:val="1F7BF05A"/>
    <w:rsid w:val="1F7C929D"/>
    <w:rsid w:val="1F7D4A06"/>
    <w:rsid w:val="1F8D49DA"/>
    <w:rsid w:val="1F8F5A02"/>
    <w:rsid w:val="1F908AF9"/>
    <w:rsid w:val="1F9153AD"/>
    <w:rsid w:val="1F926BA2"/>
    <w:rsid w:val="1F92B6F4"/>
    <w:rsid w:val="1F935125"/>
    <w:rsid w:val="1F952322"/>
    <w:rsid w:val="1F95BA64"/>
    <w:rsid w:val="1F963E57"/>
    <w:rsid w:val="1F96D126"/>
    <w:rsid w:val="1F98EF1E"/>
    <w:rsid w:val="1FA5A1CF"/>
    <w:rsid w:val="1FA5FF38"/>
    <w:rsid w:val="1FA84B6D"/>
    <w:rsid w:val="1FABE95C"/>
    <w:rsid w:val="1FAD06C6"/>
    <w:rsid w:val="1FADD275"/>
    <w:rsid w:val="1FAE1B62"/>
    <w:rsid w:val="1FB17A62"/>
    <w:rsid w:val="1FB18D0D"/>
    <w:rsid w:val="1FB7F83A"/>
    <w:rsid w:val="1FBA8965"/>
    <w:rsid w:val="1FBBBA01"/>
    <w:rsid w:val="1FBBBCAA"/>
    <w:rsid w:val="1FBF12E9"/>
    <w:rsid w:val="1FBF556A"/>
    <w:rsid w:val="1FC5B3B0"/>
    <w:rsid w:val="1FCA3F7E"/>
    <w:rsid w:val="1FCA7E0C"/>
    <w:rsid w:val="1FCB5950"/>
    <w:rsid w:val="1FCC886B"/>
    <w:rsid w:val="1FCDEBBE"/>
    <w:rsid w:val="1FCE241D"/>
    <w:rsid w:val="1FD36DB7"/>
    <w:rsid w:val="1FD3EA8D"/>
    <w:rsid w:val="1FD66D88"/>
    <w:rsid w:val="1FD90109"/>
    <w:rsid w:val="1FDA6B32"/>
    <w:rsid w:val="1FE8EEC4"/>
    <w:rsid w:val="1FEC9EC1"/>
    <w:rsid w:val="1FF67142"/>
    <w:rsid w:val="1FF6BBAB"/>
    <w:rsid w:val="1FF984A9"/>
    <w:rsid w:val="1FFFD19D"/>
    <w:rsid w:val="2000DDAA"/>
    <w:rsid w:val="20047E47"/>
    <w:rsid w:val="20058411"/>
    <w:rsid w:val="2006E148"/>
    <w:rsid w:val="2007B68F"/>
    <w:rsid w:val="20156374"/>
    <w:rsid w:val="2015C663"/>
    <w:rsid w:val="20185FA2"/>
    <w:rsid w:val="20195E7C"/>
    <w:rsid w:val="201A600E"/>
    <w:rsid w:val="201B8665"/>
    <w:rsid w:val="201BC441"/>
    <w:rsid w:val="201D491A"/>
    <w:rsid w:val="201F1922"/>
    <w:rsid w:val="2020E4B5"/>
    <w:rsid w:val="2023AE75"/>
    <w:rsid w:val="20258DF8"/>
    <w:rsid w:val="2027C455"/>
    <w:rsid w:val="202D0782"/>
    <w:rsid w:val="2030C0F1"/>
    <w:rsid w:val="20320B4C"/>
    <w:rsid w:val="2034B2DD"/>
    <w:rsid w:val="203508C0"/>
    <w:rsid w:val="2037048E"/>
    <w:rsid w:val="203AF18C"/>
    <w:rsid w:val="203B2D12"/>
    <w:rsid w:val="204432FE"/>
    <w:rsid w:val="20446518"/>
    <w:rsid w:val="20491AC3"/>
    <w:rsid w:val="20492BC7"/>
    <w:rsid w:val="204A78AD"/>
    <w:rsid w:val="2050C3E8"/>
    <w:rsid w:val="2050FB1A"/>
    <w:rsid w:val="20549052"/>
    <w:rsid w:val="205F2D05"/>
    <w:rsid w:val="2069A421"/>
    <w:rsid w:val="206AD864"/>
    <w:rsid w:val="206CD541"/>
    <w:rsid w:val="2071813D"/>
    <w:rsid w:val="2075AE4E"/>
    <w:rsid w:val="207C1431"/>
    <w:rsid w:val="207C7228"/>
    <w:rsid w:val="207D2B1F"/>
    <w:rsid w:val="207ED0C4"/>
    <w:rsid w:val="207FBDDA"/>
    <w:rsid w:val="20829FBB"/>
    <w:rsid w:val="208593BD"/>
    <w:rsid w:val="20878E94"/>
    <w:rsid w:val="208986C6"/>
    <w:rsid w:val="208E1E8E"/>
    <w:rsid w:val="209816B5"/>
    <w:rsid w:val="20A46D64"/>
    <w:rsid w:val="20A5C0ED"/>
    <w:rsid w:val="20ABAC8D"/>
    <w:rsid w:val="20AEA9AD"/>
    <w:rsid w:val="20B32857"/>
    <w:rsid w:val="20B3F27D"/>
    <w:rsid w:val="20B57201"/>
    <w:rsid w:val="20B8AE60"/>
    <w:rsid w:val="20BEDAE5"/>
    <w:rsid w:val="20C2C551"/>
    <w:rsid w:val="20CE7BD2"/>
    <w:rsid w:val="20CF7866"/>
    <w:rsid w:val="20D20CC5"/>
    <w:rsid w:val="20D25619"/>
    <w:rsid w:val="20D28F7F"/>
    <w:rsid w:val="20DBB8E3"/>
    <w:rsid w:val="20DD36BF"/>
    <w:rsid w:val="20E15B38"/>
    <w:rsid w:val="20E4D105"/>
    <w:rsid w:val="20E7C023"/>
    <w:rsid w:val="20E94807"/>
    <w:rsid w:val="20F0AE83"/>
    <w:rsid w:val="20F57486"/>
    <w:rsid w:val="20F6AA06"/>
    <w:rsid w:val="20FF5397"/>
    <w:rsid w:val="21021B1A"/>
    <w:rsid w:val="21025955"/>
    <w:rsid w:val="2103A52B"/>
    <w:rsid w:val="21050222"/>
    <w:rsid w:val="2108EC30"/>
    <w:rsid w:val="210C3120"/>
    <w:rsid w:val="210DA33B"/>
    <w:rsid w:val="210FBF26"/>
    <w:rsid w:val="210FD11B"/>
    <w:rsid w:val="211365C0"/>
    <w:rsid w:val="21189294"/>
    <w:rsid w:val="2118DDF0"/>
    <w:rsid w:val="2120E62E"/>
    <w:rsid w:val="212376D0"/>
    <w:rsid w:val="2123AC53"/>
    <w:rsid w:val="2127B55E"/>
    <w:rsid w:val="2133D48A"/>
    <w:rsid w:val="2135A8E8"/>
    <w:rsid w:val="2135C5B4"/>
    <w:rsid w:val="2135DAE5"/>
    <w:rsid w:val="2138522E"/>
    <w:rsid w:val="2138AC45"/>
    <w:rsid w:val="213F7F86"/>
    <w:rsid w:val="2145C445"/>
    <w:rsid w:val="2147AC6C"/>
    <w:rsid w:val="214C52CF"/>
    <w:rsid w:val="214C5DA5"/>
    <w:rsid w:val="214F6C72"/>
    <w:rsid w:val="2150D66B"/>
    <w:rsid w:val="21586376"/>
    <w:rsid w:val="2158E6BD"/>
    <w:rsid w:val="2159B893"/>
    <w:rsid w:val="215C120A"/>
    <w:rsid w:val="21674F52"/>
    <w:rsid w:val="216BBD65"/>
    <w:rsid w:val="216BC1EB"/>
    <w:rsid w:val="217B5711"/>
    <w:rsid w:val="217EF9CC"/>
    <w:rsid w:val="217FCFDE"/>
    <w:rsid w:val="21825083"/>
    <w:rsid w:val="2193A88F"/>
    <w:rsid w:val="2193DC81"/>
    <w:rsid w:val="219434E0"/>
    <w:rsid w:val="2194A271"/>
    <w:rsid w:val="219881BA"/>
    <w:rsid w:val="21A31491"/>
    <w:rsid w:val="21ADDFC3"/>
    <w:rsid w:val="21B2ED2B"/>
    <w:rsid w:val="21B6CA9B"/>
    <w:rsid w:val="21B7D71B"/>
    <w:rsid w:val="21BE4C3D"/>
    <w:rsid w:val="21C3B91D"/>
    <w:rsid w:val="21C90C94"/>
    <w:rsid w:val="21C9C8C4"/>
    <w:rsid w:val="21CE95AD"/>
    <w:rsid w:val="21DDABAC"/>
    <w:rsid w:val="21DE7AFF"/>
    <w:rsid w:val="21E99EE0"/>
    <w:rsid w:val="21EE112C"/>
    <w:rsid w:val="21F5EBDB"/>
    <w:rsid w:val="21F823D7"/>
    <w:rsid w:val="21F8CAFF"/>
    <w:rsid w:val="21FCF50E"/>
    <w:rsid w:val="21FFBE4F"/>
    <w:rsid w:val="2200D607"/>
    <w:rsid w:val="220A1971"/>
    <w:rsid w:val="220B7B17"/>
    <w:rsid w:val="2217D528"/>
    <w:rsid w:val="221C6B45"/>
    <w:rsid w:val="221CE3E8"/>
    <w:rsid w:val="22232CA1"/>
    <w:rsid w:val="222331B1"/>
    <w:rsid w:val="2225C5EE"/>
    <w:rsid w:val="22279D66"/>
    <w:rsid w:val="222B7F65"/>
    <w:rsid w:val="222E8CF9"/>
    <w:rsid w:val="2230119F"/>
    <w:rsid w:val="22367954"/>
    <w:rsid w:val="223D2327"/>
    <w:rsid w:val="223E56FB"/>
    <w:rsid w:val="2241D7C6"/>
    <w:rsid w:val="22452B94"/>
    <w:rsid w:val="224B7DB0"/>
    <w:rsid w:val="224B9236"/>
    <w:rsid w:val="2250ADF4"/>
    <w:rsid w:val="2254D7DD"/>
    <w:rsid w:val="2256D690"/>
    <w:rsid w:val="22584C2E"/>
    <w:rsid w:val="2258EF11"/>
    <w:rsid w:val="225A5F50"/>
    <w:rsid w:val="225B17C7"/>
    <w:rsid w:val="225D4DD7"/>
    <w:rsid w:val="226243D1"/>
    <w:rsid w:val="2266AD1D"/>
    <w:rsid w:val="22760383"/>
    <w:rsid w:val="227E4D7E"/>
    <w:rsid w:val="227ED8EE"/>
    <w:rsid w:val="22836020"/>
    <w:rsid w:val="22837C56"/>
    <w:rsid w:val="228789DD"/>
    <w:rsid w:val="228A9D14"/>
    <w:rsid w:val="228B8DB3"/>
    <w:rsid w:val="228BCCA0"/>
    <w:rsid w:val="22910CEE"/>
    <w:rsid w:val="22927178"/>
    <w:rsid w:val="22955B79"/>
    <w:rsid w:val="22959F27"/>
    <w:rsid w:val="229CC884"/>
    <w:rsid w:val="229DC018"/>
    <w:rsid w:val="22A4023B"/>
    <w:rsid w:val="22A790C4"/>
    <w:rsid w:val="22ABBD52"/>
    <w:rsid w:val="22AEDB20"/>
    <w:rsid w:val="22B2017B"/>
    <w:rsid w:val="22B2F55B"/>
    <w:rsid w:val="22B3D19C"/>
    <w:rsid w:val="22B8EA8D"/>
    <w:rsid w:val="22C0E078"/>
    <w:rsid w:val="22C84C81"/>
    <w:rsid w:val="22C9974C"/>
    <w:rsid w:val="22C9FD7D"/>
    <w:rsid w:val="22CCBDB0"/>
    <w:rsid w:val="22CE8C60"/>
    <w:rsid w:val="22D171E8"/>
    <w:rsid w:val="22E005CF"/>
    <w:rsid w:val="22E1D334"/>
    <w:rsid w:val="22E36646"/>
    <w:rsid w:val="22E4F361"/>
    <w:rsid w:val="22EAEE64"/>
    <w:rsid w:val="22EB4760"/>
    <w:rsid w:val="22ECC904"/>
    <w:rsid w:val="22ED5DA1"/>
    <w:rsid w:val="22EEEF2F"/>
    <w:rsid w:val="22F0DD50"/>
    <w:rsid w:val="22F329F3"/>
    <w:rsid w:val="22F4AFFD"/>
    <w:rsid w:val="22F4B23E"/>
    <w:rsid w:val="22F8DC71"/>
    <w:rsid w:val="22FC1E86"/>
    <w:rsid w:val="22FCEB5F"/>
    <w:rsid w:val="22FE3D41"/>
    <w:rsid w:val="22FFA0D4"/>
    <w:rsid w:val="23016B41"/>
    <w:rsid w:val="2301B7F3"/>
    <w:rsid w:val="23021ECE"/>
    <w:rsid w:val="23027F72"/>
    <w:rsid w:val="23067076"/>
    <w:rsid w:val="2307492A"/>
    <w:rsid w:val="2308F9DA"/>
    <w:rsid w:val="23121F54"/>
    <w:rsid w:val="2312DFC1"/>
    <w:rsid w:val="231492D9"/>
    <w:rsid w:val="23151FBC"/>
    <w:rsid w:val="23167365"/>
    <w:rsid w:val="231AE9B4"/>
    <w:rsid w:val="23211213"/>
    <w:rsid w:val="23216EC6"/>
    <w:rsid w:val="2321D496"/>
    <w:rsid w:val="23230CDF"/>
    <w:rsid w:val="2324A23B"/>
    <w:rsid w:val="2324B756"/>
    <w:rsid w:val="232B5B22"/>
    <w:rsid w:val="232C7239"/>
    <w:rsid w:val="232FC04E"/>
    <w:rsid w:val="23321EF3"/>
    <w:rsid w:val="233F082B"/>
    <w:rsid w:val="233F7BE6"/>
    <w:rsid w:val="234223C1"/>
    <w:rsid w:val="234767B9"/>
    <w:rsid w:val="234BBF08"/>
    <w:rsid w:val="234F7792"/>
    <w:rsid w:val="23556C99"/>
    <w:rsid w:val="235F0B19"/>
    <w:rsid w:val="2363EEE0"/>
    <w:rsid w:val="23673329"/>
    <w:rsid w:val="2374AEFE"/>
    <w:rsid w:val="2379F4BA"/>
    <w:rsid w:val="237CC857"/>
    <w:rsid w:val="237F6B0D"/>
    <w:rsid w:val="23874EB8"/>
    <w:rsid w:val="23899964"/>
    <w:rsid w:val="238BA065"/>
    <w:rsid w:val="238F6F45"/>
    <w:rsid w:val="2390B477"/>
    <w:rsid w:val="2399A06F"/>
    <w:rsid w:val="239B8EB0"/>
    <w:rsid w:val="239BB077"/>
    <w:rsid w:val="23A0FAC8"/>
    <w:rsid w:val="23A13ACF"/>
    <w:rsid w:val="23A163D9"/>
    <w:rsid w:val="23A199DE"/>
    <w:rsid w:val="23A5E82F"/>
    <w:rsid w:val="23A6D34C"/>
    <w:rsid w:val="23A97081"/>
    <w:rsid w:val="23AA9C21"/>
    <w:rsid w:val="23B24141"/>
    <w:rsid w:val="23BF5D62"/>
    <w:rsid w:val="23C290F5"/>
    <w:rsid w:val="23C57C8E"/>
    <w:rsid w:val="23C6A7F2"/>
    <w:rsid w:val="23C7C44D"/>
    <w:rsid w:val="23C89E32"/>
    <w:rsid w:val="23C9B87E"/>
    <w:rsid w:val="23CFC5FA"/>
    <w:rsid w:val="23D77428"/>
    <w:rsid w:val="23D7F034"/>
    <w:rsid w:val="23D8DF74"/>
    <w:rsid w:val="23DB466F"/>
    <w:rsid w:val="23E40AF7"/>
    <w:rsid w:val="23E495F1"/>
    <w:rsid w:val="23E8708A"/>
    <w:rsid w:val="23E90A70"/>
    <w:rsid w:val="23EAE8FE"/>
    <w:rsid w:val="23EF1D32"/>
    <w:rsid w:val="23F4DFBE"/>
    <w:rsid w:val="23F7562D"/>
    <w:rsid w:val="23FA77DC"/>
    <w:rsid w:val="23FB8310"/>
    <w:rsid w:val="23FCB1BC"/>
    <w:rsid w:val="23FD6655"/>
    <w:rsid w:val="24065C43"/>
    <w:rsid w:val="2409CF75"/>
    <w:rsid w:val="240ABB60"/>
    <w:rsid w:val="241333FB"/>
    <w:rsid w:val="2413E38A"/>
    <w:rsid w:val="241601FB"/>
    <w:rsid w:val="2416A439"/>
    <w:rsid w:val="24187132"/>
    <w:rsid w:val="241D114B"/>
    <w:rsid w:val="241E4492"/>
    <w:rsid w:val="2422A83C"/>
    <w:rsid w:val="242567D0"/>
    <w:rsid w:val="24287101"/>
    <w:rsid w:val="2428C836"/>
    <w:rsid w:val="24323178"/>
    <w:rsid w:val="24336E20"/>
    <w:rsid w:val="2437E37E"/>
    <w:rsid w:val="243A1459"/>
    <w:rsid w:val="243A1B2B"/>
    <w:rsid w:val="243AAC01"/>
    <w:rsid w:val="243B26E9"/>
    <w:rsid w:val="243D6B5E"/>
    <w:rsid w:val="243E291E"/>
    <w:rsid w:val="2440A992"/>
    <w:rsid w:val="24421AE7"/>
    <w:rsid w:val="2443385A"/>
    <w:rsid w:val="2444B902"/>
    <w:rsid w:val="244A1BB6"/>
    <w:rsid w:val="244C3A22"/>
    <w:rsid w:val="244C73D6"/>
    <w:rsid w:val="244D7D71"/>
    <w:rsid w:val="24505D30"/>
    <w:rsid w:val="24559175"/>
    <w:rsid w:val="245AF32E"/>
    <w:rsid w:val="246052A9"/>
    <w:rsid w:val="24651E4F"/>
    <w:rsid w:val="24654576"/>
    <w:rsid w:val="24676469"/>
    <w:rsid w:val="24678DA6"/>
    <w:rsid w:val="246AF7D4"/>
    <w:rsid w:val="246BF25A"/>
    <w:rsid w:val="246C8229"/>
    <w:rsid w:val="246ECFEB"/>
    <w:rsid w:val="24722962"/>
    <w:rsid w:val="247713F6"/>
    <w:rsid w:val="2477F0C9"/>
    <w:rsid w:val="2478F38B"/>
    <w:rsid w:val="247CE323"/>
    <w:rsid w:val="24804275"/>
    <w:rsid w:val="24854786"/>
    <w:rsid w:val="2486D26B"/>
    <w:rsid w:val="24892DCF"/>
    <w:rsid w:val="248FADF1"/>
    <w:rsid w:val="2490BE7C"/>
    <w:rsid w:val="249352F4"/>
    <w:rsid w:val="24983595"/>
    <w:rsid w:val="24994A40"/>
    <w:rsid w:val="24A04634"/>
    <w:rsid w:val="24A0E48B"/>
    <w:rsid w:val="24A2FB71"/>
    <w:rsid w:val="24A3B917"/>
    <w:rsid w:val="24A4D665"/>
    <w:rsid w:val="24A732AE"/>
    <w:rsid w:val="24AB062E"/>
    <w:rsid w:val="24B143A6"/>
    <w:rsid w:val="24B22501"/>
    <w:rsid w:val="24B3C607"/>
    <w:rsid w:val="24B70BA4"/>
    <w:rsid w:val="24BB2E3D"/>
    <w:rsid w:val="24BB9C4A"/>
    <w:rsid w:val="24BF5E0F"/>
    <w:rsid w:val="24C174C9"/>
    <w:rsid w:val="24C28DBD"/>
    <w:rsid w:val="24C60399"/>
    <w:rsid w:val="24C85AB9"/>
    <w:rsid w:val="24C8CA45"/>
    <w:rsid w:val="24CBF2F7"/>
    <w:rsid w:val="24CD9901"/>
    <w:rsid w:val="24CE3488"/>
    <w:rsid w:val="24CFFC40"/>
    <w:rsid w:val="24D54664"/>
    <w:rsid w:val="24D62653"/>
    <w:rsid w:val="24D8459B"/>
    <w:rsid w:val="24DCCED7"/>
    <w:rsid w:val="24DDB310"/>
    <w:rsid w:val="24E29DCC"/>
    <w:rsid w:val="24E3CB34"/>
    <w:rsid w:val="24E4B036"/>
    <w:rsid w:val="24E5879E"/>
    <w:rsid w:val="24E7299A"/>
    <w:rsid w:val="24E8759E"/>
    <w:rsid w:val="24E92C9B"/>
    <w:rsid w:val="24EE66EA"/>
    <w:rsid w:val="24EFB3C4"/>
    <w:rsid w:val="24EFF277"/>
    <w:rsid w:val="24F3C346"/>
    <w:rsid w:val="24F7366E"/>
    <w:rsid w:val="24FD0EBF"/>
    <w:rsid w:val="2504940D"/>
    <w:rsid w:val="2509F264"/>
    <w:rsid w:val="250F866A"/>
    <w:rsid w:val="250F8DB8"/>
    <w:rsid w:val="2512C7EB"/>
    <w:rsid w:val="251C47A8"/>
    <w:rsid w:val="251C82A8"/>
    <w:rsid w:val="251E9D17"/>
    <w:rsid w:val="2521B6E1"/>
    <w:rsid w:val="2525A38C"/>
    <w:rsid w:val="2525CB7D"/>
    <w:rsid w:val="2529A49D"/>
    <w:rsid w:val="252B961C"/>
    <w:rsid w:val="252E3EA2"/>
    <w:rsid w:val="25303D69"/>
    <w:rsid w:val="253071DD"/>
    <w:rsid w:val="2533F51F"/>
    <w:rsid w:val="25357DE3"/>
    <w:rsid w:val="2537289F"/>
    <w:rsid w:val="253A96A1"/>
    <w:rsid w:val="25448C05"/>
    <w:rsid w:val="254793DA"/>
    <w:rsid w:val="254A5377"/>
    <w:rsid w:val="254CF5EA"/>
    <w:rsid w:val="254D0501"/>
    <w:rsid w:val="25509CCB"/>
    <w:rsid w:val="25518B41"/>
    <w:rsid w:val="255A5B7B"/>
    <w:rsid w:val="255F61B3"/>
    <w:rsid w:val="2564091F"/>
    <w:rsid w:val="256A7208"/>
    <w:rsid w:val="256FC55C"/>
    <w:rsid w:val="2570AEF8"/>
    <w:rsid w:val="257DD8BE"/>
    <w:rsid w:val="257E3805"/>
    <w:rsid w:val="257FBFBA"/>
    <w:rsid w:val="25851135"/>
    <w:rsid w:val="25882A2E"/>
    <w:rsid w:val="2588BD56"/>
    <w:rsid w:val="259E6403"/>
    <w:rsid w:val="25A3CE35"/>
    <w:rsid w:val="25A801DF"/>
    <w:rsid w:val="25A94BCC"/>
    <w:rsid w:val="25AA8F00"/>
    <w:rsid w:val="25AAF241"/>
    <w:rsid w:val="25B94DA8"/>
    <w:rsid w:val="25BAB1B7"/>
    <w:rsid w:val="25BD2142"/>
    <w:rsid w:val="25C62F78"/>
    <w:rsid w:val="25C92A88"/>
    <w:rsid w:val="25C97470"/>
    <w:rsid w:val="25C9E235"/>
    <w:rsid w:val="25D227CB"/>
    <w:rsid w:val="25D35393"/>
    <w:rsid w:val="25DC1B1D"/>
    <w:rsid w:val="25E416A2"/>
    <w:rsid w:val="25E4EBA2"/>
    <w:rsid w:val="25E6059A"/>
    <w:rsid w:val="25E9F6D0"/>
    <w:rsid w:val="25ED822E"/>
    <w:rsid w:val="25F0933B"/>
    <w:rsid w:val="25F2D159"/>
    <w:rsid w:val="25F734CE"/>
    <w:rsid w:val="25FAAC51"/>
    <w:rsid w:val="25FC23F9"/>
    <w:rsid w:val="26004461"/>
    <w:rsid w:val="26011C3A"/>
    <w:rsid w:val="26051ED9"/>
    <w:rsid w:val="2609C36E"/>
    <w:rsid w:val="260BB67B"/>
    <w:rsid w:val="260D8E40"/>
    <w:rsid w:val="260EB659"/>
    <w:rsid w:val="260F20B8"/>
    <w:rsid w:val="2618FFF0"/>
    <w:rsid w:val="261A660D"/>
    <w:rsid w:val="261B0F21"/>
    <w:rsid w:val="261EBCB6"/>
    <w:rsid w:val="261EDB3E"/>
    <w:rsid w:val="26254504"/>
    <w:rsid w:val="26268EA7"/>
    <w:rsid w:val="2628EE84"/>
    <w:rsid w:val="262E555F"/>
    <w:rsid w:val="264058BA"/>
    <w:rsid w:val="2640716E"/>
    <w:rsid w:val="2642FC4F"/>
    <w:rsid w:val="26495692"/>
    <w:rsid w:val="264C0885"/>
    <w:rsid w:val="264C849F"/>
    <w:rsid w:val="264D1407"/>
    <w:rsid w:val="26512F0E"/>
    <w:rsid w:val="26525518"/>
    <w:rsid w:val="2655B3D4"/>
    <w:rsid w:val="265636C6"/>
    <w:rsid w:val="265C830C"/>
    <w:rsid w:val="2661A2D7"/>
    <w:rsid w:val="2662FFB2"/>
    <w:rsid w:val="2663A118"/>
    <w:rsid w:val="266ABEA2"/>
    <w:rsid w:val="266ABF13"/>
    <w:rsid w:val="266E171F"/>
    <w:rsid w:val="2676C8CB"/>
    <w:rsid w:val="2677B43F"/>
    <w:rsid w:val="2677BBEE"/>
    <w:rsid w:val="26787403"/>
    <w:rsid w:val="2678A46D"/>
    <w:rsid w:val="268129F0"/>
    <w:rsid w:val="26816839"/>
    <w:rsid w:val="2686CEFA"/>
    <w:rsid w:val="2687CD80"/>
    <w:rsid w:val="2688A2AB"/>
    <w:rsid w:val="268DE2BC"/>
    <w:rsid w:val="269180C4"/>
    <w:rsid w:val="2692D1BF"/>
    <w:rsid w:val="26A083A8"/>
    <w:rsid w:val="26A1705C"/>
    <w:rsid w:val="26A25DA5"/>
    <w:rsid w:val="26A74273"/>
    <w:rsid w:val="26A83A35"/>
    <w:rsid w:val="26AA2C6C"/>
    <w:rsid w:val="26AA38B6"/>
    <w:rsid w:val="26AC99CB"/>
    <w:rsid w:val="26AFF7B5"/>
    <w:rsid w:val="26B1570C"/>
    <w:rsid w:val="26BB674A"/>
    <w:rsid w:val="26BD6721"/>
    <w:rsid w:val="26BFD3AF"/>
    <w:rsid w:val="26C0E873"/>
    <w:rsid w:val="26C3C070"/>
    <w:rsid w:val="26C4AE3F"/>
    <w:rsid w:val="26C80810"/>
    <w:rsid w:val="26CC95B0"/>
    <w:rsid w:val="26D29C15"/>
    <w:rsid w:val="26DCBFA5"/>
    <w:rsid w:val="26DF9998"/>
    <w:rsid w:val="26E3884D"/>
    <w:rsid w:val="26E9A5C4"/>
    <w:rsid w:val="26E9AC8E"/>
    <w:rsid w:val="26EBA5F6"/>
    <w:rsid w:val="26ECA079"/>
    <w:rsid w:val="26F3DF83"/>
    <w:rsid w:val="26F4C2C3"/>
    <w:rsid w:val="26F632E3"/>
    <w:rsid w:val="26FB2E58"/>
    <w:rsid w:val="26FE5F3C"/>
    <w:rsid w:val="26FEF84A"/>
    <w:rsid w:val="270192AF"/>
    <w:rsid w:val="2702AF5A"/>
    <w:rsid w:val="27102CAE"/>
    <w:rsid w:val="2710D498"/>
    <w:rsid w:val="271EDD55"/>
    <w:rsid w:val="27215B00"/>
    <w:rsid w:val="272B27E9"/>
    <w:rsid w:val="2737503D"/>
    <w:rsid w:val="2738AF4C"/>
    <w:rsid w:val="2738C04B"/>
    <w:rsid w:val="273A3D07"/>
    <w:rsid w:val="274309D1"/>
    <w:rsid w:val="27484E10"/>
    <w:rsid w:val="27489D49"/>
    <w:rsid w:val="274C42C0"/>
    <w:rsid w:val="274F863A"/>
    <w:rsid w:val="275206E5"/>
    <w:rsid w:val="2752A25F"/>
    <w:rsid w:val="2763F897"/>
    <w:rsid w:val="27662FDD"/>
    <w:rsid w:val="276AB851"/>
    <w:rsid w:val="276D7336"/>
    <w:rsid w:val="2774C212"/>
    <w:rsid w:val="2779977E"/>
    <w:rsid w:val="2781A773"/>
    <w:rsid w:val="27831016"/>
    <w:rsid w:val="278DEC95"/>
    <w:rsid w:val="279250F0"/>
    <w:rsid w:val="2792FBAA"/>
    <w:rsid w:val="279548B0"/>
    <w:rsid w:val="279ED3A6"/>
    <w:rsid w:val="27A0B5B7"/>
    <w:rsid w:val="27A20B97"/>
    <w:rsid w:val="27A2D8A9"/>
    <w:rsid w:val="27A8933B"/>
    <w:rsid w:val="27ADCA08"/>
    <w:rsid w:val="27B567BB"/>
    <w:rsid w:val="27B78CD6"/>
    <w:rsid w:val="27BB2C69"/>
    <w:rsid w:val="27C05996"/>
    <w:rsid w:val="27C5375A"/>
    <w:rsid w:val="27CA7404"/>
    <w:rsid w:val="27D2B45B"/>
    <w:rsid w:val="27DF4068"/>
    <w:rsid w:val="27E44941"/>
    <w:rsid w:val="27EAF101"/>
    <w:rsid w:val="27ECD849"/>
    <w:rsid w:val="27F0559B"/>
    <w:rsid w:val="27F38992"/>
    <w:rsid w:val="27F674A9"/>
    <w:rsid w:val="27FA4B91"/>
    <w:rsid w:val="27FB2B7D"/>
    <w:rsid w:val="27FDDA6A"/>
    <w:rsid w:val="27FE4110"/>
    <w:rsid w:val="27FF6FC6"/>
    <w:rsid w:val="2801217B"/>
    <w:rsid w:val="280221BA"/>
    <w:rsid w:val="280546CE"/>
    <w:rsid w:val="2806EB04"/>
    <w:rsid w:val="280C647D"/>
    <w:rsid w:val="280F927E"/>
    <w:rsid w:val="2810F847"/>
    <w:rsid w:val="28130141"/>
    <w:rsid w:val="2814B880"/>
    <w:rsid w:val="281563F2"/>
    <w:rsid w:val="281916FF"/>
    <w:rsid w:val="2819FAF6"/>
    <w:rsid w:val="282118C9"/>
    <w:rsid w:val="2825C0BB"/>
    <w:rsid w:val="282B5676"/>
    <w:rsid w:val="282C5B96"/>
    <w:rsid w:val="282D17E5"/>
    <w:rsid w:val="2832E068"/>
    <w:rsid w:val="2835BA4D"/>
    <w:rsid w:val="283774E0"/>
    <w:rsid w:val="2839FC0C"/>
    <w:rsid w:val="283BA1F8"/>
    <w:rsid w:val="283CD134"/>
    <w:rsid w:val="283E69F3"/>
    <w:rsid w:val="28415FA2"/>
    <w:rsid w:val="28432C9A"/>
    <w:rsid w:val="284D1279"/>
    <w:rsid w:val="284D8781"/>
    <w:rsid w:val="2854E196"/>
    <w:rsid w:val="2855E89C"/>
    <w:rsid w:val="285B8692"/>
    <w:rsid w:val="285B8A0E"/>
    <w:rsid w:val="285C81A0"/>
    <w:rsid w:val="2865C055"/>
    <w:rsid w:val="286664AC"/>
    <w:rsid w:val="286A45FE"/>
    <w:rsid w:val="286CACFB"/>
    <w:rsid w:val="286DAEB8"/>
    <w:rsid w:val="2870979F"/>
    <w:rsid w:val="28739D9C"/>
    <w:rsid w:val="28771061"/>
    <w:rsid w:val="287961AB"/>
    <w:rsid w:val="287A4071"/>
    <w:rsid w:val="287B401B"/>
    <w:rsid w:val="287BBEA0"/>
    <w:rsid w:val="287EB7B1"/>
    <w:rsid w:val="28847BB0"/>
    <w:rsid w:val="288563A2"/>
    <w:rsid w:val="288BF9CE"/>
    <w:rsid w:val="288E2658"/>
    <w:rsid w:val="288E694C"/>
    <w:rsid w:val="28900C41"/>
    <w:rsid w:val="289629AC"/>
    <w:rsid w:val="289ACB1C"/>
    <w:rsid w:val="289B2035"/>
    <w:rsid w:val="289D0F43"/>
    <w:rsid w:val="289DE1A4"/>
    <w:rsid w:val="289F3992"/>
    <w:rsid w:val="289F9382"/>
    <w:rsid w:val="28A317A0"/>
    <w:rsid w:val="28A52B04"/>
    <w:rsid w:val="28A709D5"/>
    <w:rsid w:val="28B54DA9"/>
    <w:rsid w:val="28B7785F"/>
    <w:rsid w:val="28B975D2"/>
    <w:rsid w:val="28BB349E"/>
    <w:rsid w:val="28BBC71E"/>
    <w:rsid w:val="28BCE46F"/>
    <w:rsid w:val="28BF1BC4"/>
    <w:rsid w:val="28C7EAAA"/>
    <w:rsid w:val="28CF589B"/>
    <w:rsid w:val="28D19EAC"/>
    <w:rsid w:val="28D73104"/>
    <w:rsid w:val="28D8AF4A"/>
    <w:rsid w:val="28DE0DD6"/>
    <w:rsid w:val="28E465A4"/>
    <w:rsid w:val="28E7E4E2"/>
    <w:rsid w:val="28E8056F"/>
    <w:rsid w:val="28F10E31"/>
    <w:rsid w:val="28F1AD72"/>
    <w:rsid w:val="28F44B64"/>
    <w:rsid w:val="28F87174"/>
    <w:rsid w:val="28FB5B99"/>
    <w:rsid w:val="28FD8280"/>
    <w:rsid w:val="29038581"/>
    <w:rsid w:val="29041433"/>
    <w:rsid w:val="2905E11B"/>
    <w:rsid w:val="2905E72F"/>
    <w:rsid w:val="2906AF1A"/>
    <w:rsid w:val="2908BF28"/>
    <w:rsid w:val="29090593"/>
    <w:rsid w:val="290A424B"/>
    <w:rsid w:val="290DAF17"/>
    <w:rsid w:val="2913625B"/>
    <w:rsid w:val="2915FFED"/>
    <w:rsid w:val="291651F9"/>
    <w:rsid w:val="2917082F"/>
    <w:rsid w:val="2917D4D0"/>
    <w:rsid w:val="2918837F"/>
    <w:rsid w:val="29193BBB"/>
    <w:rsid w:val="291A64BB"/>
    <w:rsid w:val="291F36D4"/>
    <w:rsid w:val="2920B75B"/>
    <w:rsid w:val="2924B53A"/>
    <w:rsid w:val="2929956D"/>
    <w:rsid w:val="2930DB4A"/>
    <w:rsid w:val="2936E07C"/>
    <w:rsid w:val="2938D5C5"/>
    <w:rsid w:val="293C143A"/>
    <w:rsid w:val="293D584B"/>
    <w:rsid w:val="29411648"/>
    <w:rsid w:val="29439AA9"/>
    <w:rsid w:val="2944F953"/>
    <w:rsid w:val="2944FAF9"/>
    <w:rsid w:val="294A41B9"/>
    <w:rsid w:val="295309BB"/>
    <w:rsid w:val="29540DD1"/>
    <w:rsid w:val="2956EF9C"/>
    <w:rsid w:val="29578C17"/>
    <w:rsid w:val="2959D23F"/>
    <w:rsid w:val="295B2C13"/>
    <w:rsid w:val="295B86E7"/>
    <w:rsid w:val="295D88A9"/>
    <w:rsid w:val="296359F0"/>
    <w:rsid w:val="2963D661"/>
    <w:rsid w:val="296412E6"/>
    <w:rsid w:val="29651C39"/>
    <w:rsid w:val="296A04F5"/>
    <w:rsid w:val="296D15C6"/>
    <w:rsid w:val="297095E3"/>
    <w:rsid w:val="2971E3F1"/>
    <w:rsid w:val="29796D05"/>
    <w:rsid w:val="2979DDE2"/>
    <w:rsid w:val="297B1752"/>
    <w:rsid w:val="297F4DD0"/>
    <w:rsid w:val="297F52BB"/>
    <w:rsid w:val="2980A42B"/>
    <w:rsid w:val="2984904C"/>
    <w:rsid w:val="298B9C74"/>
    <w:rsid w:val="298E703E"/>
    <w:rsid w:val="299282C1"/>
    <w:rsid w:val="2998CB03"/>
    <w:rsid w:val="299A0007"/>
    <w:rsid w:val="29A6ABB2"/>
    <w:rsid w:val="29A6B23E"/>
    <w:rsid w:val="29AEA4DE"/>
    <w:rsid w:val="29AF65DA"/>
    <w:rsid w:val="29B06C01"/>
    <w:rsid w:val="29B27008"/>
    <w:rsid w:val="29B61BBD"/>
    <w:rsid w:val="29BBCB55"/>
    <w:rsid w:val="29BEE3C7"/>
    <w:rsid w:val="29C18E5E"/>
    <w:rsid w:val="29CB0FE1"/>
    <w:rsid w:val="29CD7049"/>
    <w:rsid w:val="29D223C8"/>
    <w:rsid w:val="29D34BA2"/>
    <w:rsid w:val="29D6BA0D"/>
    <w:rsid w:val="29DC115A"/>
    <w:rsid w:val="29E04A87"/>
    <w:rsid w:val="29E4A812"/>
    <w:rsid w:val="29E681D9"/>
    <w:rsid w:val="29E74F78"/>
    <w:rsid w:val="29E7E114"/>
    <w:rsid w:val="29E92943"/>
    <w:rsid w:val="29EB7022"/>
    <w:rsid w:val="29EF3916"/>
    <w:rsid w:val="29EFF45F"/>
    <w:rsid w:val="29F10C3F"/>
    <w:rsid w:val="29F2A707"/>
    <w:rsid w:val="29F70746"/>
    <w:rsid w:val="29FA1116"/>
    <w:rsid w:val="29FC6294"/>
    <w:rsid w:val="29FEEE12"/>
    <w:rsid w:val="2A03C7BC"/>
    <w:rsid w:val="2A05A34C"/>
    <w:rsid w:val="2A08DFDF"/>
    <w:rsid w:val="2A08EC6D"/>
    <w:rsid w:val="2A0F0255"/>
    <w:rsid w:val="2A1426B7"/>
    <w:rsid w:val="2A149B70"/>
    <w:rsid w:val="2A184144"/>
    <w:rsid w:val="2A188213"/>
    <w:rsid w:val="2A1A874B"/>
    <w:rsid w:val="2A1B8760"/>
    <w:rsid w:val="2A1DE4EF"/>
    <w:rsid w:val="2A21CAC2"/>
    <w:rsid w:val="2A21F775"/>
    <w:rsid w:val="2A232A80"/>
    <w:rsid w:val="2A2809FB"/>
    <w:rsid w:val="2A2E1D98"/>
    <w:rsid w:val="2A30DF01"/>
    <w:rsid w:val="2A3215A3"/>
    <w:rsid w:val="2A340EFE"/>
    <w:rsid w:val="2A34E066"/>
    <w:rsid w:val="2A356FD6"/>
    <w:rsid w:val="2A37BDC8"/>
    <w:rsid w:val="2A3A0AA0"/>
    <w:rsid w:val="2A3A79CB"/>
    <w:rsid w:val="2A3B280C"/>
    <w:rsid w:val="2A3C20EC"/>
    <w:rsid w:val="2A3DF16A"/>
    <w:rsid w:val="2A3F6C8D"/>
    <w:rsid w:val="2A43445D"/>
    <w:rsid w:val="2A438F3E"/>
    <w:rsid w:val="2A43EC94"/>
    <w:rsid w:val="2A45E24B"/>
    <w:rsid w:val="2A48819F"/>
    <w:rsid w:val="2A48ABEB"/>
    <w:rsid w:val="2A4EEC1E"/>
    <w:rsid w:val="2A532144"/>
    <w:rsid w:val="2A60B3A7"/>
    <w:rsid w:val="2A636399"/>
    <w:rsid w:val="2A67D640"/>
    <w:rsid w:val="2A6967CC"/>
    <w:rsid w:val="2A6B462B"/>
    <w:rsid w:val="2A6C5A26"/>
    <w:rsid w:val="2A6FE753"/>
    <w:rsid w:val="2A7A7A1D"/>
    <w:rsid w:val="2A7AA7A9"/>
    <w:rsid w:val="2A7B6DC6"/>
    <w:rsid w:val="2A7BB128"/>
    <w:rsid w:val="2A8233E1"/>
    <w:rsid w:val="2A828845"/>
    <w:rsid w:val="2A85459F"/>
    <w:rsid w:val="2A87C251"/>
    <w:rsid w:val="2A87CE26"/>
    <w:rsid w:val="2A89B7A6"/>
    <w:rsid w:val="2A8B6311"/>
    <w:rsid w:val="2A96D963"/>
    <w:rsid w:val="2A9C07B9"/>
    <w:rsid w:val="2A9E8F6A"/>
    <w:rsid w:val="2AA11B25"/>
    <w:rsid w:val="2AA7E905"/>
    <w:rsid w:val="2AAAC3FB"/>
    <w:rsid w:val="2AABB6A9"/>
    <w:rsid w:val="2AACDB1A"/>
    <w:rsid w:val="2AAE239D"/>
    <w:rsid w:val="2AB2CFA7"/>
    <w:rsid w:val="2AB6B4C4"/>
    <w:rsid w:val="2AB75C4D"/>
    <w:rsid w:val="2ABA508A"/>
    <w:rsid w:val="2ABBEF7B"/>
    <w:rsid w:val="2ABDE495"/>
    <w:rsid w:val="2ABEF491"/>
    <w:rsid w:val="2AC1355F"/>
    <w:rsid w:val="2AC20BFF"/>
    <w:rsid w:val="2AC59E5E"/>
    <w:rsid w:val="2AC5AF68"/>
    <w:rsid w:val="2ACF6EE9"/>
    <w:rsid w:val="2AD397F8"/>
    <w:rsid w:val="2ADA4E15"/>
    <w:rsid w:val="2ADF59D2"/>
    <w:rsid w:val="2AE20C41"/>
    <w:rsid w:val="2AE26DEA"/>
    <w:rsid w:val="2AE278DC"/>
    <w:rsid w:val="2AEA0D55"/>
    <w:rsid w:val="2AEA3476"/>
    <w:rsid w:val="2AEBB590"/>
    <w:rsid w:val="2AEF42E7"/>
    <w:rsid w:val="2AF3A914"/>
    <w:rsid w:val="2B089496"/>
    <w:rsid w:val="2B0A01E5"/>
    <w:rsid w:val="2B0FE095"/>
    <w:rsid w:val="2B10D9CB"/>
    <w:rsid w:val="2B12B063"/>
    <w:rsid w:val="2B1AECB0"/>
    <w:rsid w:val="2B1DFBCF"/>
    <w:rsid w:val="2B2058B8"/>
    <w:rsid w:val="2B27BA27"/>
    <w:rsid w:val="2B2805B1"/>
    <w:rsid w:val="2B35F3DB"/>
    <w:rsid w:val="2B3A893A"/>
    <w:rsid w:val="2B3CA1D0"/>
    <w:rsid w:val="2B3D9D54"/>
    <w:rsid w:val="2B3FE1DF"/>
    <w:rsid w:val="2B42A75D"/>
    <w:rsid w:val="2B480D18"/>
    <w:rsid w:val="2B4D1C6A"/>
    <w:rsid w:val="2B502CF1"/>
    <w:rsid w:val="2B50A1A3"/>
    <w:rsid w:val="2B54AC0F"/>
    <w:rsid w:val="2B5587FB"/>
    <w:rsid w:val="2B5AA3B2"/>
    <w:rsid w:val="2B5E01DD"/>
    <w:rsid w:val="2B5EF7C8"/>
    <w:rsid w:val="2B5F5E64"/>
    <w:rsid w:val="2B61029D"/>
    <w:rsid w:val="2B66A892"/>
    <w:rsid w:val="2B67994B"/>
    <w:rsid w:val="2B6A25B9"/>
    <w:rsid w:val="2B6D4DD6"/>
    <w:rsid w:val="2B6D50A1"/>
    <w:rsid w:val="2B7C4952"/>
    <w:rsid w:val="2B7DB0D3"/>
    <w:rsid w:val="2B82028D"/>
    <w:rsid w:val="2B820FA5"/>
    <w:rsid w:val="2B8A6966"/>
    <w:rsid w:val="2B8AA8BC"/>
    <w:rsid w:val="2B8B39EF"/>
    <w:rsid w:val="2B8B909A"/>
    <w:rsid w:val="2B8D2E03"/>
    <w:rsid w:val="2B8E9776"/>
    <w:rsid w:val="2B8FF617"/>
    <w:rsid w:val="2B915CAC"/>
    <w:rsid w:val="2B938F42"/>
    <w:rsid w:val="2B9F8712"/>
    <w:rsid w:val="2BA23E3F"/>
    <w:rsid w:val="2BA94821"/>
    <w:rsid w:val="2BB0AAF1"/>
    <w:rsid w:val="2BB0D57C"/>
    <w:rsid w:val="2BB0D939"/>
    <w:rsid w:val="2BCD9FB5"/>
    <w:rsid w:val="2BD18C6E"/>
    <w:rsid w:val="2BD22813"/>
    <w:rsid w:val="2BD25654"/>
    <w:rsid w:val="2BD92DBD"/>
    <w:rsid w:val="2BD94884"/>
    <w:rsid w:val="2BDBB235"/>
    <w:rsid w:val="2BDCF013"/>
    <w:rsid w:val="2BDF88AF"/>
    <w:rsid w:val="2BDFED41"/>
    <w:rsid w:val="2BEA2313"/>
    <w:rsid w:val="2BEAB26B"/>
    <w:rsid w:val="2BEF11FB"/>
    <w:rsid w:val="2BEF5FD3"/>
    <w:rsid w:val="2BF21457"/>
    <w:rsid w:val="2BF2F47E"/>
    <w:rsid w:val="2BF6577C"/>
    <w:rsid w:val="2BFD66D2"/>
    <w:rsid w:val="2C0266E9"/>
    <w:rsid w:val="2C063A50"/>
    <w:rsid w:val="2C09192B"/>
    <w:rsid w:val="2C0CD6B8"/>
    <w:rsid w:val="2C1272E3"/>
    <w:rsid w:val="2C1676D4"/>
    <w:rsid w:val="2C17A52D"/>
    <w:rsid w:val="2C1C00DE"/>
    <w:rsid w:val="2C1EF9B3"/>
    <w:rsid w:val="2C2D3926"/>
    <w:rsid w:val="2C2DB2DD"/>
    <w:rsid w:val="2C302C74"/>
    <w:rsid w:val="2C31605A"/>
    <w:rsid w:val="2C31E6C1"/>
    <w:rsid w:val="2C37F045"/>
    <w:rsid w:val="2C3CE128"/>
    <w:rsid w:val="2C3ED473"/>
    <w:rsid w:val="2C40115D"/>
    <w:rsid w:val="2C42A45D"/>
    <w:rsid w:val="2C482268"/>
    <w:rsid w:val="2C482DFA"/>
    <w:rsid w:val="2C54B17A"/>
    <w:rsid w:val="2C57A126"/>
    <w:rsid w:val="2C57B82D"/>
    <w:rsid w:val="2C6EF1BA"/>
    <w:rsid w:val="2C706D1C"/>
    <w:rsid w:val="2C77AE0A"/>
    <w:rsid w:val="2C7E0A7A"/>
    <w:rsid w:val="2C85E82F"/>
    <w:rsid w:val="2C863796"/>
    <w:rsid w:val="2C875436"/>
    <w:rsid w:val="2C87D8C5"/>
    <w:rsid w:val="2C88A860"/>
    <w:rsid w:val="2C8A1DD1"/>
    <w:rsid w:val="2C8BE801"/>
    <w:rsid w:val="2C8E093F"/>
    <w:rsid w:val="2C8EC091"/>
    <w:rsid w:val="2C8F0A8C"/>
    <w:rsid w:val="2C921AFE"/>
    <w:rsid w:val="2C98B067"/>
    <w:rsid w:val="2C98F59A"/>
    <w:rsid w:val="2CA0B621"/>
    <w:rsid w:val="2CA42A39"/>
    <w:rsid w:val="2CA5C3C2"/>
    <w:rsid w:val="2CA7C47A"/>
    <w:rsid w:val="2CADA17F"/>
    <w:rsid w:val="2CB177D2"/>
    <w:rsid w:val="2CB18081"/>
    <w:rsid w:val="2CB35D1E"/>
    <w:rsid w:val="2CB36924"/>
    <w:rsid w:val="2CB712F2"/>
    <w:rsid w:val="2CBB7347"/>
    <w:rsid w:val="2CC56E5B"/>
    <w:rsid w:val="2CC9F0C0"/>
    <w:rsid w:val="2CCE332D"/>
    <w:rsid w:val="2CD04234"/>
    <w:rsid w:val="2CD38D84"/>
    <w:rsid w:val="2CDC6D55"/>
    <w:rsid w:val="2CE00071"/>
    <w:rsid w:val="2CE06B92"/>
    <w:rsid w:val="2CEAE738"/>
    <w:rsid w:val="2CEBF208"/>
    <w:rsid w:val="2CECB1E5"/>
    <w:rsid w:val="2CEE73D7"/>
    <w:rsid w:val="2CF1D79B"/>
    <w:rsid w:val="2CF21E8B"/>
    <w:rsid w:val="2CF4242B"/>
    <w:rsid w:val="2CF5701E"/>
    <w:rsid w:val="2CF5C132"/>
    <w:rsid w:val="2CFBBAD8"/>
    <w:rsid w:val="2CFC93B7"/>
    <w:rsid w:val="2D02B3AA"/>
    <w:rsid w:val="2D0D4383"/>
    <w:rsid w:val="2D0D6ADA"/>
    <w:rsid w:val="2D0EABF4"/>
    <w:rsid w:val="2D12053B"/>
    <w:rsid w:val="2D2151FE"/>
    <w:rsid w:val="2D251C94"/>
    <w:rsid w:val="2D2DC901"/>
    <w:rsid w:val="2D32FB90"/>
    <w:rsid w:val="2D33C7ED"/>
    <w:rsid w:val="2D34F819"/>
    <w:rsid w:val="2D369A1F"/>
    <w:rsid w:val="2D38C6F1"/>
    <w:rsid w:val="2D3D0C6C"/>
    <w:rsid w:val="2D3D3411"/>
    <w:rsid w:val="2D3F4056"/>
    <w:rsid w:val="2D40F20A"/>
    <w:rsid w:val="2D432E5A"/>
    <w:rsid w:val="2D447652"/>
    <w:rsid w:val="2D4E5570"/>
    <w:rsid w:val="2D525C81"/>
    <w:rsid w:val="2D570DD7"/>
    <w:rsid w:val="2D5B6687"/>
    <w:rsid w:val="2D6171C7"/>
    <w:rsid w:val="2D671A82"/>
    <w:rsid w:val="2D6AD2C5"/>
    <w:rsid w:val="2D6B0E22"/>
    <w:rsid w:val="2D6B2A3B"/>
    <w:rsid w:val="2D6D5CCF"/>
    <w:rsid w:val="2D6F3ACF"/>
    <w:rsid w:val="2D724106"/>
    <w:rsid w:val="2D8852E6"/>
    <w:rsid w:val="2D92E2CA"/>
    <w:rsid w:val="2D9439B6"/>
    <w:rsid w:val="2D94DE35"/>
    <w:rsid w:val="2D956B6E"/>
    <w:rsid w:val="2D95AE4C"/>
    <w:rsid w:val="2D9A75A4"/>
    <w:rsid w:val="2D9EEE33"/>
    <w:rsid w:val="2DA11BDC"/>
    <w:rsid w:val="2DA13270"/>
    <w:rsid w:val="2DA2D3B6"/>
    <w:rsid w:val="2DA7F6C5"/>
    <w:rsid w:val="2DAB5534"/>
    <w:rsid w:val="2DAF8031"/>
    <w:rsid w:val="2DB12761"/>
    <w:rsid w:val="2DB6C1DC"/>
    <w:rsid w:val="2DBFFDF7"/>
    <w:rsid w:val="2DC1E2BA"/>
    <w:rsid w:val="2DC242A8"/>
    <w:rsid w:val="2DC25EB5"/>
    <w:rsid w:val="2DC2A2C1"/>
    <w:rsid w:val="2DC2A521"/>
    <w:rsid w:val="2DC5DF2A"/>
    <w:rsid w:val="2DC88EBC"/>
    <w:rsid w:val="2DC9370F"/>
    <w:rsid w:val="2DCA89D0"/>
    <w:rsid w:val="2DCAF369"/>
    <w:rsid w:val="2DCCCEE9"/>
    <w:rsid w:val="2DD235DB"/>
    <w:rsid w:val="2DD2D715"/>
    <w:rsid w:val="2DD30DD9"/>
    <w:rsid w:val="2DDAFF03"/>
    <w:rsid w:val="2DDB4874"/>
    <w:rsid w:val="2DDBFE35"/>
    <w:rsid w:val="2DDE8FDC"/>
    <w:rsid w:val="2DE17173"/>
    <w:rsid w:val="2DE78FA1"/>
    <w:rsid w:val="2DE8F9B8"/>
    <w:rsid w:val="2DE92415"/>
    <w:rsid w:val="2DEA4D8E"/>
    <w:rsid w:val="2DEFA94A"/>
    <w:rsid w:val="2DF2E48C"/>
    <w:rsid w:val="2DF53A2B"/>
    <w:rsid w:val="2DFC6931"/>
    <w:rsid w:val="2DFE0D57"/>
    <w:rsid w:val="2E004D8A"/>
    <w:rsid w:val="2E00CE82"/>
    <w:rsid w:val="2E01E446"/>
    <w:rsid w:val="2E062518"/>
    <w:rsid w:val="2E07541F"/>
    <w:rsid w:val="2E0E292B"/>
    <w:rsid w:val="2E0EA24D"/>
    <w:rsid w:val="2E114DE6"/>
    <w:rsid w:val="2E16DF6D"/>
    <w:rsid w:val="2E18A312"/>
    <w:rsid w:val="2E1C60AD"/>
    <w:rsid w:val="2E1F2DA5"/>
    <w:rsid w:val="2E28A1FB"/>
    <w:rsid w:val="2E2E748F"/>
    <w:rsid w:val="2E2ED2E6"/>
    <w:rsid w:val="2E321D82"/>
    <w:rsid w:val="2E335C9C"/>
    <w:rsid w:val="2E3C8309"/>
    <w:rsid w:val="2E42A505"/>
    <w:rsid w:val="2E43617A"/>
    <w:rsid w:val="2E4754ED"/>
    <w:rsid w:val="2E4A2093"/>
    <w:rsid w:val="2E4AB9DD"/>
    <w:rsid w:val="2E57F050"/>
    <w:rsid w:val="2E59DB31"/>
    <w:rsid w:val="2E5B2E9C"/>
    <w:rsid w:val="2E5C1371"/>
    <w:rsid w:val="2E5ECAEA"/>
    <w:rsid w:val="2E62C9C3"/>
    <w:rsid w:val="2E63E957"/>
    <w:rsid w:val="2E6A3919"/>
    <w:rsid w:val="2E6CD060"/>
    <w:rsid w:val="2E6E01CE"/>
    <w:rsid w:val="2E75D8B3"/>
    <w:rsid w:val="2E7C80ED"/>
    <w:rsid w:val="2E7D5FC8"/>
    <w:rsid w:val="2E812D54"/>
    <w:rsid w:val="2E84AA24"/>
    <w:rsid w:val="2E85D7DA"/>
    <w:rsid w:val="2E87D9DE"/>
    <w:rsid w:val="2E89F6CD"/>
    <w:rsid w:val="2E8AED3C"/>
    <w:rsid w:val="2E8C9C7A"/>
    <w:rsid w:val="2E8DE47B"/>
    <w:rsid w:val="2E8E21D6"/>
    <w:rsid w:val="2E9741A6"/>
    <w:rsid w:val="2EA1D02F"/>
    <w:rsid w:val="2EA52718"/>
    <w:rsid w:val="2EA75FCC"/>
    <w:rsid w:val="2EA985FC"/>
    <w:rsid w:val="2EAFFA8C"/>
    <w:rsid w:val="2EB631B0"/>
    <w:rsid w:val="2EB881F4"/>
    <w:rsid w:val="2EB89DDD"/>
    <w:rsid w:val="2EBF822E"/>
    <w:rsid w:val="2EC3B5F6"/>
    <w:rsid w:val="2ECA3BF0"/>
    <w:rsid w:val="2ECAEE27"/>
    <w:rsid w:val="2ECF103F"/>
    <w:rsid w:val="2ED2C292"/>
    <w:rsid w:val="2ED6AB12"/>
    <w:rsid w:val="2EE3BEBD"/>
    <w:rsid w:val="2EE5825C"/>
    <w:rsid w:val="2EE5AFC4"/>
    <w:rsid w:val="2EE78540"/>
    <w:rsid w:val="2EE81B4F"/>
    <w:rsid w:val="2EEA664B"/>
    <w:rsid w:val="2EEB7BE9"/>
    <w:rsid w:val="2EEBF31D"/>
    <w:rsid w:val="2EECCBD6"/>
    <w:rsid w:val="2EF4610B"/>
    <w:rsid w:val="2EF59092"/>
    <w:rsid w:val="2EFDB640"/>
    <w:rsid w:val="2F023264"/>
    <w:rsid w:val="2F03A9B0"/>
    <w:rsid w:val="2F095FA6"/>
    <w:rsid w:val="2F0A8440"/>
    <w:rsid w:val="2F12B429"/>
    <w:rsid w:val="2F176EAE"/>
    <w:rsid w:val="2F1EE10C"/>
    <w:rsid w:val="2F201E65"/>
    <w:rsid w:val="2F2A29A0"/>
    <w:rsid w:val="2F2B069D"/>
    <w:rsid w:val="2F2B6C9B"/>
    <w:rsid w:val="2F2FB0B2"/>
    <w:rsid w:val="2F364787"/>
    <w:rsid w:val="2F385BCE"/>
    <w:rsid w:val="2F3D6725"/>
    <w:rsid w:val="2F43E939"/>
    <w:rsid w:val="2F46320B"/>
    <w:rsid w:val="2F4B9531"/>
    <w:rsid w:val="2F528E3E"/>
    <w:rsid w:val="2F540E52"/>
    <w:rsid w:val="2F5455D1"/>
    <w:rsid w:val="2F54B45B"/>
    <w:rsid w:val="2F571367"/>
    <w:rsid w:val="2F58C02D"/>
    <w:rsid w:val="2F5A64F7"/>
    <w:rsid w:val="2F5C8084"/>
    <w:rsid w:val="2F606CFB"/>
    <w:rsid w:val="2F613919"/>
    <w:rsid w:val="2F6340FB"/>
    <w:rsid w:val="2F63454F"/>
    <w:rsid w:val="2F63F440"/>
    <w:rsid w:val="2F658FFE"/>
    <w:rsid w:val="2F65BF4E"/>
    <w:rsid w:val="2F683CDB"/>
    <w:rsid w:val="2F6A7551"/>
    <w:rsid w:val="2F6E0962"/>
    <w:rsid w:val="2F79A25A"/>
    <w:rsid w:val="2F7A61F5"/>
    <w:rsid w:val="2F7D54EA"/>
    <w:rsid w:val="2F7EA52A"/>
    <w:rsid w:val="2F7ED6EB"/>
    <w:rsid w:val="2F7F116E"/>
    <w:rsid w:val="2F7FB432"/>
    <w:rsid w:val="2F8053C2"/>
    <w:rsid w:val="2F846B5E"/>
    <w:rsid w:val="2F8D2372"/>
    <w:rsid w:val="2F92475A"/>
    <w:rsid w:val="2F930EC7"/>
    <w:rsid w:val="2F9ADD77"/>
    <w:rsid w:val="2F9CFBD2"/>
    <w:rsid w:val="2FAD7868"/>
    <w:rsid w:val="2FAE1C7F"/>
    <w:rsid w:val="2FC34E86"/>
    <w:rsid w:val="2FC53FB5"/>
    <w:rsid w:val="2FC5E40E"/>
    <w:rsid w:val="2FC7F4EA"/>
    <w:rsid w:val="2FDB5CD5"/>
    <w:rsid w:val="2FDC6078"/>
    <w:rsid w:val="2FDFDFC3"/>
    <w:rsid w:val="2FF169F0"/>
    <w:rsid w:val="2FF17F77"/>
    <w:rsid w:val="2FF27406"/>
    <w:rsid w:val="2FF5CBC5"/>
    <w:rsid w:val="2FF623DD"/>
    <w:rsid w:val="2FF6F1E9"/>
    <w:rsid w:val="2FF96CF7"/>
    <w:rsid w:val="2FF97E5C"/>
    <w:rsid w:val="2FFF0FFF"/>
    <w:rsid w:val="3008FAE5"/>
    <w:rsid w:val="300BD551"/>
    <w:rsid w:val="301626CD"/>
    <w:rsid w:val="3018B45C"/>
    <w:rsid w:val="30197184"/>
    <w:rsid w:val="301FFB99"/>
    <w:rsid w:val="3020A30A"/>
    <w:rsid w:val="3021D30D"/>
    <w:rsid w:val="30253C6C"/>
    <w:rsid w:val="30262BD6"/>
    <w:rsid w:val="3029F237"/>
    <w:rsid w:val="302EA7FD"/>
    <w:rsid w:val="302FC645"/>
    <w:rsid w:val="30325B0C"/>
    <w:rsid w:val="30342C85"/>
    <w:rsid w:val="3034D196"/>
    <w:rsid w:val="3034E98D"/>
    <w:rsid w:val="3040EE03"/>
    <w:rsid w:val="304D6FF3"/>
    <w:rsid w:val="304E61D6"/>
    <w:rsid w:val="305022F2"/>
    <w:rsid w:val="3051B755"/>
    <w:rsid w:val="305460C7"/>
    <w:rsid w:val="30595FEE"/>
    <w:rsid w:val="3059B401"/>
    <w:rsid w:val="305AAD3D"/>
    <w:rsid w:val="305CAAFD"/>
    <w:rsid w:val="3060A9D9"/>
    <w:rsid w:val="30674544"/>
    <w:rsid w:val="3070997C"/>
    <w:rsid w:val="30724C65"/>
    <w:rsid w:val="3076F8CE"/>
    <w:rsid w:val="307C38EF"/>
    <w:rsid w:val="307F5FA8"/>
    <w:rsid w:val="308035EC"/>
    <w:rsid w:val="30829410"/>
    <w:rsid w:val="3083E4DA"/>
    <w:rsid w:val="3085F29C"/>
    <w:rsid w:val="308D79FE"/>
    <w:rsid w:val="3090FDAB"/>
    <w:rsid w:val="3097694C"/>
    <w:rsid w:val="3097F8DE"/>
    <w:rsid w:val="309C16C2"/>
    <w:rsid w:val="30A56CD5"/>
    <w:rsid w:val="30A5CEE9"/>
    <w:rsid w:val="30AD1D86"/>
    <w:rsid w:val="30B208F6"/>
    <w:rsid w:val="30B61908"/>
    <w:rsid w:val="30B74978"/>
    <w:rsid w:val="30BACBEF"/>
    <w:rsid w:val="30C38248"/>
    <w:rsid w:val="30C9A70F"/>
    <w:rsid w:val="30CCF3AA"/>
    <w:rsid w:val="30CE0456"/>
    <w:rsid w:val="30D63339"/>
    <w:rsid w:val="30D7DB3E"/>
    <w:rsid w:val="30D8142F"/>
    <w:rsid w:val="30D8909C"/>
    <w:rsid w:val="30D9C26F"/>
    <w:rsid w:val="30DA381F"/>
    <w:rsid w:val="30DB24D8"/>
    <w:rsid w:val="30DE8247"/>
    <w:rsid w:val="30E0AE14"/>
    <w:rsid w:val="30E102EA"/>
    <w:rsid w:val="30E1AA06"/>
    <w:rsid w:val="30E1AF40"/>
    <w:rsid w:val="30E241E2"/>
    <w:rsid w:val="30E37FAE"/>
    <w:rsid w:val="30E6D937"/>
    <w:rsid w:val="30E96A7F"/>
    <w:rsid w:val="30EBB00A"/>
    <w:rsid w:val="30F0C726"/>
    <w:rsid w:val="30F1169A"/>
    <w:rsid w:val="30F5B9D1"/>
    <w:rsid w:val="30F7350C"/>
    <w:rsid w:val="30FB2EB3"/>
    <w:rsid w:val="30FB42B3"/>
    <w:rsid w:val="30FCBDF7"/>
    <w:rsid w:val="31016710"/>
    <w:rsid w:val="31017DA0"/>
    <w:rsid w:val="310305BD"/>
    <w:rsid w:val="3105A410"/>
    <w:rsid w:val="310813FB"/>
    <w:rsid w:val="310F9963"/>
    <w:rsid w:val="31128C97"/>
    <w:rsid w:val="31133103"/>
    <w:rsid w:val="3113B8FD"/>
    <w:rsid w:val="3113FBE1"/>
    <w:rsid w:val="3116932B"/>
    <w:rsid w:val="31173E56"/>
    <w:rsid w:val="31182F3A"/>
    <w:rsid w:val="3118C5DF"/>
    <w:rsid w:val="311A3478"/>
    <w:rsid w:val="31222AA8"/>
    <w:rsid w:val="3126F286"/>
    <w:rsid w:val="31289FC8"/>
    <w:rsid w:val="312963AE"/>
    <w:rsid w:val="312DD0F5"/>
    <w:rsid w:val="31325A24"/>
    <w:rsid w:val="3144BAE6"/>
    <w:rsid w:val="314525C8"/>
    <w:rsid w:val="3145C1FC"/>
    <w:rsid w:val="31467BBC"/>
    <w:rsid w:val="3146F41E"/>
    <w:rsid w:val="3149454F"/>
    <w:rsid w:val="314D67AA"/>
    <w:rsid w:val="3151F382"/>
    <w:rsid w:val="31556B47"/>
    <w:rsid w:val="31564FEC"/>
    <w:rsid w:val="31575A3F"/>
    <w:rsid w:val="31576BD5"/>
    <w:rsid w:val="31594AA8"/>
    <w:rsid w:val="3159F1BE"/>
    <w:rsid w:val="315A1834"/>
    <w:rsid w:val="315ABD01"/>
    <w:rsid w:val="315D30AD"/>
    <w:rsid w:val="315E84DF"/>
    <w:rsid w:val="315EF32E"/>
    <w:rsid w:val="3161B217"/>
    <w:rsid w:val="31626FB9"/>
    <w:rsid w:val="316AF4DF"/>
    <w:rsid w:val="316B7C26"/>
    <w:rsid w:val="31728441"/>
    <w:rsid w:val="3178B6EC"/>
    <w:rsid w:val="31790876"/>
    <w:rsid w:val="317F754B"/>
    <w:rsid w:val="31815BF8"/>
    <w:rsid w:val="318567FE"/>
    <w:rsid w:val="3188FA2A"/>
    <w:rsid w:val="318C2E20"/>
    <w:rsid w:val="318C7D62"/>
    <w:rsid w:val="318DFF2F"/>
    <w:rsid w:val="3191C31F"/>
    <w:rsid w:val="3193B9C8"/>
    <w:rsid w:val="319E88A8"/>
    <w:rsid w:val="31AC71AB"/>
    <w:rsid w:val="31B73F31"/>
    <w:rsid w:val="31B8AB40"/>
    <w:rsid w:val="31B8CE16"/>
    <w:rsid w:val="31BA6856"/>
    <w:rsid w:val="31BAD9F2"/>
    <w:rsid w:val="31BC0750"/>
    <w:rsid w:val="31BC2E22"/>
    <w:rsid w:val="31CE7100"/>
    <w:rsid w:val="31D0304B"/>
    <w:rsid w:val="31D034AE"/>
    <w:rsid w:val="31D24712"/>
    <w:rsid w:val="31D2DF27"/>
    <w:rsid w:val="31D3182A"/>
    <w:rsid w:val="31D86BC4"/>
    <w:rsid w:val="31DD328F"/>
    <w:rsid w:val="31E1E0B4"/>
    <w:rsid w:val="31E2DDEC"/>
    <w:rsid w:val="31EE467F"/>
    <w:rsid w:val="31EE6190"/>
    <w:rsid w:val="31EFA40E"/>
    <w:rsid w:val="31EFC88E"/>
    <w:rsid w:val="31F14ECF"/>
    <w:rsid w:val="31FA096F"/>
    <w:rsid w:val="31FF33B3"/>
    <w:rsid w:val="3205649C"/>
    <w:rsid w:val="32069393"/>
    <w:rsid w:val="320A67A2"/>
    <w:rsid w:val="320AB027"/>
    <w:rsid w:val="320BA577"/>
    <w:rsid w:val="320CD487"/>
    <w:rsid w:val="32166E13"/>
    <w:rsid w:val="3216E5EC"/>
    <w:rsid w:val="321AC747"/>
    <w:rsid w:val="321C7A1D"/>
    <w:rsid w:val="32240BF5"/>
    <w:rsid w:val="32248761"/>
    <w:rsid w:val="32255FEF"/>
    <w:rsid w:val="322C9B98"/>
    <w:rsid w:val="322CA14B"/>
    <w:rsid w:val="3233A3BB"/>
    <w:rsid w:val="3239557B"/>
    <w:rsid w:val="323AE912"/>
    <w:rsid w:val="323C17A6"/>
    <w:rsid w:val="323C1807"/>
    <w:rsid w:val="323F3B62"/>
    <w:rsid w:val="3240B57E"/>
    <w:rsid w:val="3240EC8A"/>
    <w:rsid w:val="32472AC5"/>
    <w:rsid w:val="32486F41"/>
    <w:rsid w:val="324B6877"/>
    <w:rsid w:val="324DD548"/>
    <w:rsid w:val="325592D5"/>
    <w:rsid w:val="325625FF"/>
    <w:rsid w:val="325A3DCA"/>
    <w:rsid w:val="325B7B94"/>
    <w:rsid w:val="325D2548"/>
    <w:rsid w:val="325D61A8"/>
    <w:rsid w:val="32601B5F"/>
    <w:rsid w:val="3260E163"/>
    <w:rsid w:val="326472D3"/>
    <w:rsid w:val="3277594D"/>
    <w:rsid w:val="3279438E"/>
    <w:rsid w:val="3279D220"/>
    <w:rsid w:val="327E3B91"/>
    <w:rsid w:val="3288C7F8"/>
    <w:rsid w:val="328B7F9E"/>
    <w:rsid w:val="328F7750"/>
    <w:rsid w:val="328FE477"/>
    <w:rsid w:val="32956FF3"/>
    <w:rsid w:val="3299A245"/>
    <w:rsid w:val="329F1E1C"/>
    <w:rsid w:val="329F3A9F"/>
    <w:rsid w:val="32A3EDC9"/>
    <w:rsid w:val="32B38BE6"/>
    <w:rsid w:val="32B482AE"/>
    <w:rsid w:val="32B53AAD"/>
    <w:rsid w:val="32B636ED"/>
    <w:rsid w:val="32B8DE53"/>
    <w:rsid w:val="32B9F7D4"/>
    <w:rsid w:val="32BA3E28"/>
    <w:rsid w:val="32BC9345"/>
    <w:rsid w:val="32BEFF07"/>
    <w:rsid w:val="32C6D812"/>
    <w:rsid w:val="32DAD57F"/>
    <w:rsid w:val="32EA0712"/>
    <w:rsid w:val="32EAD561"/>
    <w:rsid w:val="32F19953"/>
    <w:rsid w:val="32F21C73"/>
    <w:rsid w:val="32F2A3F8"/>
    <w:rsid w:val="32FA4C9F"/>
    <w:rsid w:val="3307FB10"/>
    <w:rsid w:val="330EA8C6"/>
    <w:rsid w:val="330F0CCF"/>
    <w:rsid w:val="33150110"/>
    <w:rsid w:val="3319CD99"/>
    <w:rsid w:val="331B7A4E"/>
    <w:rsid w:val="331C8510"/>
    <w:rsid w:val="3320C27E"/>
    <w:rsid w:val="33251F5A"/>
    <w:rsid w:val="3327C9D3"/>
    <w:rsid w:val="332F490F"/>
    <w:rsid w:val="3331CC75"/>
    <w:rsid w:val="333343B3"/>
    <w:rsid w:val="333444AE"/>
    <w:rsid w:val="3334DD6F"/>
    <w:rsid w:val="3336D75E"/>
    <w:rsid w:val="333CD7A6"/>
    <w:rsid w:val="333E2794"/>
    <w:rsid w:val="333FDE53"/>
    <w:rsid w:val="33440716"/>
    <w:rsid w:val="3345386D"/>
    <w:rsid w:val="3346ACB8"/>
    <w:rsid w:val="3346D870"/>
    <w:rsid w:val="33497B5A"/>
    <w:rsid w:val="334A3716"/>
    <w:rsid w:val="334CCB8A"/>
    <w:rsid w:val="334CCE4F"/>
    <w:rsid w:val="335493C0"/>
    <w:rsid w:val="33557E54"/>
    <w:rsid w:val="3359122C"/>
    <w:rsid w:val="335B5C2E"/>
    <w:rsid w:val="335BD463"/>
    <w:rsid w:val="335CFAC1"/>
    <w:rsid w:val="335FE083"/>
    <w:rsid w:val="3360CE08"/>
    <w:rsid w:val="3361A79F"/>
    <w:rsid w:val="336A61FE"/>
    <w:rsid w:val="336AC8DE"/>
    <w:rsid w:val="336BB132"/>
    <w:rsid w:val="336D9201"/>
    <w:rsid w:val="336F4265"/>
    <w:rsid w:val="3370287B"/>
    <w:rsid w:val="3370CBCD"/>
    <w:rsid w:val="3376BA1E"/>
    <w:rsid w:val="337AFFEA"/>
    <w:rsid w:val="337C1645"/>
    <w:rsid w:val="337CAA1B"/>
    <w:rsid w:val="338F3FAA"/>
    <w:rsid w:val="33919772"/>
    <w:rsid w:val="33945755"/>
    <w:rsid w:val="339461AF"/>
    <w:rsid w:val="3396FE72"/>
    <w:rsid w:val="33A354F8"/>
    <w:rsid w:val="33A359D5"/>
    <w:rsid w:val="33A6D8BD"/>
    <w:rsid w:val="33A87BEB"/>
    <w:rsid w:val="33A99A7C"/>
    <w:rsid w:val="33AC7D9B"/>
    <w:rsid w:val="33AE07A1"/>
    <w:rsid w:val="33AE7B8B"/>
    <w:rsid w:val="33B0ABB6"/>
    <w:rsid w:val="33B10652"/>
    <w:rsid w:val="33B353B8"/>
    <w:rsid w:val="33B5E0FE"/>
    <w:rsid w:val="33B636B3"/>
    <w:rsid w:val="33BAD274"/>
    <w:rsid w:val="33C67823"/>
    <w:rsid w:val="33C87663"/>
    <w:rsid w:val="33CFF22B"/>
    <w:rsid w:val="33D1D6E2"/>
    <w:rsid w:val="33E01274"/>
    <w:rsid w:val="33E437C9"/>
    <w:rsid w:val="33E9943F"/>
    <w:rsid w:val="33EB6DEC"/>
    <w:rsid w:val="33EC70AB"/>
    <w:rsid w:val="33EE52B1"/>
    <w:rsid w:val="33F3DD1A"/>
    <w:rsid w:val="33F4352E"/>
    <w:rsid w:val="33F4A03A"/>
    <w:rsid w:val="33F519C1"/>
    <w:rsid w:val="33F65FD5"/>
    <w:rsid w:val="33F783FB"/>
    <w:rsid w:val="34024D47"/>
    <w:rsid w:val="340333A2"/>
    <w:rsid w:val="34073644"/>
    <w:rsid w:val="340D84D1"/>
    <w:rsid w:val="340DCC60"/>
    <w:rsid w:val="34137017"/>
    <w:rsid w:val="341D08EE"/>
    <w:rsid w:val="34228C13"/>
    <w:rsid w:val="342360AA"/>
    <w:rsid w:val="3423CD8A"/>
    <w:rsid w:val="34256D5D"/>
    <w:rsid w:val="34280756"/>
    <w:rsid w:val="342E80D2"/>
    <w:rsid w:val="342EFFE7"/>
    <w:rsid w:val="342F47B7"/>
    <w:rsid w:val="343166D1"/>
    <w:rsid w:val="3433B21F"/>
    <w:rsid w:val="34348A7E"/>
    <w:rsid w:val="34390B5D"/>
    <w:rsid w:val="3443998D"/>
    <w:rsid w:val="3445FEB0"/>
    <w:rsid w:val="34482B9E"/>
    <w:rsid w:val="344DFC98"/>
    <w:rsid w:val="344F0BAD"/>
    <w:rsid w:val="34516399"/>
    <w:rsid w:val="3454A1B8"/>
    <w:rsid w:val="34588F93"/>
    <w:rsid w:val="345FE243"/>
    <w:rsid w:val="3461DCDB"/>
    <w:rsid w:val="34653E8C"/>
    <w:rsid w:val="34666936"/>
    <w:rsid w:val="34691622"/>
    <w:rsid w:val="346B4C7F"/>
    <w:rsid w:val="346EF5E6"/>
    <w:rsid w:val="3470A9C3"/>
    <w:rsid w:val="34715A81"/>
    <w:rsid w:val="34731AFD"/>
    <w:rsid w:val="3476DB62"/>
    <w:rsid w:val="3476F31A"/>
    <w:rsid w:val="34772B02"/>
    <w:rsid w:val="3477C0FA"/>
    <w:rsid w:val="3477FC6C"/>
    <w:rsid w:val="347A927F"/>
    <w:rsid w:val="34809BEF"/>
    <w:rsid w:val="34840115"/>
    <w:rsid w:val="348583C9"/>
    <w:rsid w:val="348E9925"/>
    <w:rsid w:val="348ED590"/>
    <w:rsid w:val="3492FF22"/>
    <w:rsid w:val="3498EE5B"/>
    <w:rsid w:val="349BCB68"/>
    <w:rsid w:val="349C4232"/>
    <w:rsid w:val="349DB972"/>
    <w:rsid w:val="349F960F"/>
    <w:rsid w:val="34A7B787"/>
    <w:rsid w:val="34A7FF29"/>
    <w:rsid w:val="34A8742D"/>
    <w:rsid w:val="34AE802C"/>
    <w:rsid w:val="34B8AA6F"/>
    <w:rsid w:val="34BAFBE8"/>
    <w:rsid w:val="34BBF3CE"/>
    <w:rsid w:val="34BC49BC"/>
    <w:rsid w:val="34BCBF8D"/>
    <w:rsid w:val="34BCEA07"/>
    <w:rsid w:val="34BE23C0"/>
    <w:rsid w:val="34C0E144"/>
    <w:rsid w:val="34C1DD4B"/>
    <w:rsid w:val="34CC286A"/>
    <w:rsid w:val="34D712F0"/>
    <w:rsid w:val="34D81C1F"/>
    <w:rsid w:val="34D8D91B"/>
    <w:rsid w:val="34D8DAB1"/>
    <w:rsid w:val="34DAF1E9"/>
    <w:rsid w:val="34E5CDA3"/>
    <w:rsid w:val="34E60A98"/>
    <w:rsid w:val="34E6C8FD"/>
    <w:rsid w:val="34E7939A"/>
    <w:rsid w:val="34E7CF7E"/>
    <w:rsid w:val="34E801B6"/>
    <w:rsid w:val="34EE7D82"/>
    <w:rsid w:val="34F3109C"/>
    <w:rsid w:val="34F3F95E"/>
    <w:rsid w:val="34FAA8CB"/>
    <w:rsid w:val="34FD4CBB"/>
    <w:rsid w:val="3503EEC3"/>
    <w:rsid w:val="3504C1BA"/>
    <w:rsid w:val="350505D2"/>
    <w:rsid w:val="350F9097"/>
    <w:rsid w:val="350FC07F"/>
    <w:rsid w:val="3515F6F0"/>
    <w:rsid w:val="351AD299"/>
    <w:rsid w:val="351C97D8"/>
    <w:rsid w:val="351D39E8"/>
    <w:rsid w:val="35263814"/>
    <w:rsid w:val="35270824"/>
    <w:rsid w:val="3534BE84"/>
    <w:rsid w:val="35358E6A"/>
    <w:rsid w:val="3538E9EC"/>
    <w:rsid w:val="353AC094"/>
    <w:rsid w:val="353E69CD"/>
    <w:rsid w:val="353E83A1"/>
    <w:rsid w:val="353E94BD"/>
    <w:rsid w:val="354079AE"/>
    <w:rsid w:val="354A174F"/>
    <w:rsid w:val="354AF706"/>
    <w:rsid w:val="35518AE0"/>
    <w:rsid w:val="3556E6C3"/>
    <w:rsid w:val="3557CDE0"/>
    <w:rsid w:val="355C779A"/>
    <w:rsid w:val="355F82B7"/>
    <w:rsid w:val="356248BC"/>
    <w:rsid w:val="35649E08"/>
    <w:rsid w:val="356779F5"/>
    <w:rsid w:val="3569C4DC"/>
    <w:rsid w:val="356B0EEA"/>
    <w:rsid w:val="3571EF26"/>
    <w:rsid w:val="3572DDB1"/>
    <w:rsid w:val="357A1EC4"/>
    <w:rsid w:val="357FC863"/>
    <w:rsid w:val="35814A66"/>
    <w:rsid w:val="3585BF7B"/>
    <w:rsid w:val="3586875E"/>
    <w:rsid w:val="35883500"/>
    <w:rsid w:val="35887923"/>
    <w:rsid w:val="358C5D6A"/>
    <w:rsid w:val="358DE1E3"/>
    <w:rsid w:val="35940D61"/>
    <w:rsid w:val="359443C7"/>
    <w:rsid w:val="3596E095"/>
    <w:rsid w:val="35998861"/>
    <w:rsid w:val="35998EB4"/>
    <w:rsid w:val="359A6BC4"/>
    <w:rsid w:val="359C0347"/>
    <w:rsid w:val="359F870D"/>
    <w:rsid w:val="35A01D1B"/>
    <w:rsid w:val="35A27DE5"/>
    <w:rsid w:val="35A3C5B4"/>
    <w:rsid w:val="35AADF32"/>
    <w:rsid w:val="35AFA707"/>
    <w:rsid w:val="35B0588E"/>
    <w:rsid w:val="35B39209"/>
    <w:rsid w:val="35B4D384"/>
    <w:rsid w:val="35B651D3"/>
    <w:rsid w:val="35B7D5FD"/>
    <w:rsid w:val="35B84F6A"/>
    <w:rsid w:val="35B8F0BD"/>
    <w:rsid w:val="35B9D7FD"/>
    <w:rsid w:val="35BAE449"/>
    <w:rsid w:val="35BB3512"/>
    <w:rsid w:val="35C0F640"/>
    <w:rsid w:val="35C23CE5"/>
    <w:rsid w:val="35C3AB37"/>
    <w:rsid w:val="35C5F35E"/>
    <w:rsid w:val="35CB3777"/>
    <w:rsid w:val="35CCA92A"/>
    <w:rsid w:val="35CD7FD9"/>
    <w:rsid w:val="35DA1794"/>
    <w:rsid w:val="35DD4937"/>
    <w:rsid w:val="35DD5D0A"/>
    <w:rsid w:val="35E0AACC"/>
    <w:rsid w:val="35E2DEE2"/>
    <w:rsid w:val="35E517F8"/>
    <w:rsid w:val="35E9C58E"/>
    <w:rsid w:val="35EE494F"/>
    <w:rsid w:val="35F13962"/>
    <w:rsid w:val="35F18EB2"/>
    <w:rsid w:val="35F5BE45"/>
    <w:rsid w:val="35FBE0AD"/>
    <w:rsid w:val="35FC01FF"/>
    <w:rsid w:val="35FDD4E1"/>
    <w:rsid w:val="3600EE64"/>
    <w:rsid w:val="3604867D"/>
    <w:rsid w:val="36048716"/>
    <w:rsid w:val="360966C5"/>
    <w:rsid w:val="3612EFE5"/>
    <w:rsid w:val="3615AEC4"/>
    <w:rsid w:val="361DC17A"/>
    <w:rsid w:val="3620FBC9"/>
    <w:rsid w:val="36248B0D"/>
    <w:rsid w:val="36267FC0"/>
    <w:rsid w:val="3626922C"/>
    <w:rsid w:val="36280C39"/>
    <w:rsid w:val="362B67ED"/>
    <w:rsid w:val="362B9311"/>
    <w:rsid w:val="362D08CA"/>
    <w:rsid w:val="362F523A"/>
    <w:rsid w:val="363775D2"/>
    <w:rsid w:val="36387D2F"/>
    <w:rsid w:val="363C4F68"/>
    <w:rsid w:val="363D9A27"/>
    <w:rsid w:val="363E3806"/>
    <w:rsid w:val="36443D52"/>
    <w:rsid w:val="36474318"/>
    <w:rsid w:val="364FBB65"/>
    <w:rsid w:val="3651288A"/>
    <w:rsid w:val="36518A54"/>
    <w:rsid w:val="36581828"/>
    <w:rsid w:val="365B5517"/>
    <w:rsid w:val="365B7DAD"/>
    <w:rsid w:val="36612301"/>
    <w:rsid w:val="3661E7C2"/>
    <w:rsid w:val="3664974A"/>
    <w:rsid w:val="36653896"/>
    <w:rsid w:val="366640A0"/>
    <w:rsid w:val="3666BA71"/>
    <w:rsid w:val="366AC588"/>
    <w:rsid w:val="3674AFB2"/>
    <w:rsid w:val="3674C11E"/>
    <w:rsid w:val="3676B1DC"/>
    <w:rsid w:val="36783288"/>
    <w:rsid w:val="367EAF15"/>
    <w:rsid w:val="36823CFF"/>
    <w:rsid w:val="368459EB"/>
    <w:rsid w:val="36864A56"/>
    <w:rsid w:val="3687312B"/>
    <w:rsid w:val="3687E482"/>
    <w:rsid w:val="3688B2B5"/>
    <w:rsid w:val="36938B5B"/>
    <w:rsid w:val="3695D491"/>
    <w:rsid w:val="3697A28F"/>
    <w:rsid w:val="369ECC5A"/>
    <w:rsid w:val="36A09BA0"/>
    <w:rsid w:val="36A68D13"/>
    <w:rsid w:val="36A70B9E"/>
    <w:rsid w:val="36A945C2"/>
    <w:rsid w:val="36AA8B6B"/>
    <w:rsid w:val="36AACA31"/>
    <w:rsid w:val="36AEEC23"/>
    <w:rsid w:val="36B45067"/>
    <w:rsid w:val="36B8A96B"/>
    <w:rsid w:val="36B8EC9F"/>
    <w:rsid w:val="36BC847F"/>
    <w:rsid w:val="36BFE914"/>
    <w:rsid w:val="36CE830E"/>
    <w:rsid w:val="36D240FF"/>
    <w:rsid w:val="36D3FFF5"/>
    <w:rsid w:val="36D77C93"/>
    <w:rsid w:val="36D9AEB1"/>
    <w:rsid w:val="36DC9281"/>
    <w:rsid w:val="36E56E0C"/>
    <w:rsid w:val="36F23D8D"/>
    <w:rsid w:val="36F7872C"/>
    <w:rsid w:val="36FA8564"/>
    <w:rsid w:val="36FAB823"/>
    <w:rsid w:val="36FB16D1"/>
    <w:rsid w:val="36FD636B"/>
    <w:rsid w:val="36FDD744"/>
    <w:rsid w:val="3700D92C"/>
    <w:rsid w:val="3702828C"/>
    <w:rsid w:val="3704AEC2"/>
    <w:rsid w:val="37075FE2"/>
    <w:rsid w:val="3708A762"/>
    <w:rsid w:val="370DD709"/>
    <w:rsid w:val="370E4CE6"/>
    <w:rsid w:val="3712102C"/>
    <w:rsid w:val="371377DE"/>
    <w:rsid w:val="37178839"/>
    <w:rsid w:val="3721AC0B"/>
    <w:rsid w:val="3727C084"/>
    <w:rsid w:val="37298883"/>
    <w:rsid w:val="372CA146"/>
    <w:rsid w:val="372D89C2"/>
    <w:rsid w:val="3732C1FF"/>
    <w:rsid w:val="37364DE0"/>
    <w:rsid w:val="37375076"/>
    <w:rsid w:val="373811EC"/>
    <w:rsid w:val="373E3E6B"/>
    <w:rsid w:val="373E8841"/>
    <w:rsid w:val="3746FA54"/>
    <w:rsid w:val="3747EE67"/>
    <w:rsid w:val="37491938"/>
    <w:rsid w:val="374D344D"/>
    <w:rsid w:val="374ED39E"/>
    <w:rsid w:val="37513BFB"/>
    <w:rsid w:val="3754ED15"/>
    <w:rsid w:val="3755310B"/>
    <w:rsid w:val="3756C985"/>
    <w:rsid w:val="3758017B"/>
    <w:rsid w:val="37593C30"/>
    <w:rsid w:val="375C58AF"/>
    <w:rsid w:val="375F99DE"/>
    <w:rsid w:val="37603477"/>
    <w:rsid w:val="3760F4EF"/>
    <w:rsid w:val="37628D53"/>
    <w:rsid w:val="3763AD08"/>
    <w:rsid w:val="3768CF52"/>
    <w:rsid w:val="376AA62A"/>
    <w:rsid w:val="37700CB8"/>
    <w:rsid w:val="37714650"/>
    <w:rsid w:val="3772AE5E"/>
    <w:rsid w:val="3773F58E"/>
    <w:rsid w:val="3774A0EE"/>
    <w:rsid w:val="3776BEF7"/>
    <w:rsid w:val="37773E73"/>
    <w:rsid w:val="3778E126"/>
    <w:rsid w:val="377A34DA"/>
    <w:rsid w:val="377B0311"/>
    <w:rsid w:val="3782EC74"/>
    <w:rsid w:val="3783A588"/>
    <w:rsid w:val="37840E9F"/>
    <w:rsid w:val="37859D31"/>
    <w:rsid w:val="378662A5"/>
    <w:rsid w:val="37891E4A"/>
    <w:rsid w:val="37897122"/>
    <w:rsid w:val="378FA48C"/>
    <w:rsid w:val="378FCAD8"/>
    <w:rsid w:val="37914E50"/>
    <w:rsid w:val="3792CCC0"/>
    <w:rsid w:val="37992E0D"/>
    <w:rsid w:val="379B0ADE"/>
    <w:rsid w:val="37A0CEB7"/>
    <w:rsid w:val="37A2F2AC"/>
    <w:rsid w:val="37A37D66"/>
    <w:rsid w:val="37B3C261"/>
    <w:rsid w:val="37B7C5EF"/>
    <w:rsid w:val="37B7FFDD"/>
    <w:rsid w:val="37BA086A"/>
    <w:rsid w:val="37BC8EE8"/>
    <w:rsid w:val="37BD398A"/>
    <w:rsid w:val="37BE6F86"/>
    <w:rsid w:val="37C02B42"/>
    <w:rsid w:val="37C3EDD2"/>
    <w:rsid w:val="37C70C27"/>
    <w:rsid w:val="37D3EE58"/>
    <w:rsid w:val="37D71166"/>
    <w:rsid w:val="37E3C614"/>
    <w:rsid w:val="37E75F96"/>
    <w:rsid w:val="37E9E59A"/>
    <w:rsid w:val="37EE8813"/>
    <w:rsid w:val="37F4DB9A"/>
    <w:rsid w:val="37F83908"/>
    <w:rsid w:val="37F84B73"/>
    <w:rsid w:val="37FB2346"/>
    <w:rsid w:val="38009CBF"/>
    <w:rsid w:val="3808C37F"/>
    <w:rsid w:val="380A9F3B"/>
    <w:rsid w:val="380D4F22"/>
    <w:rsid w:val="380E55E9"/>
    <w:rsid w:val="380F98AB"/>
    <w:rsid w:val="380FF68A"/>
    <w:rsid w:val="38138DB1"/>
    <w:rsid w:val="3814E2F7"/>
    <w:rsid w:val="381B4BEA"/>
    <w:rsid w:val="381B82FC"/>
    <w:rsid w:val="381BCEA4"/>
    <w:rsid w:val="381F5FF4"/>
    <w:rsid w:val="3820BCA8"/>
    <w:rsid w:val="38236AED"/>
    <w:rsid w:val="382B419D"/>
    <w:rsid w:val="382B9992"/>
    <w:rsid w:val="382C4EE6"/>
    <w:rsid w:val="382EF3EC"/>
    <w:rsid w:val="383258BE"/>
    <w:rsid w:val="3838EF52"/>
    <w:rsid w:val="383A46B2"/>
    <w:rsid w:val="383D4F38"/>
    <w:rsid w:val="383E7854"/>
    <w:rsid w:val="38412F1D"/>
    <w:rsid w:val="38425955"/>
    <w:rsid w:val="3843B2BC"/>
    <w:rsid w:val="38446AD8"/>
    <w:rsid w:val="384933F1"/>
    <w:rsid w:val="384D2630"/>
    <w:rsid w:val="384F19F1"/>
    <w:rsid w:val="3854E0DF"/>
    <w:rsid w:val="385A4E9F"/>
    <w:rsid w:val="385D3DD3"/>
    <w:rsid w:val="3863A92E"/>
    <w:rsid w:val="386B5DA4"/>
    <w:rsid w:val="3881F66C"/>
    <w:rsid w:val="38859E13"/>
    <w:rsid w:val="3888190A"/>
    <w:rsid w:val="388A6FFF"/>
    <w:rsid w:val="388B1572"/>
    <w:rsid w:val="3894E77E"/>
    <w:rsid w:val="38962479"/>
    <w:rsid w:val="38988709"/>
    <w:rsid w:val="389C689E"/>
    <w:rsid w:val="38A37FD1"/>
    <w:rsid w:val="38A3B8F3"/>
    <w:rsid w:val="38A46DC8"/>
    <w:rsid w:val="38AA24E1"/>
    <w:rsid w:val="38B01C31"/>
    <w:rsid w:val="38B26068"/>
    <w:rsid w:val="38B53261"/>
    <w:rsid w:val="38B8023C"/>
    <w:rsid w:val="38B85EA5"/>
    <w:rsid w:val="38BB2551"/>
    <w:rsid w:val="38C63BD3"/>
    <w:rsid w:val="38C832F1"/>
    <w:rsid w:val="38C8E592"/>
    <w:rsid w:val="38CD3A87"/>
    <w:rsid w:val="38D140FA"/>
    <w:rsid w:val="38D388C9"/>
    <w:rsid w:val="38DBEC43"/>
    <w:rsid w:val="38DFAA25"/>
    <w:rsid w:val="38E20B07"/>
    <w:rsid w:val="38EDFB05"/>
    <w:rsid w:val="38EFE8B1"/>
    <w:rsid w:val="38EFF666"/>
    <w:rsid w:val="38F47D83"/>
    <w:rsid w:val="38F4D7CE"/>
    <w:rsid w:val="38F68658"/>
    <w:rsid w:val="3902556B"/>
    <w:rsid w:val="39058785"/>
    <w:rsid w:val="390E686E"/>
    <w:rsid w:val="390ED3CC"/>
    <w:rsid w:val="3912F13B"/>
    <w:rsid w:val="391303D0"/>
    <w:rsid w:val="39137BF9"/>
    <w:rsid w:val="3915C7A3"/>
    <w:rsid w:val="391AE4B3"/>
    <w:rsid w:val="391CDB66"/>
    <w:rsid w:val="39204220"/>
    <w:rsid w:val="392071AC"/>
    <w:rsid w:val="39221AF1"/>
    <w:rsid w:val="39278F28"/>
    <w:rsid w:val="39291F16"/>
    <w:rsid w:val="3929BD30"/>
    <w:rsid w:val="392CB7F8"/>
    <w:rsid w:val="393190D5"/>
    <w:rsid w:val="3936043F"/>
    <w:rsid w:val="39464884"/>
    <w:rsid w:val="39477C21"/>
    <w:rsid w:val="39481ECF"/>
    <w:rsid w:val="3948DB37"/>
    <w:rsid w:val="394BA061"/>
    <w:rsid w:val="394CD0D0"/>
    <w:rsid w:val="39547072"/>
    <w:rsid w:val="39552D05"/>
    <w:rsid w:val="3958E07E"/>
    <w:rsid w:val="39595A8C"/>
    <w:rsid w:val="39597464"/>
    <w:rsid w:val="395B35BB"/>
    <w:rsid w:val="39660BC7"/>
    <w:rsid w:val="3968B20E"/>
    <w:rsid w:val="396DC0DA"/>
    <w:rsid w:val="39746E6F"/>
    <w:rsid w:val="39750DF9"/>
    <w:rsid w:val="397641CE"/>
    <w:rsid w:val="397AB632"/>
    <w:rsid w:val="397B1D51"/>
    <w:rsid w:val="3980252F"/>
    <w:rsid w:val="39810EC9"/>
    <w:rsid w:val="3981EF77"/>
    <w:rsid w:val="39827DCA"/>
    <w:rsid w:val="3988E61B"/>
    <w:rsid w:val="398E2416"/>
    <w:rsid w:val="39957E28"/>
    <w:rsid w:val="399C06E6"/>
    <w:rsid w:val="399C4C6E"/>
    <w:rsid w:val="39AABF90"/>
    <w:rsid w:val="39AE35C2"/>
    <w:rsid w:val="39B03733"/>
    <w:rsid w:val="39B146CB"/>
    <w:rsid w:val="39B1DBA6"/>
    <w:rsid w:val="39B6B4E7"/>
    <w:rsid w:val="39B6B917"/>
    <w:rsid w:val="39B6F38C"/>
    <w:rsid w:val="39B7075B"/>
    <w:rsid w:val="39BC9623"/>
    <w:rsid w:val="39C3C896"/>
    <w:rsid w:val="39C3DFED"/>
    <w:rsid w:val="39CA685E"/>
    <w:rsid w:val="39CC21F2"/>
    <w:rsid w:val="39CEF876"/>
    <w:rsid w:val="39D00FE7"/>
    <w:rsid w:val="39D37759"/>
    <w:rsid w:val="39D64D49"/>
    <w:rsid w:val="39D8EF67"/>
    <w:rsid w:val="39DD73F0"/>
    <w:rsid w:val="39E26B0A"/>
    <w:rsid w:val="39E3DC60"/>
    <w:rsid w:val="39E5E732"/>
    <w:rsid w:val="39EFA406"/>
    <w:rsid w:val="39F0604D"/>
    <w:rsid w:val="39F8E94F"/>
    <w:rsid w:val="39FA3CA3"/>
    <w:rsid w:val="39FF69F8"/>
    <w:rsid w:val="3A001F17"/>
    <w:rsid w:val="3A01E2E9"/>
    <w:rsid w:val="3A052EE5"/>
    <w:rsid w:val="3A05FE20"/>
    <w:rsid w:val="3A0BE6BD"/>
    <w:rsid w:val="3A109642"/>
    <w:rsid w:val="3A153BC5"/>
    <w:rsid w:val="3A15A6A9"/>
    <w:rsid w:val="3A186F20"/>
    <w:rsid w:val="3A1B2CFF"/>
    <w:rsid w:val="3A259644"/>
    <w:rsid w:val="3A26A025"/>
    <w:rsid w:val="3A28BD2A"/>
    <w:rsid w:val="3A2A05D7"/>
    <w:rsid w:val="3A2BE074"/>
    <w:rsid w:val="3A2D306F"/>
    <w:rsid w:val="3A321468"/>
    <w:rsid w:val="3A3AC91A"/>
    <w:rsid w:val="3A3C1515"/>
    <w:rsid w:val="3A3E4462"/>
    <w:rsid w:val="3A4051E8"/>
    <w:rsid w:val="3A43C429"/>
    <w:rsid w:val="3A4B3F88"/>
    <w:rsid w:val="3A4C46DD"/>
    <w:rsid w:val="3A539F45"/>
    <w:rsid w:val="3A56C707"/>
    <w:rsid w:val="3A580D28"/>
    <w:rsid w:val="3A58FECA"/>
    <w:rsid w:val="3A5F15D5"/>
    <w:rsid w:val="3A6498A9"/>
    <w:rsid w:val="3A6600BC"/>
    <w:rsid w:val="3A683A3D"/>
    <w:rsid w:val="3A6D3EB5"/>
    <w:rsid w:val="3A7163BF"/>
    <w:rsid w:val="3A7382B7"/>
    <w:rsid w:val="3A75FAB4"/>
    <w:rsid w:val="3A7722A8"/>
    <w:rsid w:val="3A7AE599"/>
    <w:rsid w:val="3A7CDD27"/>
    <w:rsid w:val="3A7D80AC"/>
    <w:rsid w:val="3A7E583F"/>
    <w:rsid w:val="3A7EF940"/>
    <w:rsid w:val="3A83D193"/>
    <w:rsid w:val="3A845BB3"/>
    <w:rsid w:val="3A8963BB"/>
    <w:rsid w:val="3A897D60"/>
    <w:rsid w:val="3A97CE3D"/>
    <w:rsid w:val="3A981D0C"/>
    <w:rsid w:val="3A9863D3"/>
    <w:rsid w:val="3A9AEAE2"/>
    <w:rsid w:val="3A9D1D0C"/>
    <w:rsid w:val="3A9E0143"/>
    <w:rsid w:val="3AA3C937"/>
    <w:rsid w:val="3AA61D19"/>
    <w:rsid w:val="3AA652FA"/>
    <w:rsid w:val="3AB06BB4"/>
    <w:rsid w:val="3AB08C40"/>
    <w:rsid w:val="3AB6108D"/>
    <w:rsid w:val="3AB84052"/>
    <w:rsid w:val="3ABD29A9"/>
    <w:rsid w:val="3ABED85C"/>
    <w:rsid w:val="3AC28648"/>
    <w:rsid w:val="3ACFD117"/>
    <w:rsid w:val="3AD24F27"/>
    <w:rsid w:val="3AD28EE4"/>
    <w:rsid w:val="3ADA4512"/>
    <w:rsid w:val="3ADB6400"/>
    <w:rsid w:val="3ADDF131"/>
    <w:rsid w:val="3AEC84F2"/>
    <w:rsid w:val="3AECBC0F"/>
    <w:rsid w:val="3AF6B051"/>
    <w:rsid w:val="3AFAB62F"/>
    <w:rsid w:val="3AFB44A6"/>
    <w:rsid w:val="3AFC14BB"/>
    <w:rsid w:val="3AFCC3C2"/>
    <w:rsid w:val="3B026560"/>
    <w:rsid w:val="3B053A2A"/>
    <w:rsid w:val="3B07300A"/>
    <w:rsid w:val="3B167C93"/>
    <w:rsid w:val="3B175473"/>
    <w:rsid w:val="3B191257"/>
    <w:rsid w:val="3B1E2E2E"/>
    <w:rsid w:val="3B1EA26C"/>
    <w:rsid w:val="3B1F2F8A"/>
    <w:rsid w:val="3B21DC3D"/>
    <w:rsid w:val="3B23E35F"/>
    <w:rsid w:val="3B287E81"/>
    <w:rsid w:val="3B2BFABF"/>
    <w:rsid w:val="3B2CE44F"/>
    <w:rsid w:val="3B2DC42E"/>
    <w:rsid w:val="3B325F03"/>
    <w:rsid w:val="3B42ECDB"/>
    <w:rsid w:val="3B44C732"/>
    <w:rsid w:val="3B4B31B1"/>
    <w:rsid w:val="3B53A26D"/>
    <w:rsid w:val="3B559582"/>
    <w:rsid w:val="3B5BD580"/>
    <w:rsid w:val="3B5D4B6F"/>
    <w:rsid w:val="3B634169"/>
    <w:rsid w:val="3B69F433"/>
    <w:rsid w:val="3B6FD3C7"/>
    <w:rsid w:val="3B733748"/>
    <w:rsid w:val="3B77D6CF"/>
    <w:rsid w:val="3B7B9E45"/>
    <w:rsid w:val="3B7BBFDB"/>
    <w:rsid w:val="3B7CEB60"/>
    <w:rsid w:val="3B7D9011"/>
    <w:rsid w:val="3B802514"/>
    <w:rsid w:val="3B850845"/>
    <w:rsid w:val="3B8AA052"/>
    <w:rsid w:val="3B9081FC"/>
    <w:rsid w:val="3B90F58E"/>
    <w:rsid w:val="3B9482D8"/>
    <w:rsid w:val="3B97227E"/>
    <w:rsid w:val="3B988B69"/>
    <w:rsid w:val="3BA1FF09"/>
    <w:rsid w:val="3BA21019"/>
    <w:rsid w:val="3BA3A62D"/>
    <w:rsid w:val="3BA437F8"/>
    <w:rsid w:val="3BA7562D"/>
    <w:rsid w:val="3BAAFB90"/>
    <w:rsid w:val="3BABB2B8"/>
    <w:rsid w:val="3BAFAA40"/>
    <w:rsid w:val="3BB04ECC"/>
    <w:rsid w:val="3BBA3D52"/>
    <w:rsid w:val="3BBBD522"/>
    <w:rsid w:val="3BBECC84"/>
    <w:rsid w:val="3BC56D33"/>
    <w:rsid w:val="3BCA690B"/>
    <w:rsid w:val="3BCCB3E4"/>
    <w:rsid w:val="3BCEA40D"/>
    <w:rsid w:val="3BCFC082"/>
    <w:rsid w:val="3BD04AFA"/>
    <w:rsid w:val="3BD8A770"/>
    <w:rsid w:val="3BD96154"/>
    <w:rsid w:val="3BDF6F1B"/>
    <w:rsid w:val="3BE3EB3E"/>
    <w:rsid w:val="3BE84D66"/>
    <w:rsid w:val="3BE9AAA8"/>
    <w:rsid w:val="3BEC919F"/>
    <w:rsid w:val="3BECA99B"/>
    <w:rsid w:val="3BEF924C"/>
    <w:rsid w:val="3BF1CC4C"/>
    <w:rsid w:val="3BF269D8"/>
    <w:rsid w:val="3BFCE87D"/>
    <w:rsid w:val="3BFEA200"/>
    <w:rsid w:val="3C064140"/>
    <w:rsid w:val="3C0BB12D"/>
    <w:rsid w:val="3C0DA945"/>
    <w:rsid w:val="3C1269FB"/>
    <w:rsid w:val="3C1467ED"/>
    <w:rsid w:val="3C14D1B3"/>
    <w:rsid w:val="3C152A28"/>
    <w:rsid w:val="3C19F129"/>
    <w:rsid w:val="3C21581E"/>
    <w:rsid w:val="3C2251F7"/>
    <w:rsid w:val="3C22CCE9"/>
    <w:rsid w:val="3C24334D"/>
    <w:rsid w:val="3C26EE97"/>
    <w:rsid w:val="3C275408"/>
    <w:rsid w:val="3C2E54A0"/>
    <w:rsid w:val="3C2F21C6"/>
    <w:rsid w:val="3C309655"/>
    <w:rsid w:val="3C319038"/>
    <w:rsid w:val="3C3CD93B"/>
    <w:rsid w:val="3C412046"/>
    <w:rsid w:val="3C4D23DB"/>
    <w:rsid w:val="3C53AEE2"/>
    <w:rsid w:val="3C5455DC"/>
    <w:rsid w:val="3C54D8F0"/>
    <w:rsid w:val="3C563E64"/>
    <w:rsid w:val="3C5F88C3"/>
    <w:rsid w:val="3C635BF9"/>
    <w:rsid w:val="3C686FCB"/>
    <w:rsid w:val="3C6E198D"/>
    <w:rsid w:val="3C721B8E"/>
    <w:rsid w:val="3C75F2AF"/>
    <w:rsid w:val="3C76ECC7"/>
    <w:rsid w:val="3C7ABAEE"/>
    <w:rsid w:val="3C7C5F36"/>
    <w:rsid w:val="3C7CBD09"/>
    <w:rsid w:val="3C804C13"/>
    <w:rsid w:val="3C8140FD"/>
    <w:rsid w:val="3C8449ED"/>
    <w:rsid w:val="3C8B8512"/>
    <w:rsid w:val="3C8FE56C"/>
    <w:rsid w:val="3C94CFC3"/>
    <w:rsid w:val="3C954CF0"/>
    <w:rsid w:val="3C969E67"/>
    <w:rsid w:val="3C9874F7"/>
    <w:rsid w:val="3C9D70F4"/>
    <w:rsid w:val="3C9DA3F2"/>
    <w:rsid w:val="3C9FFC7F"/>
    <w:rsid w:val="3CA68E55"/>
    <w:rsid w:val="3CA702CA"/>
    <w:rsid w:val="3CAA0755"/>
    <w:rsid w:val="3CAE1B93"/>
    <w:rsid w:val="3CB0BE2E"/>
    <w:rsid w:val="3CB145EC"/>
    <w:rsid w:val="3CB18B25"/>
    <w:rsid w:val="3CB2F541"/>
    <w:rsid w:val="3CB99C19"/>
    <w:rsid w:val="3CBA2FC2"/>
    <w:rsid w:val="3CBCCFC0"/>
    <w:rsid w:val="3CC01C9D"/>
    <w:rsid w:val="3CC055FA"/>
    <w:rsid w:val="3CC18398"/>
    <w:rsid w:val="3CC4BA04"/>
    <w:rsid w:val="3CC9329C"/>
    <w:rsid w:val="3CC9D1E4"/>
    <w:rsid w:val="3CCA0167"/>
    <w:rsid w:val="3CCF9943"/>
    <w:rsid w:val="3CCFBE40"/>
    <w:rsid w:val="3CD0B89F"/>
    <w:rsid w:val="3CD43796"/>
    <w:rsid w:val="3CD96723"/>
    <w:rsid w:val="3CDCD41D"/>
    <w:rsid w:val="3CE08DCE"/>
    <w:rsid w:val="3CE180AA"/>
    <w:rsid w:val="3CE48FAA"/>
    <w:rsid w:val="3CE8F3FE"/>
    <w:rsid w:val="3CECD570"/>
    <w:rsid w:val="3CF13099"/>
    <w:rsid w:val="3CF4B6EB"/>
    <w:rsid w:val="3CF970F4"/>
    <w:rsid w:val="3D00FF1D"/>
    <w:rsid w:val="3D04AEB3"/>
    <w:rsid w:val="3D04F8D8"/>
    <w:rsid w:val="3D0784EE"/>
    <w:rsid w:val="3D0ADBF8"/>
    <w:rsid w:val="3D0C2105"/>
    <w:rsid w:val="3D19630E"/>
    <w:rsid w:val="3D1F026F"/>
    <w:rsid w:val="3D211BA3"/>
    <w:rsid w:val="3D27FAAD"/>
    <w:rsid w:val="3D2998C8"/>
    <w:rsid w:val="3D2BBFE4"/>
    <w:rsid w:val="3D2C7273"/>
    <w:rsid w:val="3D2DABDF"/>
    <w:rsid w:val="3D2DDB36"/>
    <w:rsid w:val="3D355484"/>
    <w:rsid w:val="3D374E62"/>
    <w:rsid w:val="3D37A276"/>
    <w:rsid w:val="3D3B7D37"/>
    <w:rsid w:val="3D3F1162"/>
    <w:rsid w:val="3D413A48"/>
    <w:rsid w:val="3D4300B7"/>
    <w:rsid w:val="3D49BF43"/>
    <w:rsid w:val="3D4BFFBC"/>
    <w:rsid w:val="3D4CB9CC"/>
    <w:rsid w:val="3D4DACF7"/>
    <w:rsid w:val="3D518FE8"/>
    <w:rsid w:val="3D51AD46"/>
    <w:rsid w:val="3D51CBAD"/>
    <w:rsid w:val="3D5920F1"/>
    <w:rsid w:val="3D5C509E"/>
    <w:rsid w:val="3D5DB862"/>
    <w:rsid w:val="3D5F1591"/>
    <w:rsid w:val="3D5F41A3"/>
    <w:rsid w:val="3D60D5CD"/>
    <w:rsid w:val="3D619A8C"/>
    <w:rsid w:val="3D63BDC6"/>
    <w:rsid w:val="3D64AF6B"/>
    <w:rsid w:val="3D6920C6"/>
    <w:rsid w:val="3D6A1081"/>
    <w:rsid w:val="3D6D8059"/>
    <w:rsid w:val="3D6E643E"/>
    <w:rsid w:val="3D77B998"/>
    <w:rsid w:val="3D78F246"/>
    <w:rsid w:val="3D7E5305"/>
    <w:rsid w:val="3D843A8F"/>
    <w:rsid w:val="3D87EC79"/>
    <w:rsid w:val="3D899EF0"/>
    <w:rsid w:val="3D89F715"/>
    <w:rsid w:val="3D9F025C"/>
    <w:rsid w:val="3D9F4D55"/>
    <w:rsid w:val="3D9FC6F2"/>
    <w:rsid w:val="3DA73028"/>
    <w:rsid w:val="3DA79CE4"/>
    <w:rsid w:val="3DAA1111"/>
    <w:rsid w:val="3DAC4988"/>
    <w:rsid w:val="3DB33101"/>
    <w:rsid w:val="3DB3BC7A"/>
    <w:rsid w:val="3DB5AC44"/>
    <w:rsid w:val="3DB61EC5"/>
    <w:rsid w:val="3DB70E16"/>
    <w:rsid w:val="3DB81649"/>
    <w:rsid w:val="3DBAB145"/>
    <w:rsid w:val="3DBD6265"/>
    <w:rsid w:val="3DCE1E21"/>
    <w:rsid w:val="3DCF4A2E"/>
    <w:rsid w:val="3DD1A597"/>
    <w:rsid w:val="3DD6E3A5"/>
    <w:rsid w:val="3DD8987A"/>
    <w:rsid w:val="3DE38470"/>
    <w:rsid w:val="3DE5DC2B"/>
    <w:rsid w:val="3DE714D0"/>
    <w:rsid w:val="3DEBAF97"/>
    <w:rsid w:val="3DEDFC93"/>
    <w:rsid w:val="3DEFCB69"/>
    <w:rsid w:val="3DF423EB"/>
    <w:rsid w:val="3DFAFADB"/>
    <w:rsid w:val="3DFF9C62"/>
    <w:rsid w:val="3E0009AA"/>
    <w:rsid w:val="3E02AA1C"/>
    <w:rsid w:val="3E069038"/>
    <w:rsid w:val="3E06FEEA"/>
    <w:rsid w:val="3E093A58"/>
    <w:rsid w:val="3E0D93AE"/>
    <w:rsid w:val="3E0F7A1B"/>
    <w:rsid w:val="3E0FD7C8"/>
    <w:rsid w:val="3E1768B7"/>
    <w:rsid w:val="3E195081"/>
    <w:rsid w:val="3E22E5E1"/>
    <w:rsid w:val="3E237F24"/>
    <w:rsid w:val="3E241E5F"/>
    <w:rsid w:val="3E25B640"/>
    <w:rsid w:val="3E29971A"/>
    <w:rsid w:val="3E29C2B0"/>
    <w:rsid w:val="3E2B544A"/>
    <w:rsid w:val="3E2E58DD"/>
    <w:rsid w:val="3E2F9B3A"/>
    <w:rsid w:val="3E31AC1E"/>
    <w:rsid w:val="3E34D75B"/>
    <w:rsid w:val="3E358542"/>
    <w:rsid w:val="3E3804D6"/>
    <w:rsid w:val="3E3B6778"/>
    <w:rsid w:val="3E3C31F8"/>
    <w:rsid w:val="3E3CBAD7"/>
    <w:rsid w:val="3E3E7B1C"/>
    <w:rsid w:val="3E3E89AD"/>
    <w:rsid w:val="3E3F9520"/>
    <w:rsid w:val="3E463651"/>
    <w:rsid w:val="3E4CFA30"/>
    <w:rsid w:val="3E4EE682"/>
    <w:rsid w:val="3E546B18"/>
    <w:rsid w:val="3E54C2A7"/>
    <w:rsid w:val="3E59F83E"/>
    <w:rsid w:val="3E5B18B0"/>
    <w:rsid w:val="3E5C803A"/>
    <w:rsid w:val="3E5D0EDF"/>
    <w:rsid w:val="3E5F2A0C"/>
    <w:rsid w:val="3E684AA7"/>
    <w:rsid w:val="3E6D195E"/>
    <w:rsid w:val="3E73350A"/>
    <w:rsid w:val="3E770493"/>
    <w:rsid w:val="3E78721C"/>
    <w:rsid w:val="3E794479"/>
    <w:rsid w:val="3E7D0B6D"/>
    <w:rsid w:val="3E7D589E"/>
    <w:rsid w:val="3E7ECB1A"/>
    <w:rsid w:val="3E893248"/>
    <w:rsid w:val="3E8B27AE"/>
    <w:rsid w:val="3E8FF573"/>
    <w:rsid w:val="3E9285C9"/>
    <w:rsid w:val="3E94CE90"/>
    <w:rsid w:val="3E971481"/>
    <w:rsid w:val="3E9B59DA"/>
    <w:rsid w:val="3E9F9985"/>
    <w:rsid w:val="3EA03D3E"/>
    <w:rsid w:val="3EA17FAF"/>
    <w:rsid w:val="3EA44435"/>
    <w:rsid w:val="3EA9DA5C"/>
    <w:rsid w:val="3EAEC7CA"/>
    <w:rsid w:val="3EB12144"/>
    <w:rsid w:val="3EB36327"/>
    <w:rsid w:val="3EB4B2E7"/>
    <w:rsid w:val="3EB4E81B"/>
    <w:rsid w:val="3EB5235D"/>
    <w:rsid w:val="3EBA0A3A"/>
    <w:rsid w:val="3EBF243D"/>
    <w:rsid w:val="3EBF7E13"/>
    <w:rsid w:val="3EC3D130"/>
    <w:rsid w:val="3EC3E28B"/>
    <w:rsid w:val="3ECA166A"/>
    <w:rsid w:val="3ED8329A"/>
    <w:rsid w:val="3EDD1C92"/>
    <w:rsid w:val="3EDD202A"/>
    <w:rsid w:val="3EE2065E"/>
    <w:rsid w:val="3EE55A64"/>
    <w:rsid w:val="3EE74919"/>
    <w:rsid w:val="3EE865CA"/>
    <w:rsid w:val="3EE88099"/>
    <w:rsid w:val="3EF65EF4"/>
    <w:rsid w:val="3EF887ED"/>
    <w:rsid w:val="3EF8E264"/>
    <w:rsid w:val="3F041C6F"/>
    <w:rsid w:val="3F0AC6D9"/>
    <w:rsid w:val="3F109300"/>
    <w:rsid w:val="3F172AF6"/>
    <w:rsid w:val="3F1B9BCC"/>
    <w:rsid w:val="3F1D0267"/>
    <w:rsid w:val="3F1EC9D2"/>
    <w:rsid w:val="3F1F04C3"/>
    <w:rsid w:val="3F1F5912"/>
    <w:rsid w:val="3F22B9C3"/>
    <w:rsid w:val="3F23BC78"/>
    <w:rsid w:val="3F25608C"/>
    <w:rsid w:val="3F267894"/>
    <w:rsid w:val="3F26E37B"/>
    <w:rsid w:val="3F285663"/>
    <w:rsid w:val="3F2F61EC"/>
    <w:rsid w:val="3F36C1C0"/>
    <w:rsid w:val="3F37D206"/>
    <w:rsid w:val="3F3884AD"/>
    <w:rsid w:val="3F3ED3B5"/>
    <w:rsid w:val="3F3F07C7"/>
    <w:rsid w:val="3F403B2C"/>
    <w:rsid w:val="3F4094B3"/>
    <w:rsid w:val="3F42B226"/>
    <w:rsid w:val="3F439BCA"/>
    <w:rsid w:val="3F4BCFA6"/>
    <w:rsid w:val="3F50EBF7"/>
    <w:rsid w:val="3F52DE77"/>
    <w:rsid w:val="3F5525C3"/>
    <w:rsid w:val="3F56D55A"/>
    <w:rsid w:val="3F577DD8"/>
    <w:rsid w:val="3F57E778"/>
    <w:rsid w:val="3F5914AC"/>
    <w:rsid w:val="3F5D4E59"/>
    <w:rsid w:val="3F63EAE1"/>
    <w:rsid w:val="3F6465AA"/>
    <w:rsid w:val="3F704C4C"/>
    <w:rsid w:val="3F737AD4"/>
    <w:rsid w:val="3F7650F4"/>
    <w:rsid w:val="3F853A27"/>
    <w:rsid w:val="3F860E4E"/>
    <w:rsid w:val="3F89454B"/>
    <w:rsid w:val="3F8A9172"/>
    <w:rsid w:val="3F903EAC"/>
    <w:rsid w:val="3F90DBA1"/>
    <w:rsid w:val="3F90F06C"/>
    <w:rsid w:val="3F927FAC"/>
    <w:rsid w:val="3F92F92D"/>
    <w:rsid w:val="3F93A423"/>
    <w:rsid w:val="3F9849EF"/>
    <w:rsid w:val="3F9D2295"/>
    <w:rsid w:val="3F9DDB6E"/>
    <w:rsid w:val="3F9F3A24"/>
    <w:rsid w:val="3FA68C2A"/>
    <w:rsid w:val="3FA878F2"/>
    <w:rsid w:val="3FA9F0B3"/>
    <w:rsid w:val="3FAE1526"/>
    <w:rsid w:val="3FB1470C"/>
    <w:rsid w:val="3FB1574E"/>
    <w:rsid w:val="3FB3009C"/>
    <w:rsid w:val="3FB6027C"/>
    <w:rsid w:val="3FBADADB"/>
    <w:rsid w:val="3FC75378"/>
    <w:rsid w:val="3FC95805"/>
    <w:rsid w:val="3FCB0B75"/>
    <w:rsid w:val="3FD181A5"/>
    <w:rsid w:val="3FD28C27"/>
    <w:rsid w:val="3FD2CA70"/>
    <w:rsid w:val="3FD568C7"/>
    <w:rsid w:val="3FD7F8C6"/>
    <w:rsid w:val="3FDB2A35"/>
    <w:rsid w:val="3FDBF2B4"/>
    <w:rsid w:val="3FDEEBB2"/>
    <w:rsid w:val="3FE0B193"/>
    <w:rsid w:val="3FE5E843"/>
    <w:rsid w:val="3FE9BBC7"/>
    <w:rsid w:val="3FEE7747"/>
    <w:rsid w:val="3FF1D50C"/>
    <w:rsid w:val="3FF68160"/>
    <w:rsid w:val="3FFE6DEB"/>
    <w:rsid w:val="4004F305"/>
    <w:rsid w:val="4009CB82"/>
    <w:rsid w:val="400AF005"/>
    <w:rsid w:val="400F505F"/>
    <w:rsid w:val="400FA8BB"/>
    <w:rsid w:val="40109289"/>
    <w:rsid w:val="4011870F"/>
    <w:rsid w:val="4015B5F4"/>
    <w:rsid w:val="4015E6E3"/>
    <w:rsid w:val="401709E6"/>
    <w:rsid w:val="40179D09"/>
    <w:rsid w:val="401F7B81"/>
    <w:rsid w:val="40208244"/>
    <w:rsid w:val="4020F670"/>
    <w:rsid w:val="40212E6D"/>
    <w:rsid w:val="40232A88"/>
    <w:rsid w:val="4023B8C8"/>
    <w:rsid w:val="402556A7"/>
    <w:rsid w:val="4032F18A"/>
    <w:rsid w:val="40332F0F"/>
    <w:rsid w:val="40358C97"/>
    <w:rsid w:val="4036AF71"/>
    <w:rsid w:val="403B0BF1"/>
    <w:rsid w:val="403C8CBC"/>
    <w:rsid w:val="4040FC6E"/>
    <w:rsid w:val="4041495C"/>
    <w:rsid w:val="40484006"/>
    <w:rsid w:val="40489400"/>
    <w:rsid w:val="4049F6AF"/>
    <w:rsid w:val="404CBBCA"/>
    <w:rsid w:val="405163A2"/>
    <w:rsid w:val="4057D103"/>
    <w:rsid w:val="40580191"/>
    <w:rsid w:val="4058A2C1"/>
    <w:rsid w:val="405B3231"/>
    <w:rsid w:val="405D6A95"/>
    <w:rsid w:val="405E3D03"/>
    <w:rsid w:val="40605457"/>
    <w:rsid w:val="40607064"/>
    <w:rsid w:val="4061DB1D"/>
    <w:rsid w:val="40624CD2"/>
    <w:rsid w:val="4062F9C3"/>
    <w:rsid w:val="406626E4"/>
    <w:rsid w:val="40696C4F"/>
    <w:rsid w:val="406AC507"/>
    <w:rsid w:val="406AE771"/>
    <w:rsid w:val="406C8BE2"/>
    <w:rsid w:val="4071BF92"/>
    <w:rsid w:val="4074BFEC"/>
    <w:rsid w:val="40762FBE"/>
    <w:rsid w:val="40791186"/>
    <w:rsid w:val="407A8864"/>
    <w:rsid w:val="40843CB9"/>
    <w:rsid w:val="40844840"/>
    <w:rsid w:val="408527B1"/>
    <w:rsid w:val="408EF72D"/>
    <w:rsid w:val="408F7BB2"/>
    <w:rsid w:val="40922F55"/>
    <w:rsid w:val="40928DA6"/>
    <w:rsid w:val="40933BF9"/>
    <w:rsid w:val="4099A95E"/>
    <w:rsid w:val="409FDD86"/>
    <w:rsid w:val="40A16E20"/>
    <w:rsid w:val="40A875F8"/>
    <w:rsid w:val="40AD3755"/>
    <w:rsid w:val="40AFB812"/>
    <w:rsid w:val="40B331D5"/>
    <w:rsid w:val="40B4AA8C"/>
    <w:rsid w:val="40C0E17B"/>
    <w:rsid w:val="40CBD74E"/>
    <w:rsid w:val="40D04A27"/>
    <w:rsid w:val="40D41B68"/>
    <w:rsid w:val="40D53AE8"/>
    <w:rsid w:val="40D7ED7F"/>
    <w:rsid w:val="40D95C3A"/>
    <w:rsid w:val="40DCE4C6"/>
    <w:rsid w:val="40DF9D0F"/>
    <w:rsid w:val="40E61DB0"/>
    <w:rsid w:val="40EDB2FC"/>
    <w:rsid w:val="40EE5F61"/>
    <w:rsid w:val="40EF6C4D"/>
    <w:rsid w:val="40EF9A6D"/>
    <w:rsid w:val="40F1B574"/>
    <w:rsid w:val="40F1D6DE"/>
    <w:rsid w:val="40F4CDB0"/>
    <w:rsid w:val="40F4FDFD"/>
    <w:rsid w:val="40F7A6FD"/>
    <w:rsid w:val="40FA2C4D"/>
    <w:rsid w:val="40FB2987"/>
    <w:rsid w:val="40FDFA53"/>
    <w:rsid w:val="40FE89C5"/>
    <w:rsid w:val="4109C565"/>
    <w:rsid w:val="410D51FF"/>
    <w:rsid w:val="410D5C96"/>
    <w:rsid w:val="410D8906"/>
    <w:rsid w:val="4111864D"/>
    <w:rsid w:val="4112B15B"/>
    <w:rsid w:val="41170098"/>
    <w:rsid w:val="41180E2D"/>
    <w:rsid w:val="41184FAC"/>
    <w:rsid w:val="4118C19F"/>
    <w:rsid w:val="411C0714"/>
    <w:rsid w:val="4122783A"/>
    <w:rsid w:val="4123852E"/>
    <w:rsid w:val="4124D7E1"/>
    <w:rsid w:val="41257AB4"/>
    <w:rsid w:val="412828F9"/>
    <w:rsid w:val="41336FBB"/>
    <w:rsid w:val="4137F716"/>
    <w:rsid w:val="413818FC"/>
    <w:rsid w:val="413CEFE7"/>
    <w:rsid w:val="413EBD10"/>
    <w:rsid w:val="4145D982"/>
    <w:rsid w:val="414689FE"/>
    <w:rsid w:val="41513E44"/>
    <w:rsid w:val="41522111"/>
    <w:rsid w:val="41537401"/>
    <w:rsid w:val="4155ABAC"/>
    <w:rsid w:val="4155D3A9"/>
    <w:rsid w:val="415657A7"/>
    <w:rsid w:val="41600FDA"/>
    <w:rsid w:val="4161F071"/>
    <w:rsid w:val="4163AE70"/>
    <w:rsid w:val="4165D2C1"/>
    <w:rsid w:val="416E8506"/>
    <w:rsid w:val="416F848C"/>
    <w:rsid w:val="41760EF9"/>
    <w:rsid w:val="4176993D"/>
    <w:rsid w:val="41779F57"/>
    <w:rsid w:val="4177E8E8"/>
    <w:rsid w:val="4179AA0A"/>
    <w:rsid w:val="4179AB4A"/>
    <w:rsid w:val="417A963D"/>
    <w:rsid w:val="417D6BD4"/>
    <w:rsid w:val="417F5124"/>
    <w:rsid w:val="418B3E2D"/>
    <w:rsid w:val="418C3ABF"/>
    <w:rsid w:val="4192AC08"/>
    <w:rsid w:val="4197E407"/>
    <w:rsid w:val="41A12BE9"/>
    <w:rsid w:val="41A5357E"/>
    <w:rsid w:val="41A578C0"/>
    <w:rsid w:val="41A680FF"/>
    <w:rsid w:val="41A7BA0A"/>
    <w:rsid w:val="41A81A40"/>
    <w:rsid w:val="41A8E330"/>
    <w:rsid w:val="41AA618B"/>
    <w:rsid w:val="41AAD971"/>
    <w:rsid w:val="41AE04BC"/>
    <w:rsid w:val="41B55B1F"/>
    <w:rsid w:val="41BA8E65"/>
    <w:rsid w:val="41C0A69D"/>
    <w:rsid w:val="41C38F3B"/>
    <w:rsid w:val="41C476D4"/>
    <w:rsid w:val="41C57A51"/>
    <w:rsid w:val="41CD71C6"/>
    <w:rsid w:val="41D1A8A4"/>
    <w:rsid w:val="41D2080A"/>
    <w:rsid w:val="41D5AA46"/>
    <w:rsid w:val="41DBB17D"/>
    <w:rsid w:val="41DDB749"/>
    <w:rsid w:val="41E0BADD"/>
    <w:rsid w:val="41EAD612"/>
    <w:rsid w:val="41EB410D"/>
    <w:rsid w:val="41EE0799"/>
    <w:rsid w:val="41F0236E"/>
    <w:rsid w:val="41F8F0E2"/>
    <w:rsid w:val="4200680C"/>
    <w:rsid w:val="4203FB34"/>
    <w:rsid w:val="4208387C"/>
    <w:rsid w:val="420A86F9"/>
    <w:rsid w:val="421210AC"/>
    <w:rsid w:val="4218438A"/>
    <w:rsid w:val="421BCB3C"/>
    <w:rsid w:val="421EFE5A"/>
    <w:rsid w:val="42260122"/>
    <w:rsid w:val="42289110"/>
    <w:rsid w:val="4228F1C4"/>
    <w:rsid w:val="4229A96A"/>
    <w:rsid w:val="42308D0B"/>
    <w:rsid w:val="423B0113"/>
    <w:rsid w:val="423B53B9"/>
    <w:rsid w:val="423CBD0F"/>
    <w:rsid w:val="4245E4DA"/>
    <w:rsid w:val="424AEEB0"/>
    <w:rsid w:val="42509EDF"/>
    <w:rsid w:val="42531786"/>
    <w:rsid w:val="425D33BC"/>
    <w:rsid w:val="425D8C2D"/>
    <w:rsid w:val="42622ECC"/>
    <w:rsid w:val="4265569A"/>
    <w:rsid w:val="4269C4BC"/>
    <w:rsid w:val="426A04C5"/>
    <w:rsid w:val="426CF24C"/>
    <w:rsid w:val="4276513B"/>
    <w:rsid w:val="4276B8B8"/>
    <w:rsid w:val="427A429B"/>
    <w:rsid w:val="4284EA18"/>
    <w:rsid w:val="428D01CC"/>
    <w:rsid w:val="42908A50"/>
    <w:rsid w:val="429199C1"/>
    <w:rsid w:val="42951FC1"/>
    <w:rsid w:val="4295B1A1"/>
    <w:rsid w:val="42981A02"/>
    <w:rsid w:val="4298FDFE"/>
    <w:rsid w:val="429E4928"/>
    <w:rsid w:val="429FDA8F"/>
    <w:rsid w:val="42A0D1DC"/>
    <w:rsid w:val="42A2E559"/>
    <w:rsid w:val="42A5E140"/>
    <w:rsid w:val="42A84EF1"/>
    <w:rsid w:val="42AA6E7B"/>
    <w:rsid w:val="42ADED8A"/>
    <w:rsid w:val="42AE5352"/>
    <w:rsid w:val="42B0F759"/>
    <w:rsid w:val="42B4D464"/>
    <w:rsid w:val="42B92CCB"/>
    <w:rsid w:val="42BB7993"/>
    <w:rsid w:val="42BC7488"/>
    <w:rsid w:val="42BE619D"/>
    <w:rsid w:val="42C65474"/>
    <w:rsid w:val="42C71325"/>
    <w:rsid w:val="42CEB182"/>
    <w:rsid w:val="42D13C39"/>
    <w:rsid w:val="42D91067"/>
    <w:rsid w:val="42E3AE90"/>
    <w:rsid w:val="42E4151E"/>
    <w:rsid w:val="42E65674"/>
    <w:rsid w:val="42E6BE4C"/>
    <w:rsid w:val="42E6C1F5"/>
    <w:rsid w:val="42E8F1AB"/>
    <w:rsid w:val="42EAA8FB"/>
    <w:rsid w:val="42ECC7A8"/>
    <w:rsid w:val="42ED4A7C"/>
    <w:rsid w:val="42EF25AF"/>
    <w:rsid w:val="42F74E67"/>
    <w:rsid w:val="43025433"/>
    <w:rsid w:val="43189CB9"/>
    <w:rsid w:val="4318B106"/>
    <w:rsid w:val="43199A01"/>
    <w:rsid w:val="431D837D"/>
    <w:rsid w:val="43215AF7"/>
    <w:rsid w:val="4323F079"/>
    <w:rsid w:val="432B9D8D"/>
    <w:rsid w:val="432CA9F5"/>
    <w:rsid w:val="432FC0B0"/>
    <w:rsid w:val="432FF5D8"/>
    <w:rsid w:val="43320D48"/>
    <w:rsid w:val="433D9FB2"/>
    <w:rsid w:val="43407CBA"/>
    <w:rsid w:val="434445C4"/>
    <w:rsid w:val="4345A70B"/>
    <w:rsid w:val="4346A85D"/>
    <w:rsid w:val="434CE695"/>
    <w:rsid w:val="434F9B69"/>
    <w:rsid w:val="434FB96D"/>
    <w:rsid w:val="434FF65C"/>
    <w:rsid w:val="43552923"/>
    <w:rsid w:val="43552F5C"/>
    <w:rsid w:val="435A1562"/>
    <w:rsid w:val="435D4DF4"/>
    <w:rsid w:val="435E8290"/>
    <w:rsid w:val="436066ED"/>
    <w:rsid w:val="436E270A"/>
    <w:rsid w:val="436F6A03"/>
    <w:rsid w:val="4370B150"/>
    <w:rsid w:val="4370D37F"/>
    <w:rsid w:val="437435C2"/>
    <w:rsid w:val="4375E131"/>
    <w:rsid w:val="4375F941"/>
    <w:rsid w:val="43764C13"/>
    <w:rsid w:val="4377FF8B"/>
    <w:rsid w:val="43794D65"/>
    <w:rsid w:val="4380EC2A"/>
    <w:rsid w:val="43864D11"/>
    <w:rsid w:val="4389EF43"/>
    <w:rsid w:val="438C85C8"/>
    <w:rsid w:val="438E2895"/>
    <w:rsid w:val="43937C47"/>
    <w:rsid w:val="4393E072"/>
    <w:rsid w:val="43948564"/>
    <w:rsid w:val="43956572"/>
    <w:rsid w:val="43976A6B"/>
    <w:rsid w:val="43A08416"/>
    <w:rsid w:val="43A12E65"/>
    <w:rsid w:val="43AAD0B2"/>
    <w:rsid w:val="43AC3ABE"/>
    <w:rsid w:val="43AD7723"/>
    <w:rsid w:val="43B2782F"/>
    <w:rsid w:val="43BB8E39"/>
    <w:rsid w:val="43BC31D1"/>
    <w:rsid w:val="43BEEF75"/>
    <w:rsid w:val="43C091EA"/>
    <w:rsid w:val="43C0E0ED"/>
    <w:rsid w:val="43C3398E"/>
    <w:rsid w:val="43C55BE8"/>
    <w:rsid w:val="43C5C5ED"/>
    <w:rsid w:val="43C7F4D3"/>
    <w:rsid w:val="43C83457"/>
    <w:rsid w:val="43CE247A"/>
    <w:rsid w:val="43D0FB3C"/>
    <w:rsid w:val="43D23315"/>
    <w:rsid w:val="43D4D64B"/>
    <w:rsid w:val="43D7890F"/>
    <w:rsid w:val="43D9C073"/>
    <w:rsid w:val="43DFCD0B"/>
    <w:rsid w:val="43E2AD79"/>
    <w:rsid w:val="43E4B990"/>
    <w:rsid w:val="43E67EB8"/>
    <w:rsid w:val="43E8968C"/>
    <w:rsid w:val="43EA2F7E"/>
    <w:rsid w:val="43EA77EC"/>
    <w:rsid w:val="43EB40F7"/>
    <w:rsid w:val="43ED4B3C"/>
    <w:rsid w:val="43EE8D4A"/>
    <w:rsid w:val="43EED07F"/>
    <w:rsid w:val="43F194D0"/>
    <w:rsid w:val="43F41EC2"/>
    <w:rsid w:val="43FF745D"/>
    <w:rsid w:val="44013F91"/>
    <w:rsid w:val="4406E808"/>
    <w:rsid w:val="4408217F"/>
    <w:rsid w:val="440AC92D"/>
    <w:rsid w:val="440D3AAA"/>
    <w:rsid w:val="4410D8E8"/>
    <w:rsid w:val="4411E200"/>
    <w:rsid w:val="4413FC1B"/>
    <w:rsid w:val="4414753B"/>
    <w:rsid w:val="4415EF05"/>
    <w:rsid w:val="44162AB4"/>
    <w:rsid w:val="44181172"/>
    <w:rsid w:val="441A2FAD"/>
    <w:rsid w:val="441A4FA7"/>
    <w:rsid w:val="441B19F0"/>
    <w:rsid w:val="441B9E2F"/>
    <w:rsid w:val="4425076B"/>
    <w:rsid w:val="44286069"/>
    <w:rsid w:val="4429E881"/>
    <w:rsid w:val="442DA8BC"/>
    <w:rsid w:val="442E6BD4"/>
    <w:rsid w:val="442FCAA9"/>
    <w:rsid w:val="44314167"/>
    <w:rsid w:val="44361DE2"/>
    <w:rsid w:val="44370F97"/>
    <w:rsid w:val="443B6E53"/>
    <w:rsid w:val="443C139C"/>
    <w:rsid w:val="44420168"/>
    <w:rsid w:val="4443986B"/>
    <w:rsid w:val="44483815"/>
    <w:rsid w:val="444C0884"/>
    <w:rsid w:val="4450BE00"/>
    <w:rsid w:val="44525109"/>
    <w:rsid w:val="4452C3FA"/>
    <w:rsid w:val="4455439F"/>
    <w:rsid w:val="44578E3F"/>
    <w:rsid w:val="4458433B"/>
    <w:rsid w:val="445E0690"/>
    <w:rsid w:val="4462B0B9"/>
    <w:rsid w:val="446C1D18"/>
    <w:rsid w:val="446C6C44"/>
    <w:rsid w:val="446C82E0"/>
    <w:rsid w:val="446E63ED"/>
    <w:rsid w:val="4470BBE7"/>
    <w:rsid w:val="4472E65D"/>
    <w:rsid w:val="4474A286"/>
    <w:rsid w:val="44784B16"/>
    <w:rsid w:val="44785B85"/>
    <w:rsid w:val="4478C4E5"/>
    <w:rsid w:val="447F0369"/>
    <w:rsid w:val="447F37AB"/>
    <w:rsid w:val="44805B04"/>
    <w:rsid w:val="4480CA95"/>
    <w:rsid w:val="4482D092"/>
    <w:rsid w:val="448309A8"/>
    <w:rsid w:val="44833BC0"/>
    <w:rsid w:val="4483A624"/>
    <w:rsid w:val="4485B564"/>
    <w:rsid w:val="44868249"/>
    <w:rsid w:val="448FBB8D"/>
    <w:rsid w:val="44913692"/>
    <w:rsid w:val="44966861"/>
    <w:rsid w:val="449FC632"/>
    <w:rsid w:val="44A2B9C2"/>
    <w:rsid w:val="44A4CB7A"/>
    <w:rsid w:val="44A60D18"/>
    <w:rsid w:val="44A94093"/>
    <w:rsid w:val="44B72CD5"/>
    <w:rsid w:val="44B7BCA6"/>
    <w:rsid w:val="44BE4D54"/>
    <w:rsid w:val="44C0A3CC"/>
    <w:rsid w:val="44C1F960"/>
    <w:rsid w:val="44C2E484"/>
    <w:rsid w:val="44C311CF"/>
    <w:rsid w:val="44CB3EF5"/>
    <w:rsid w:val="44CCD5E0"/>
    <w:rsid w:val="44CF3788"/>
    <w:rsid w:val="44D07373"/>
    <w:rsid w:val="44D5A393"/>
    <w:rsid w:val="44D82F0A"/>
    <w:rsid w:val="44DA2628"/>
    <w:rsid w:val="44DB0523"/>
    <w:rsid w:val="44E0C9A3"/>
    <w:rsid w:val="44E45476"/>
    <w:rsid w:val="44E5336F"/>
    <w:rsid w:val="44EF2F89"/>
    <w:rsid w:val="44F07E93"/>
    <w:rsid w:val="44F1843E"/>
    <w:rsid w:val="44F18608"/>
    <w:rsid w:val="44F42C49"/>
    <w:rsid w:val="44F73C7F"/>
    <w:rsid w:val="44F9B407"/>
    <w:rsid w:val="45000FF7"/>
    <w:rsid w:val="45037463"/>
    <w:rsid w:val="45043A72"/>
    <w:rsid w:val="450B3466"/>
    <w:rsid w:val="450C2248"/>
    <w:rsid w:val="45174EF7"/>
    <w:rsid w:val="4521260E"/>
    <w:rsid w:val="4529DE13"/>
    <w:rsid w:val="452F9EF0"/>
    <w:rsid w:val="452FE01B"/>
    <w:rsid w:val="4530E49C"/>
    <w:rsid w:val="45342320"/>
    <w:rsid w:val="454042B4"/>
    <w:rsid w:val="45421622"/>
    <w:rsid w:val="4547F4E5"/>
    <w:rsid w:val="454B1BAD"/>
    <w:rsid w:val="454F11B6"/>
    <w:rsid w:val="4550F184"/>
    <w:rsid w:val="455A5A81"/>
    <w:rsid w:val="456629CD"/>
    <w:rsid w:val="456920FD"/>
    <w:rsid w:val="456A5C60"/>
    <w:rsid w:val="456BE5A1"/>
    <w:rsid w:val="45755319"/>
    <w:rsid w:val="4575FABC"/>
    <w:rsid w:val="4578B638"/>
    <w:rsid w:val="4578BE87"/>
    <w:rsid w:val="457A3FA3"/>
    <w:rsid w:val="457C960D"/>
    <w:rsid w:val="457F924D"/>
    <w:rsid w:val="45849668"/>
    <w:rsid w:val="4585FE87"/>
    <w:rsid w:val="4588F04D"/>
    <w:rsid w:val="458D0B94"/>
    <w:rsid w:val="458E1694"/>
    <w:rsid w:val="458FBAE2"/>
    <w:rsid w:val="4591436A"/>
    <w:rsid w:val="4591BA36"/>
    <w:rsid w:val="4597C80E"/>
    <w:rsid w:val="459AFE23"/>
    <w:rsid w:val="459BA96F"/>
    <w:rsid w:val="459D57E7"/>
    <w:rsid w:val="459D6539"/>
    <w:rsid w:val="45A652C9"/>
    <w:rsid w:val="45AB86D0"/>
    <w:rsid w:val="45B15044"/>
    <w:rsid w:val="45BA707D"/>
    <w:rsid w:val="45BCD9BA"/>
    <w:rsid w:val="45BF2414"/>
    <w:rsid w:val="45BFBA62"/>
    <w:rsid w:val="45D0C7F6"/>
    <w:rsid w:val="45D237B5"/>
    <w:rsid w:val="45D4BBB5"/>
    <w:rsid w:val="45D4F77C"/>
    <w:rsid w:val="45D5598D"/>
    <w:rsid w:val="45D5A80F"/>
    <w:rsid w:val="45D923B1"/>
    <w:rsid w:val="45DA86DD"/>
    <w:rsid w:val="45DB579A"/>
    <w:rsid w:val="45DEA54A"/>
    <w:rsid w:val="45E40498"/>
    <w:rsid w:val="45E92DA9"/>
    <w:rsid w:val="45E97730"/>
    <w:rsid w:val="45EA521B"/>
    <w:rsid w:val="45F028C1"/>
    <w:rsid w:val="45F18831"/>
    <w:rsid w:val="45F1A9ED"/>
    <w:rsid w:val="45F691B1"/>
    <w:rsid w:val="45F6BF28"/>
    <w:rsid w:val="45F74B4F"/>
    <w:rsid w:val="45FBEBF2"/>
    <w:rsid w:val="46070D45"/>
    <w:rsid w:val="4611C69B"/>
    <w:rsid w:val="4612BCB7"/>
    <w:rsid w:val="461326B0"/>
    <w:rsid w:val="461438ED"/>
    <w:rsid w:val="46157787"/>
    <w:rsid w:val="461A1DFD"/>
    <w:rsid w:val="461B49A7"/>
    <w:rsid w:val="461BCE11"/>
    <w:rsid w:val="46248C2D"/>
    <w:rsid w:val="4626672A"/>
    <w:rsid w:val="462A8DBC"/>
    <w:rsid w:val="462DAF67"/>
    <w:rsid w:val="46333472"/>
    <w:rsid w:val="4638AC09"/>
    <w:rsid w:val="463D2B87"/>
    <w:rsid w:val="46421575"/>
    <w:rsid w:val="46433CD3"/>
    <w:rsid w:val="4644B628"/>
    <w:rsid w:val="4648FDA2"/>
    <w:rsid w:val="464D0745"/>
    <w:rsid w:val="4651E8FB"/>
    <w:rsid w:val="4652055F"/>
    <w:rsid w:val="4656673E"/>
    <w:rsid w:val="46636CBE"/>
    <w:rsid w:val="46656466"/>
    <w:rsid w:val="466977BE"/>
    <w:rsid w:val="466D9D30"/>
    <w:rsid w:val="4671A3F3"/>
    <w:rsid w:val="4672DE1E"/>
    <w:rsid w:val="4673BE21"/>
    <w:rsid w:val="46751A86"/>
    <w:rsid w:val="4675D8C6"/>
    <w:rsid w:val="467A91EC"/>
    <w:rsid w:val="46812720"/>
    <w:rsid w:val="468FCFB9"/>
    <w:rsid w:val="4690FC90"/>
    <w:rsid w:val="46925DC1"/>
    <w:rsid w:val="469377E2"/>
    <w:rsid w:val="469A076F"/>
    <w:rsid w:val="46A204AC"/>
    <w:rsid w:val="46A37275"/>
    <w:rsid w:val="46A52C1C"/>
    <w:rsid w:val="46AC0B5B"/>
    <w:rsid w:val="46B2D1E0"/>
    <w:rsid w:val="46B58D4D"/>
    <w:rsid w:val="46B68F7E"/>
    <w:rsid w:val="46BD6029"/>
    <w:rsid w:val="46BF80DA"/>
    <w:rsid w:val="46BFAF7F"/>
    <w:rsid w:val="46C2CC07"/>
    <w:rsid w:val="46C2CC63"/>
    <w:rsid w:val="46C2DB9A"/>
    <w:rsid w:val="46C8AF1F"/>
    <w:rsid w:val="46C8F644"/>
    <w:rsid w:val="46CC953E"/>
    <w:rsid w:val="46D09B79"/>
    <w:rsid w:val="46D44478"/>
    <w:rsid w:val="46DAA9AC"/>
    <w:rsid w:val="46DE6DBA"/>
    <w:rsid w:val="46E033F7"/>
    <w:rsid w:val="46EB0CB2"/>
    <w:rsid w:val="46F010E8"/>
    <w:rsid w:val="46F28638"/>
    <w:rsid w:val="46F28B1A"/>
    <w:rsid w:val="46F78B9B"/>
    <w:rsid w:val="46F82CC8"/>
    <w:rsid w:val="46FB2614"/>
    <w:rsid w:val="46FBF01C"/>
    <w:rsid w:val="46FC1415"/>
    <w:rsid w:val="46FEEC42"/>
    <w:rsid w:val="47025417"/>
    <w:rsid w:val="4702FCED"/>
    <w:rsid w:val="470490B5"/>
    <w:rsid w:val="4705855F"/>
    <w:rsid w:val="4706CF86"/>
    <w:rsid w:val="470797FE"/>
    <w:rsid w:val="47096223"/>
    <w:rsid w:val="470A4DE0"/>
    <w:rsid w:val="470A89F6"/>
    <w:rsid w:val="47108069"/>
    <w:rsid w:val="47110D4B"/>
    <w:rsid w:val="4715A724"/>
    <w:rsid w:val="4717AD15"/>
    <w:rsid w:val="471AD6F2"/>
    <w:rsid w:val="471AF85E"/>
    <w:rsid w:val="471B3456"/>
    <w:rsid w:val="471CF7BD"/>
    <w:rsid w:val="471E0CC3"/>
    <w:rsid w:val="47207C3E"/>
    <w:rsid w:val="47220C32"/>
    <w:rsid w:val="47224190"/>
    <w:rsid w:val="4729A443"/>
    <w:rsid w:val="4729F4B9"/>
    <w:rsid w:val="472AE286"/>
    <w:rsid w:val="472CD92F"/>
    <w:rsid w:val="47325819"/>
    <w:rsid w:val="47362996"/>
    <w:rsid w:val="473ACDD4"/>
    <w:rsid w:val="473B10D0"/>
    <w:rsid w:val="473E3C02"/>
    <w:rsid w:val="47413D1E"/>
    <w:rsid w:val="4743404E"/>
    <w:rsid w:val="47472C1D"/>
    <w:rsid w:val="474B20DF"/>
    <w:rsid w:val="474E5A84"/>
    <w:rsid w:val="47550B15"/>
    <w:rsid w:val="4755BC31"/>
    <w:rsid w:val="47587C37"/>
    <w:rsid w:val="4760C6B9"/>
    <w:rsid w:val="4760DDEA"/>
    <w:rsid w:val="4764CE60"/>
    <w:rsid w:val="476DDEA7"/>
    <w:rsid w:val="4777D8BC"/>
    <w:rsid w:val="47791E49"/>
    <w:rsid w:val="477B2FF8"/>
    <w:rsid w:val="477E863C"/>
    <w:rsid w:val="477F00C7"/>
    <w:rsid w:val="47816CC9"/>
    <w:rsid w:val="4789D773"/>
    <w:rsid w:val="478B65C9"/>
    <w:rsid w:val="478E1C83"/>
    <w:rsid w:val="479584E0"/>
    <w:rsid w:val="4795AB82"/>
    <w:rsid w:val="4795EADD"/>
    <w:rsid w:val="4796F6F2"/>
    <w:rsid w:val="47975AB6"/>
    <w:rsid w:val="479AA590"/>
    <w:rsid w:val="479F8376"/>
    <w:rsid w:val="479FB64E"/>
    <w:rsid w:val="47A14823"/>
    <w:rsid w:val="47A1F8C2"/>
    <w:rsid w:val="47A20296"/>
    <w:rsid w:val="47A4CCB0"/>
    <w:rsid w:val="47A8D0F3"/>
    <w:rsid w:val="47AA6681"/>
    <w:rsid w:val="47B2D32E"/>
    <w:rsid w:val="47B43707"/>
    <w:rsid w:val="47B5ADEC"/>
    <w:rsid w:val="47B76277"/>
    <w:rsid w:val="47C20AB7"/>
    <w:rsid w:val="47C7DFAC"/>
    <w:rsid w:val="47CA3206"/>
    <w:rsid w:val="47CF75AD"/>
    <w:rsid w:val="47D35BB5"/>
    <w:rsid w:val="47D41476"/>
    <w:rsid w:val="47D762D3"/>
    <w:rsid w:val="47D8AF19"/>
    <w:rsid w:val="47D8E408"/>
    <w:rsid w:val="47D93792"/>
    <w:rsid w:val="47DBDE2C"/>
    <w:rsid w:val="47E05835"/>
    <w:rsid w:val="47E12ED5"/>
    <w:rsid w:val="47E69CF4"/>
    <w:rsid w:val="47E69FE2"/>
    <w:rsid w:val="47E75114"/>
    <w:rsid w:val="47E7A419"/>
    <w:rsid w:val="47E7E90F"/>
    <w:rsid w:val="47E8DF0E"/>
    <w:rsid w:val="47EAF392"/>
    <w:rsid w:val="47F01DBD"/>
    <w:rsid w:val="47F7A097"/>
    <w:rsid w:val="47FFE574"/>
    <w:rsid w:val="4805C281"/>
    <w:rsid w:val="4806BF53"/>
    <w:rsid w:val="480C9284"/>
    <w:rsid w:val="480FBA76"/>
    <w:rsid w:val="481077A5"/>
    <w:rsid w:val="48108D4D"/>
    <w:rsid w:val="481336A8"/>
    <w:rsid w:val="481454C4"/>
    <w:rsid w:val="4815B814"/>
    <w:rsid w:val="48176F79"/>
    <w:rsid w:val="4819DE98"/>
    <w:rsid w:val="481CC4FC"/>
    <w:rsid w:val="481E7856"/>
    <w:rsid w:val="481F2BA9"/>
    <w:rsid w:val="4820EDFF"/>
    <w:rsid w:val="4825F847"/>
    <w:rsid w:val="483301B3"/>
    <w:rsid w:val="48336CD9"/>
    <w:rsid w:val="4836FF59"/>
    <w:rsid w:val="48387A3B"/>
    <w:rsid w:val="4839D46D"/>
    <w:rsid w:val="483BACE0"/>
    <w:rsid w:val="483FE84D"/>
    <w:rsid w:val="4842232A"/>
    <w:rsid w:val="4848A880"/>
    <w:rsid w:val="484E3864"/>
    <w:rsid w:val="4851216B"/>
    <w:rsid w:val="48586196"/>
    <w:rsid w:val="485D0993"/>
    <w:rsid w:val="485D21B5"/>
    <w:rsid w:val="4862C7D0"/>
    <w:rsid w:val="4863609F"/>
    <w:rsid w:val="48642080"/>
    <w:rsid w:val="4866F0F3"/>
    <w:rsid w:val="486ADA9D"/>
    <w:rsid w:val="486D8614"/>
    <w:rsid w:val="4870AD02"/>
    <w:rsid w:val="48726996"/>
    <w:rsid w:val="4873BEAD"/>
    <w:rsid w:val="4875B677"/>
    <w:rsid w:val="487625F7"/>
    <w:rsid w:val="4878A259"/>
    <w:rsid w:val="487D5F89"/>
    <w:rsid w:val="487FFB4C"/>
    <w:rsid w:val="48813DF7"/>
    <w:rsid w:val="488B3644"/>
    <w:rsid w:val="4891B5B5"/>
    <w:rsid w:val="48941352"/>
    <w:rsid w:val="489469A4"/>
    <w:rsid w:val="489723FD"/>
    <w:rsid w:val="4898BD20"/>
    <w:rsid w:val="489E057C"/>
    <w:rsid w:val="489E5377"/>
    <w:rsid w:val="48A439F3"/>
    <w:rsid w:val="48A7C888"/>
    <w:rsid w:val="48A7CB62"/>
    <w:rsid w:val="48A9627B"/>
    <w:rsid w:val="48AA2C6D"/>
    <w:rsid w:val="48AD37BE"/>
    <w:rsid w:val="48AF5B9B"/>
    <w:rsid w:val="48AFC57F"/>
    <w:rsid w:val="48B15011"/>
    <w:rsid w:val="48B4EF92"/>
    <w:rsid w:val="48B51423"/>
    <w:rsid w:val="48B5154A"/>
    <w:rsid w:val="48BA5C13"/>
    <w:rsid w:val="48C4CDA9"/>
    <w:rsid w:val="48C69E33"/>
    <w:rsid w:val="48C8A990"/>
    <w:rsid w:val="48D21A7F"/>
    <w:rsid w:val="48D4B1F2"/>
    <w:rsid w:val="48D5E8B7"/>
    <w:rsid w:val="48DA05B2"/>
    <w:rsid w:val="48DAA663"/>
    <w:rsid w:val="48DAB1E4"/>
    <w:rsid w:val="48E11028"/>
    <w:rsid w:val="48E41540"/>
    <w:rsid w:val="48E60882"/>
    <w:rsid w:val="48EEC51A"/>
    <w:rsid w:val="48F130D0"/>
    <w:rsid w:val="48F23B93"/>
    <w:rsid w:val="48F4DA65"/>
    <w:rsid w:val="48F59E2B"/>
    <w:rsid w:val="48F87431"/>
    <w:rsid w:val="48FC3DA1"/>
    <w:rsid w:val="48FF554C"/>
    <w:rsid w:val="48FF75DD"/>
    <w:rsid w:val="4900A5B9"/>
    <w:rsid w:val="4900B8C9"/>
    <w:rsid w:val="49017C68"/>
    <w:rsid w:val="4902998A"/>
    <w:rsid w:val="49075435"/>
    <w:rsid w:val="490DB546"/>
    <w:rsid w:val="490DF116"/>
    <w:rsid w:val="490F96BB"/>
    <w:rsid w:val="4914DA3E"/>
    <w:rsid w:val="49188C4B"/>
    <w:rsid w:val="49192409"/>
    <w:rsid w:val="491B648D"/>
    <w:rsid w:val="491B70D9"/>
    <w:rsid w:val="4922C00E"/>
    <w:rsid w:val="49291509"/>
    <w:rsid w:val="492926C7"/>
    <w:rsid w:val="492CAD59"/>
    <w:rsid w:val="4936E9B8"/>
    <w:rsid w:val="49374254"/>
    <w:rsid w:val="493B97A7"/>
    <w:rsid w:val="493CDE30"/>
    <w:rsid w:val="49443C1E"/>
    <w:rsid w:val="4947270C"/>
    <w:rsid w:val="494EE204"/>
    <w:rsid w:val="494FC752"/>
    <w:rsid w:val="49558B4D"/>
    <w:rsid w:val="4962FE89"/>
    <w:rsid w:val="49662CAC"/>
    <w:rsid w:val="4966FFAB"/>
    <w:rsid w:val="496A170D"/>
    <w:rsid w:val="496DF610"/>
    <w:rsid w:val="49767A0C"/>
    <w:rsid w:val="4979CF33"/>
    <w:rsid w:val="49827E25"/>
    <w:rsid w:val="4983D5CE"/>
    <w:rsid w:val="4987118C"/>
    <w:rsid w:val="498A274E"/>
    <w:rsid w:val="498EFF47"/>
    <w:rsid w:val="4995CF7F"/>
    <w:rsid w:val="4996DBC5"/>
    <w:rsid w:val="49A189F4"/>
    <w:rsid w:val="49A268FA"/>
    <w:rsid w:val="49A6E728"/>
    <w:rsid w:val="49AB6476"/>
    <w:rsid w:val="49AE6BC5"/>
    <w:rsid w:val="49B1C74A"/>
    <w:rsid w:val="49B4F6C8"/>
    <w:rsid w:val="49B67212"/>
    <w:rsid w:val="49B98737"/>
    <w:rsid w:val="49BADC52"/>
    <w:rsid w:val="49BF4234"/>
    <w:rsid w:val="49C126EC"/>
    <w:rsid w:val="49C13D8A"/>
    <w:rsid w:val="49C1B0E0"/>
    <w:rsid w:val="49C346AA"/>
    <w:rsid w:val="49C40FCF"/>
    <w:rsid w:val="49CA0C03"/>
    <w:rsid w:val="49D2B970"/>
    <w:rsid w:val="49D3407C"/>
    <w:rsid w:val="49E10E92"/>
    <w:rsid w:val="49E9836B"/>
    <w:rsid w:val="49EBA15C"/>
    <w:rsid w:val="49EC76E7"/>
    <w:rsid w:val="49EE03AA"/>
    <w:rsid w:val="49F3E802"/>
    <w:rsid w:val="49FABDD0"/>
    <w:rsid w:val="49FCF3F2"/>
    <w:rsid w:val="49FD81ED"/>
    <w:rsid w:val="4A01AF17"/>
    <w:rsid w:val="4A01E9B4"/>
    <w:rsid w:val="4A064342"/>
    <w:rsid w:val="4A07F49E"/>
    <w:rsid w:val="4A08DA28"/>
    <w:rsid w:val="4A0A6003"/>
    <w:rsid w:val="4A0B34B7"/>
    <w:rsid w:val="4A1883EF"/>
    <w:rsid w:val="4A1E01B8"/>
    <w:rsid w:val="4A1E69B0"/>
    <w:rsid w:val="4A1F3DCB"/>
    <w:rsid w:val="4A256988"/>
    <w:rsid w:val="4A25BB57"/>
    <w:rsid w:val="4A28FEC4"/>
    <w:rsid w:val="4A292D47"/>
    <w:rsid w:val="4A299E29"/>
    <w:rsid w:val="4A2B8371"/>
    <w:rsid w:val="4A30E102"/>
    <w:rsid w:val="4A340849"/>
    <w:rsid w:val="4A393E38"/>
    <w:rsid w:val="4A3A7C06"/>
    <w:rsid w:val="4A3B8707"/>
    <w:rsid w:val="4A3D0F7D"/>
    <w:rsid w:val="4A3D3961"/>
    <w:rsid w:val="4A3F1317"/>
    <w:rsid w:val="4A42059D"/>
    <w:rsid w:val="4A4D0EF9"/>
    <w:rsid w:val="4A5568BE"/>
    <w:rsid w:val="4A5B0594"/>
    <w:rsid w:val="4A604F28"/>
    <w:rsid w:val="4A6D66AF"/>
    <w:rsid w:val="4A706787"/>
    <w:rsid w:val="4A749D30"/>
    <w:rsid w:val="4A74AAB6"/>
    <w:rsid w:val="4A75CB62"/>
    <w:rsid w:val="4A77E245"/>
    <w:rsid w:val="4A78AE45"/>
    <w:rsid w:val="4A7967ED"/>
    <w:rsid w:val="4A7A69DB"/>
    <w:rsid w:val="4A867198"/>
    <w:rsid w:val="4A87D89A"/>
    <w:rsid w:val="4A8AE3D8"/>
    <w:rsid w:val="4A91B5C5"/>
    <w:rsid w:val="4A97BCF3"/>
    <w:rsid w:val="4A9905BD"/>
    <w:rsid w:val="4A9DE896"/>
    <w:rsid w:val="4A9FFC56"/>
    <w:rsid w:val="4AA2ECE5"/>
    <w:rsid w:val="4AA4A480"/>
    <w:rsid w:val="4AA4A51C"/>
    <w:rsid w:val="4AA4E01F"/>
    <w:rsid w:val="4AA7F6C5"/>
    <w:rsid w:val="4AA934FB"/>
    <w:rsid w:val="4AB726FC"/>
    <w:rsid w:val="4ABAF616"/>
    <w:rsid w:val="4ABB6FDC"/>
    <w:rsid w:val="4ABDA86D"/>
    <w:rsid w:val="4AC5193F"/>
    <w:rsid w:val="4AC93DE2"/>
    <w:rsid w:val="4AC971FF"/>
    <w:rsid w:val="4ACDDC80"/>
    <w:rsid w:val="4ACE95C6"/>
    <w:rsid w:val="4AD01B08"/>
    <w:rsid w:val="4AD0C36B"/>
    <w:rsid w:val="4AD19B45"/>
    <w:rsid w:val="4AD20F6A"/>
    <w:rsid w:val="4AD469F7"/>
    <w:rsid w:val="4AD60EFF"/>
    <w:rsid w:val="4ADABF7D"/>
    <w:rsid w:val="4AE9A47B"/>
    <w:rsid w:val="4AF174D8"/>
    <w:rsid w:val="4AF7ECF3"/>
    <w:rsid w:val="4AFFF77B"/>
    <w:rsid w:val="4B09C260"/>
    <w:rsid w:val="4B0EF0AB"/>
    <w:rsid w:val="4B10A908"/>
    <w:rsid w:val="4B1BE79A"/>
    <w:rsid w:val="4B1C844A"/>
    <w:rsid w:val="4B20B775"/>
    <w:rsid w:val="4B21C1F2"/>
    <w:rsid w:val="4B21C882"/>
    <w:rsid w:val="4B24EC09"/>
    <w:rsid w:val="4B2571A3"/>
    <w:rsid w:val="4B29BE40"/>
    <w:rsid w:val="4B29DB57"/>
    <w:rsid w:val="4B2B0068"/>
    <w:rsid w:val="4B2FDED3"/>
    <w:rsid w:val="4B397866"/>
    <w:rsid w:val="4B3B91E7"/>
    <w:rsid w:val="4B405896"/>
    <w:rsid w:val="4B420F5A"/>
    <w:rsid w:val="4B453514"/>
    <w:rsid w:val="4B4675F4"/>
    <w:rsid w:val="4B473B56"/>
    <w:rsid w:val="4B4A0A03"/>
    <w:rsid w:val="4B4A81A1"/>
    <w:rsid w:val="4B568022"/>
    <w:rsid w:val="4B569CB9"/>
    <w:rsid w:val="4B586D6A"/>
    <w:rsid w:val="4B5A2D7C"/>
    <w:rsid w:val="4B5AE0C1"/>
    <w:rsid w:val="4B5B37CA"/>
    <w:rsid w:val="4B5CF4AC"/>
    <w:rsid w:val="4B5DF92E"/>
    <w:rsid w:val="4B5E15DC"/>
    <w:rsid w:val="4B5E7AC4"/>
    <w:rsid w:val="4B6415CE"/>
    <w:rsid w:val="4B65DF41"/>
    <w:rsid w:val="4B668ED9"/>
    <w:rsid w:val="4B676F4B"/>
    <w:rsid w:val="4B6806D0"/>
    <w:rsid w:val="4B6C482E"/>
    <w:rsid w:val="4B72CF3E"/>
    <w:rsid w:val="4B7753AD"/>
    <w:rsid w:val="4B7AA316"/>
    <w:rsid w:val="4B7D586F"/>
    <w:rsid w:val="4B7EA60F"/>
    <w:rsid w:val="4B80B2D6"/>
    <w:rsid w:val="4B81DC07"/>
    <w:rsid w:val="4B824D5C"/>
    <w:rsid w:val="4B8C2E2C"/>
    <w:rsid w:val="4B8C357B"/>
    <w:rsid w:val="4B8F5DC9"/>
    <w:rsid w:val="4B902CE0"/>
    <w:rsid w:val="4B914E8D"/>
    <w:rsid w:val="4B935D12"/>
    <w:rsid w:val="4B93BA9A"/>
    <w:rsid w:val="4B95F9DF"/>
    <w:rsid w:val="4B969870"/>
    <w:rsid w:val="4B99CC8D"/>
    <w:rsid w:val="4B9A6A32"/>
    <w:rsid w:val="4B9C3494"/>
    <w:rsid w:val="4BA1640E"/>
    <w:rsid w:val="4BA2F885"/>
    <w:rsid w:val="4BB21BD5"/>
    <w:rsid w:val="4BB61E23"/>
    <w:rsid w:val="4BB62CAE"/>
    <w:rsid w:val="4BB67AED"/>
    <w:rsid w:val="4BBA30EC"/>
    <w:rsid w:val="4BBB9F9A"/>
    <w:rsid w:val="4BC0F4E0"/>
    <w:rsid w:val="4BC3035F"/>
    <w:rsid w:val="4BC5019D"/>
    <w:rsid w:val="4BC5249D"/>
    <w:rsid w:val="4BC66AE2"/>
    <w:rsid w:val="4BC785CB"/>
    <w:rsid w:val="4BDFA55E"/>
    <w:rsid w:val="4BE210EA"/>
    <w:rsid w:val="4BE6E344"/>
    <w:rsid w:val="4BE9FF3F"/>
    <w:rsid w:val="4BEF8B08"/>
    <w:rsid w:val="4BF48E53"/>
    <w:rsid w:val="4BF5135E"/>
    <w:rsid w:val="4C04B95D"/>
    <w:rsid w:val="4C06F0FA"/>
    <w:rsid w:val="4C083BA9"/>
    <w:rsid w:val="4C0C23E5"/>
    <w:rsid w:val="4C110995"/>
    <w:rsid w:val="4C114B9D"/>
    <w:rsid w:val="4C1E3BFC"/>
    <w:rsid w:val="4C26DF20"/>
    <w:rsid w:val="4C29066C"/>
    <w:rsid w:val="4C2A98B0"/>
    <w:rsid w:val="4C2C9A11"/>
    <w:rsid w:val="4C2D13C2"/>
    <w:rsid w:val="4C30E58E"/>
    <w:rsid w:val="4C3381FA"/>
    <w:rsid w:val="4C3564D0"/>
    <w:rsid w:val="4C35AE99"/>
    <w:rsid w:val="4C377070"/>
    <w:rsid w:val="4C399F53"/>
    <w:rsid w:val="4C3CEB13"/>
    <w:rsid w:val="4C441251"/>
    <w:rsid w:val="4C4D92A5"/>
    <w:rsid w:val="4C4E8DCD"/>
    <w:rsid w:val="4C54C346"/>
    <w:rsid w:val="4C55763C"/>
    <w:rsid w:val="4C580719"/>
    <w:rsid w:val="4C5B4A39"/>
    <w:rsid w:val="4C5D633E"/>
    <w:rsid w:val="4C634B82"/>
    <w:rsid w:val="4C671C18"/>
    <w:rsid w:val="4C688CBE"/>
    <w:rsid w:val="4C695650"/>
    <w:rsid w:val="4C7189C3"/>
    <w:rsid w:val="4C7744FD"/>
    <w:rsid w:val="4C78668F"/>
    <w:rsid w:val="4C7A7625"/>
    <w:rsid w:val="4C7BA24B"/>
    <w:rsid w:val="4C7CAC29"/>
    <w:rsid w:val="4C7E1E99"/>
    <w:rsid w:val="4C827AE2"/>
    <w:rsid w:val="4C8D7A6F"/>
    <w:rsid w:val="4C8D85E9"/>
    <w:rsid w:val="4C8E595F"/>
    <w:rsid w:val="4C96636B"/>
    <w:rsid w:val="4C982766"/>
    <w:rsid w:val="4C9906F0"/>
    <w:rsid w:val="4C9CBE9D"/>
    <w:rsid w:val="4C9E7172"/>
    <w:rsid w:val="4C9EA06D"/>
    <w:rsid w:val="4CA5038F"/>
    <w:rsid w:val="4CAB60E5"/>
    <w:rsid w:val="4CAF4F3D"/>
    <w:rsid w:val="4CB2336E"/>
    <w:rsid w:val="4CB7AB7E"/>
    <w:rsid w:val="4CBCC7CF"/>
    <w:rsid w:val="4CBF86CE"/>
    <w:rsid w:val="4CC09AC9"/>
    <w:rsid w:val="4CC1A733"/>
    <w:rsid w:val="4CC69DE0"/>
    <w:rsid w:val="4CCB3910"/>
    <w:rsid w:val="4CCBC129"/>
    <w:rsid w:val="4CCD60FA"/>
    <w:rsid w:val="4CCDC802"/>
    <w:rsid w:val="4CCE0411"/>
    <w:rsid w:val="4CD1EF7B"/>
    <w:rsid w:val="4CD561BC"/>
    <w:rsid w:val="4CD75F58"/>
    <w:rsid w:val="4CDB5BA7"/>
    <w:rsid w:val="4CE69BBB"/>
    <w:rsid w:val="4CEE9FF0"/>
    <w:rsid w:val="4CF0A375"/>
    <w:rsid w:val="4CF28489"/>
    <w:rsid w:val="4CF29465"/>
    <w:rsid w:val="4CF29889"/>
    <w:rsid w:val="4CF4FFB5"/>
    <w:rsid w:val="4CF59CA6"/>
    <w:rsid w:val="4CFA43C8"/>
    <w:rsid w:val="4D008A27"/>
    <w:rsid w:val="4D01F181"/>
    <w:rsid w:val="4D04D4DA"/>
    <w:rsid w:val="4D0C7822"/>
    <w:rsid w:val="4D120FA0"/>
    <w:rsid w:val="4D14BE20"/>
    <w:rsid w:val="4D163AF2"/>
    <w:rsid w:val="4D16553A"/>
    <w:rsid w:val="4D1A46EC"/>
    <w:rsid w:val="4D1A5836"/>
    <w:rsid w:val="4D1BA1C4"/>
    <w:rsid w:val="4D1F9798"/>
    <w:rsid w:val="4D214233"/>
    <w:rsid w:val="4D229793"/>
    <w:rsid w:val="4D23D741"/>
    <w:rsid w:val="4D244CC2"/>
    <w:rsid w:val="4D24FDFD"/>
    <w:rsid w:val="4D305C2C"/>
    <w:rsid w:val="4D332669"/>
    <w:rsid w:val="4D335C61"/>
    <w:rsid w:val="4D34B066"/>
    <w:rsid w:val="4D36661B"/>
    <w:rsid w:val="4D368BB9"/>
    <w:rsid w:val="4D3CB951"/>
    <w:rsid w:val="4D428020"/>
    <w:rsid w:val="4D433404"/>
    <w:rsid w:val="4D4368CF"/>
    <w:rsid w:val="4D4924E1"/>
    <w:rsid w:val="4D49EE7D"/>
    <w:rsid w:val="4D4C1B16"/>
    <w:rsid w:val="4D4C1F72"/>
    <w:rsid w:val="4D4D360C"/>
    <w:rsid w:val="4D4DE469"/>
    <w:rsid w:val="4D4E2628"/>
    <w:rsid w:val="4D5F4D49"/>
    <w:rsid w:val="4D63C07C"/>
    <w:rsid w:val="4D67C202"/>
    <w:rsid w:val="4D69B765"/>
    <w:rsid w:val="4D712A38"/>
    <w:rsid w:val="4D7689C1"/>
    <w:rsid w:val="4D7CA3A1"/>
    <w:rsid w:val="4D80923B"/>
    <w:rsid w:val="4D825486"/>
    <w:rsid w:val="4D8485DC"/>
    <w:rsid w:val="4D89AD03"/>
    <w:rsid w:val="4D8A9112"/>
    <w:rsid w:val="4D8B948B"/>
    <w:rsid w:val="4D9B3815"/>
    <w:rsid w:val="4D9B4C63"/>
    <w:rsid w:val="4D9FF69F"/>
    <w:rsid w:val="4DA4B501"/>
    <w:rsid w:val="4DB2EB99"/>
    <w:rsid w:val="4DB3B33A"/>
    <w:rsid w:val="4DB40219"/>
    <w:rsid w:val="4DB5847A"/>
    <w:rsid w:val="4DC32A38"/>
    <w:rsid w:val="4DCC4DF9"/>
    <w:rsid w:val="4DD1C55D"/>
    <w:rsid w:val="4DD99E39"/>
    <w:rsid w:val="4DDB1F84"/>
    <w:rsid w:val="4DE7670E"/>
    <w:rsid w:val="4DE91192"/>
    <w:rsid w:val="4DE9C669"/>
    <w:rsid w:val="4DEE664D"/>
    <w:rsid w:val="4DF00C6D"/>
    <w:rsid w:val="4DF1586B"/>
    <w:rsid w:val="4DF24868"/>
    <w:rsid w:val="4DF45BCA"/>
    <w:rsid w:val="4DF905CD"/>
    <w:rsid w:val="4DF9339F"/>
    <w:rsid w:val="4DF9F354"/>
    <w:rsid w:val="4DFAF89C"/>
    <w:rsid w:val="4E008192"/>
    <w:rsid w:val="4E0E0422"/>
    <w:rsid w:val="4E0E3AE2"/>
    <w:rsid w:val="4E104796"/>
    <w:rsid w:val="4E122D48"/>
    <w:rsid w:val="4E1A8691"/>
    <w:rsid w:val="4E1F1F6C"/>
    <w:rsid w:val="4E26920A"/>
    <w:rsid w:val="4E294AD0"/>
    <w:rsid w:val="4E2BA044"/>
    <w:rsid w:val="4E2E5CDC"/>
    <w:rsid w:val="4E2FDD53"/>
    <w:rsid w:val="4E38231B"/>
    <w:rsid w:val="4E3DF74D"/>
    <w:rsid w:val="4E41F64F"/>
    <w:rsid w:val="4E47D812"/>
    <w:rsid w:val="4E488259"/>
    <w:rsid w:val="4E4D7EAA"/>
    <w:rsid w:val="4E4DE5DE"/>
    <w:rsid w:val="4E4F25B4"/>
    <w:rsid w:val="4E516752"/>
    <w:rsid w:val="4E5224D9"/>
    <w:rsid w:val="4E5561D1"/>
    <w:rsid w:val="4E5C12E4"/>
    <w:rsid w:val="4E5C71B9"/>
    <w:rsid w:val="4E64C963"/>
    <w:rsid w:val="4E660533"/>
    <w:rsid w:val="4E676150"/>
    <w:rsid w:val="4E68CEC7"/>
    <w:rsid w:val="4E69FD9F"/>
    <w:rsid w:val="4E6D8AD6"/>
    <w:rsid w:val="4E6E59F9"/>
    <w:rsid w:val="4E720717"/>
    <w:rsid w:val="4E7332A9"/>
    <w:rsid w:val="4E74BDC1"/>
    <w:rsid w:val="4E74BF6D"/>
    <w:rsid w:val="4E7678BB"/>
    <w:rsid w:val="4E7809EA"/>
    <w:rsid w:val="4E786CD8"/>
    <w:rsid w:val="4E7BA58B"/>
    <w:rsid w:val="4E7BD6F8"/>
    <w:rsid w:val="4E7E90AC"/>
    <w:rsid w:val="4E7EBC58"/>
    <w:rsid w:val="4E7F5D53"/>
    <w:rsid w:val="4E80FEE5"/>
    <w:rsid w:val="4E88EA81"/>
    <w:rsid w:val="4E8CE6A5"/>
    <w:rsid w:val="4E8ED3B1"/>
    <w:rsid w:val="4E8FAFA6"/>
    <w:rsid w:val="4E966007"/>
    <w:rsid w:val="4E97A8AA"/>
    <w:rsid w:val="4E984FDC"/>
    <w:rsid w:val="4EA3AEEF"/>
    <w:rsid w:val="4EA44775"/>
    <w:rsid w:val="4EA85479"/>
    <w:rsid w:val="4EACF83E"/>
    <w:rsid w:val="4EADC677"/>
    <w:rsid w:val="4EAE84ED"/>
    <w:rsid w:val="4EB0A503"/>
    <w:rsid w:val="4EB211F1"/>
    <w:rsid w:val="4EBA7977"/>
    <w:rsid w:val="4ECC0601"/>
    <w:rsid w:val="4ED11B7D"/>
    <w:rsid w:val="4ED47602"/>
    <w:rsid w:val="4ED6EF9D"/>
    <w:rsid w:val="4EDAA9C9"/>
    <w:rsid w:val="4EE1EB84"/>
    <w:rsid w:val="4EE72EB9"/>
    <w:rsid w:val="4EEF1072"/>
    <w:rsid w:val="4EF8491F"/>
    <w:rsid w:val="4EFB41CE"/>
    <w:rsid w:val="4EFE430C"/>
    <w:rsid w:val="4F074304"/>
    <w:rsid w:val="4F0D6377"/>
    <w:rsid w:val="4F0F5C61"/>
    <w:rsid w:val="4F0FAC5D"/>
    <w:rsid w:val="4F10C2D1"/>
    <w:rsid w:val="4F1117A1"/>
    <w:rsid w:val="4F11669F"/>
    <w:rsid w:val="4F1CEA99"/>
    <w:rsid w:val="4F1E8213"/>
    <w:rsid w:val="4F1F2764"/>
    <w:rsid w:val="4F202695"/>
    <w:rsid w:val="4F2178A4"/>
    <w:rsid w:val="4F2584BC"/>
    <w:rsid w:val="4F2959B5"/>
    <w:rsid w:val="4F2A683D"/>
    <w:rsid w:val="4F2AD3B6"/>
    <w:rsid w:val="4F2CC590"/>
    <w:rsid w:val="4F2E57E7"/>
    <w:rsid w:val="4F2EFD68"/>
    <w:rsid w:val="4F2F39AB"/>
    <w:rsid w:val="4F30A654"/>
    <w:rsid w:val="4F31C27A"/>
    <w:rsid w:val="4F35C642"/>
    <w:rsid w:val="4F39B1CD"/>
    <w:rsid w:val="4F3B4D6A"/>
    <w:rsid w:val="4F3D407C"/>
    <w:rsid w:val="4F3E34A0"/>
    <w:rsid w:val="4F3F5E6E"/>
    <w:rsid w:val="4F44212A"/>
    <w:rsid w:val="4F461BAA"/>
    <w:rsid w:val="4F46DFC8"/>
    <w:rsid w:val="4F497DB5"/>
    <w:rsid w:val="4F4C0DF3"/>
    <w:rsid w:val="4F4CFCB7"/>
    <w:rsid w:val="4F4F2760"/>
    <w:rsid w:val="4F533698"/>
    <w:rsid w:val="4F56AC5B"/>
    <w:rsid w:val="4F579B6B"/>
    <w:rsid w:val="4F593589"/>
    <w:rsid w:val="4F5A2EA6"/>
    <w:rsid w:val="4F5B8F1E"/>
    <w:rsid w:val="4F5D33F2"/>
    <w:rsid w:val="4F5E4CB1"/>
    <w:rsid w:val="4F62924A"/>
    <w:rsid w:val="4F6F63CA"/>
    <w:rsid w:val="4F745FD8"/>
    <w:rsid w:val="4F74B59C"/>
    <w:rsid w:val="4F7B9036"/>
    <w:rsid w:val="4F7C3C34"/>
    <w:rsid w:val="4F81AA41"/>
    <w:rsid w:val="4F86686D"/>
    <w:rsid w:val="4F897C53"/>
    <w:rsid w:val="4F8C32E4"/>
    <w:rsid w:val="4F9760C3"/>
    <w:rsid w:val="4F97D141"/>
    <w:rsid w:val="4F9891F5"/>
    <w:rsid w:val="4F98ABDF"/>
    <w:rsid w:val="4F99CC41"/>
    <w:rsid w:val="4F9A5D5E"/>
    <w:rsid w:val="4F9C8EDD"/>
    <w:rsid w:val="4F9FA68A"/>
    <w:rsid w:val="4FA46A4C"/>
    <w:rsid w:val="4FA7F0CB"/>
    <w:rsid w:val="4FACDF04"/>
    <w:rsid w:val="4FAED58A"/>
    <w:rsid w:val="4FB62ACE"/>
    <w:rsid w:val="4FBB02D6"/>
    <w:rsid w:val="4FC216EB"/>
    <w:rsid w:val="4FC3DF86"/>
    <w:rsid w:val="4FC4B5E2"/>
    <w:rsid w:val="4FC588A8"/>
    <w:rsid w:val="4FD147EE"/>
    <w:rsid w:val="4FD84AB6"/>
    <w:rsid w:val="4FDDD2CB"/>
    <w:rsid w:val="4FDE4FBB"/>
    <w:rsid w:val="4FE1F6CE"/>
    <w:rsid w:val="4FE5F39F"/>
    <w:rsid w:val="4FE96757"/>
    <w:rsid w:val="4FEFBFB2"/>
    <w:rsid w:val="4FF0A9B3"/>
    <w:rsid w:val="4FF1893E"/>
    <w:rsid w:val="4FF59CA9"/>
    <w:rsid w:val="4FF6985E"/>
    <w:rsid w:val="4FF9ACC4"/>
    <w:rsid w:val="4FFBA13C"/>
    <w:rsid w:val="500B8774"/>
    <w:rsid w:val="500DE603"/>
    <w:rsid w:val="50121CA3"/>
    <w:rsid w:val="501283F9"/>
    <w:rsid w:val="5016E182"/>
    <w:rsid w:val="5021311E"/>
    <w:rsid w:val="502F78DA"/>
    <w:rsid w:val="50301EA6"/>
    <w:rsid w:val="5030C446"/>
    <w:rsid w:val="5032D5F5"/>
    <w:rsid w:val="50452BB2"/>
    <w:rsid w:val="5048540C"/>
    <w:rsid w:val="5048F4D4"/>
    <w:rsid w:val="504FAE1F"/>
    <w:rsid w:val="5053932B"/>
    <w:rsid w:val="50588EF8"/>
    <w:rsid w:val="5060EB22"/>
    <w:rsid w:val="506300E8"/>
    <w:rsid w:val="5063D0B2"/>
    <w:rsid w:val="5064F785"/>
    <w:rsid w:val="50695793"/>
    <w:rsid w:val="506C8E19"/>
    <w:rsid w:val="50708D38"/>
    <w:rsid w:val="507221CC"/>
    <w:rsid w:val="507C9FB8"/>
    <w:rsid w:val="507E8C46"/>
    <w:rsid w:val="5084ED06"/>
    <w:rsid w:val="50871735"/>
    <w:rsid w:val="50886B17"/>
    <w:rsid w:val="508AD910"/>
    <w:rsid w:val="508C12B7"/>
    <w:rsid w:val="50904E2C"/>
    <w:rsid w:val="50968B5C"/>
    <w:rsid w:val="50973E7B"/>
    <w:rsid w:val="509E4C14"/>
    <w:rsid w:val="50A6D773"/>
    <w:rsid w:val="50A8CDF1"/>
    <w:rsid w:val="50A92863"/>
    <w:rsid w:val="50B243BA"/>
    <w:rsid w:val="50B84F3D"/>
    <w:rsid w:val="50B96505"/>
    <w:rsid w:val="50BCFFBC"/>
    <w:rsid w:val="50BDC5D9"/>
    <w:rsid w:val="50C63AF0"/>
    <w:rsid w:val="50C682DA"/>
    <w:rsid w:val="50CADA87"/>
    <w:rsid w:val="50D07127"/>
    <w:rsid w:val="50D1B2CE"/>
    <w:rsid w:val="50D68FDD"/>
    <w:rsid w:val="50D6B142"/>
    <w:rsid w:val="50DCC822"/>
    <w:rsid w:val="50DEC4A6"/>
    <w:rsid w:val="50E0F9EF"/>
    <w:rsid w:val="50E0FF36"/>
    <w:rsid w:val="50E22D1D"/>
    <w:rsid w:val="50E2C139"/>
    <w:rsid w:val="50E4EA92"/>
    <w:rsid w:val="50E56488"/>
    <w:rsid w:val="50EE2F74"/>
    <w:rsid w:val="50F47BBD"/>
    <w:rsid w:val="50F7DC05"/>
    <w:rsid w:val="50F811F5"/>
    <w:rsid w:val="50FCE93C"/>
    <w:rsid w:val="50FE774B"/>
    <w:rsid w:val="51091811"/>
    <w:rsid w:val="510CFE41"/>
    <w:rsid w:val="510EDB9A"/>
    <w:rsid w:val="511461D2"/>
    <w:rsid w:val="5114AEB7"/>
    <w:rsid w:val="511867CB"/>
    <w:rsid w:val="511F5308"/>
    <w:rsid w:val="511F876B"/>
    <w:rsid w:val="51292684"/>
    <w:rsid w:val="5129835C"/>
    <w:rsid w:val="512BD27D"/>
    <w:rsid w:val="512D8EAC"/>
    <w:rsid w:val="51387270"/>
    <w:rsid w:val="513A9A96"/>
    <w:rsid w:val="513C7213"/>
    <w:rsid w:val="514552E4"/>
    <w:rsid w:val="51460128"/>
    <w:rsid w:val="514DD420"/>
    <w:rsid w:val="515062C1"/>
    <w:rsid w:val="51536AE8"/>
    <w:rsid w:val="515AA350"/>
    <w:rsid w:val="515BDAF4"/>
    <w:rsid w:val="515C25BB"/>
    <w:rsid w:val="515CB1E9"/>
    <w:rsid w:val="515FBFF3"/>
    <w:rsid w:val="5162306C"/>
    <w:rsid w:val="5164B2F8"/>
    <w:rsid w:val="5164CFD9"/>
    <w:rsid w:val="516587EB"/>
    <w:rsid w:val="5165B9D6"/>
    <w:rsid w:val="51673F8A"/>
    <w:rsid w:val="5168BE3B"/>
    <w:rsid w:val="51691044"/>
    <w:rsid w:val="51699CA8"/>
    <w:rsid w:val="516B8BB4"/>
    <w:rsid w:val="516D55F0"/>
    <w:rsid w:val="516F151D"/>
    <w:rsid w:val="516FEB71"/>
    <w:rsid w:val="5176A045"/>
    <w:rsid w:val="5178495D"/>
    <w:rsid w:val="517E1FC2"/>
    <w:rsid w:val="5181A45D"/>
    <w:rsid w:val="5183C759"/>
    <w:rsid w:val="518D3053"/>
    <w:rsid w:val="518E6C1A"/>
    <w:rsid w:val="518F90C5"/>
    <w:rsid w:val="519136FF"/>
    <w:rsid w:val="51919B77"/>
    <w:rsid w:val="51932B61"/>
    <w:rsid w:val="519BF5B1"/>
    <w:rsid w:val="519DABAC"/>
    <w:rsid w:val="519E27CC"/>
    <w:rsid w:val="519F9793"/>
    <w:rsid w:val="519FBF5E"/>
    <w:rsid w:val="51A13958"/>
    <w:rsid w:val="51A58DB4"/>
    <w:rsid w:val="51B05D52"/>
    <w:rsid w:val="51B1BCA8"/>
    <w:rsid w:val="51B2DBFD"/>
    <w:rsid w:val="51B57ADD"/>
    <w:rsid w:val="51B6C5BA"/>
    <w:rsid w:val="51B8FD3C"/>
    <w:rsid w:val="51BCCC16"/>
    <w:rsid w:val="51BEEA88"/>
    <w:rsid w:val="51BF29FB"/>
    <w:rsid w:val="51C21373"/>
    <w:rsid w:val="51C781B7"/>
    <w:rsid w:val="51CB2727"/>
    <w:rsid w:val="51CB8E85"/>
    <w:rsid w:val="51D5EA6A"/>
    <w:rsid w:val="51DA1D5A"/>
    <w:rsid w:val="51DB17C8"/>
    <w:rsid w:val="51DBECD4"/>
    <w:rsid w:val="51DCDF88"/>
    <w:rsid w:val="51E08137"/>
    <w:rsid w:val="51E2DF57"/>
    <w:rsid w:val="51E34AF1"/>
    <w:rsid w:val="51E73843"/>
    <w:rsid w:val="51E8DED9"/>
    <w:rsid w:val="51E941CC"/>
    <w:rsid w:val="51E94D69"/>
    <w:rsid w:val="51EA1094"/>
    <w:rsid w:val="51EED24D"/>
    <w:rsid w:val="51F2D0FC"/>
    <w:rsid w:val="51F4D80C"/>
    <w:rsid w:val="51FAFCC4"/>
    <w:rsid w:val="51FC59DF"/>
    <w:rsid w:val="51FE2D3E"/>
    <w:rsid w:val="520756CB"/>
    <w:rsid w:val="5208D1B7"/>
    <w:rsid w:val="520BFEA8"/>
    <w:rsid w:val="520C76EC"/>
    <w:rsid w:val="520D8A97"/>
    <w:rsid w:val="520F49D5"/>
    <w:rsid w:val="52130AFA"/>
    <w:rsid w:val="52149A06"/>
    <w:rsid w:val="521528E4"/>
    <w:rsid w:val="52190DE0"/>
    <w:rsid w:val="521BA387"/>
    <w:rsid w:val="52272FA5"/>
    <w:rsid w:val="52283FA5"/>
    <w:rsid w:val="522FB252"/>
    <w:rsid w:val="5231DC27"/>
    <w:rsid w:val="52328B5C"/>
    <w:rsid w:val="523A3F6F"/>
    <w:rsid w:val="523EF881"/>
    <w:rsid w:val="52431E44"/>
    <w:rsid w:val="52481CEE"/>
    <w:rsid w:val="52495E57"/>
    <w:rsid w:val="5249A82C"/>
    <w:rsid w:val="524AD2A9"/>
    <w:rsid w:val="524B30D3"/>
    <w:rsid w:val="524B3E64"/>
    <w:rsid w:val="524B3ED1"/>
    <w:rsid w:val="524DDF17"/>
    <w:rsid w:val="5251CCB7"/>
    <w:rsid w:val="5251FF88"/>
    <w:rsid w:val="525273F3"/>
    <w:rsid w:val="5257FD01"/>
    <w:rsid w:val="5258AABE"/>
    <w:rsid w:val="525B4DE3"/>
    <w:rsid w:val="525D15FA"/>
    <w:rsid w:val="525D2408"/>
    <w:rsid w:val="525EFB1B"/>
    <w:rsid w:val="5261FBDB"/>
    <w:rsid w:val="52679E1F"/>
    <w:rsid w:val="526DBB71"/>
    <w:rsid w:val="52700FCD"/>
    <w:rsid w:val="52701785"/>
    <w:rsid w:val="52773021"/>
    <w:rsid w:val="52778217"/>
    <w:rsid w:val="5278B398"/>
    <w:rsid w:val="527D5BF7"/>
    <w:rsid w:val="527F01DA"/>
    <w:rsid w:val="528175C9"/>
    <w:rsid w:val="5289A2D6"/>
    <w:rsid w:val="528C1EB7"/>
    <w:rsid w:val="528CAC82"/>
    <w:rsid w:val="52904C1E"/>
    <w:rsid w:val="5299C00A"/>
    <w:rsid w:val="5299EE40"/>
    <w:rsid w:val="529F6F56"/>
    <w:rsid w:val="52A10F7C"/>
    <w:rsid w:val="52AC72C5"/>
    <w:rsid w:val="52AD4423"/>
    <w:rsid w:val="52B15B3D"/>
    <w:rsid w:val="52B60359"/>
    <w:rsid w:val="52B872D6"/>
    <w:rsid w:val="52BA40CC"/>
    <w:rsid w:val="52BB5C32"/>
    <w:rsid w:val="52C4839C"/>
    <w:rsid w:val="52D3F69A"/>
    <w:rsid w:val="52D60EE8"/>
    <w:rsid w:val="52D96AA2"/>
    <w:rsid w:val="52E085C2"/>
    <w:rsid w:val="52E8DF79"/>
    <w:rsid w:val="52EC81BB"/>
    <w:rsid w:val="52F31A33"/>
    <w:rsid w:val="52F918B7"/>
    <w:rsid w:val="5301B91E"/>
    <w:rsid w:val="5304A258"/>
    <w:rsid w:val="53057A43"/>
    <w:rsid w:val="53064FC5"/>
    <w:rsid w:val="53075190"/>
    <w:rsid w:val="53110F29"/>
    <w:rsid w:val="5312033C"/>
    <w:rsid w:val="531CB992"/>
    <w:rsid w:val="531D2674"/>
    <w:rsid w:val="5320BF89"/>
    <w:rsid w:val="5321CB4E"/>
    <w:rsid w:val="53230130"/>
    <w:rsid w:val="53243D9C"/>
    <w:rsid w:val="5324548A"/>
    <w:rsid w:val="53272C04"/>
    <w:rsid w:val="5328D1D1"/>
    <w:rsid w:val="532C6009"/>
    <w:rsid w:val="5330DE8E"/>
    <w:rsid w:val="5330FB9D"/>
    <w:rsid w:val="53317A54"/>
    <w:rsid w:val="533683E1"/>
    <w:rsid w:val="5337A44B"/>
    <w:rsid w:val="5338931E"/>
    <w:rsid w:val="533A9D37"/>
    <w:rsid w:val="533C4D1D"/>
    <w:rsid w:val="533FD8C3"/>
    <w:rsid w:val="534512CD"/>
    <w:rsid w:val="5345D6A0"/>
    <w:rsid w:val="5346A07D"/>
    <w:rsid w:val="534775A0"/>
    <w:rsid w:val="534F3FFC"/>
    <w:rsid w:val="5357C1C8"/>
    <w:rsid w:val="5358C996"/>
    <w:rsid w:val="535D158B"/>
    <w:rsid w:val="535FC94A"/>
    <w:rsid w:val="5360E589"/>
    <w:rsid w:val="5362C9CE"/>
    <w:rsid w:val="5365D055"/>
    <w:rsid w:val="536C69A5"/>
    <w:rsid w:val="53703BEC"/>
    <w:rsid w:val="5371436E"/>
    <w:rsid w:val="53777D3C"/>
    <w:rsid w:val="537804FB"/>
    <w:rsid w:val="5380E409"/>
    <w:rsid w:val="5381F610"/>
    <w:rsid w:val="53912697"/>
    <w:rsid w:val="53912804"/>
    <w:rsid w:val="53916C6D"/>
    <w:rsid w:val="5397EAF9"/>
    <w:rsid w:val="53A35EB1"/>
    <w:rsid w:val="53A4E416"/>
    <w:rsid w:val="53A4F162"/>
    <w:rsid w:val="53A56F58"/>
    <w:rsid w:val="53AB9A98"/>
    <w:rsid w:val="53AF18B6"/>
    <w:rsid w:val="53AF8C65"/>
    <w:rsid w:val="53B08FD8"/>
    <w:rsid w:val="53B1754E"/>
    <w:rsid w:val="53B339B1"/>
    <w:rsid w:val="53B5417E"/>
    <w:rsid w:val="53BC5F43"/>
    <w:rsid w:val="53BD9D48"/>
    <w:rsid w:val="53BDD075"/>
    <w:rsid w:val="53BE371E"/>
    <w:rsid w:val="53BF24C2"/>
    <w:rsid w:val="53C347A3"/>
    <w:rsid w:val="53C62B2D"/>
    <w:rsid w:val="53C8A030"/>
    <w:rsid w:val="53CF16DD"/>
    <w:rsid w:val="53CFDB71"/>
    <w:rsid w:val="53D0762B"/>
    <w:rsid w:val="53D69499"/>
    <w:rsid w:val="53E0F6A9"/>
    <w:rsid w:val="53E21F1A"/>
    <w:rsid w:val="53E71411"/>
    <w:rsid w:val="53E96A8E"/>
    <w:rsid w:val="53EB90C7"/>
    <w:rsid w:val="53ED4F67"/>
    <w:rsid w:val="53F47B36"/>
    <w:rsid w:val="53F71965"/>
    <w:rsid w:val="53F949BC"/>
    <w:rsid w:val="53FA3B09"/>
    <w:rsid w:val="53FAFD29"/>
    <w:rsid w:val="53FF41DD"/>
    <w:rsid w:val="5407DFE0"/>
    <w:rsid w:val="540D5109"/>
    <w:rsid w:val="540F6AC2"/>
    <w:rsid w:val="5410EC6A"/>
    <w:rsid w:val="54156E65"/>
    <w:rsid w:val="5415C9A1"/>
    <w:rsid w:val="541ACA40"/>
    <w:rsid w:val="5420CB70"/>
    <w:rsid w:val="5420D6C4"/>
    <w:rsid w:val="54236E14"/>
    <w:rsid w:val="5428A9A0"/>
    <w:rsid w:val="543213A2"/>
    <w:rsid w:val="5436985A"/>
    <w:rsid w:val="543AB95C"/>
    <w:rsid w:val="543E5C87"/>
    <w:rsid w:val="543E7933"/>
    <w:rsid w:val="543F8A41"/>
    <w:rsid w:val="543FD937"/>
    <w:rsid w:val="5443145E"/>
    <w:rsid w:val="5444FA08"/>
    <w:rsid w:val="5449C0C3"/>
    <w:rsid w:val="544B3CE0"/>
    <w:rsid w:val="544D7F73"/>
    <w:rsid w:val="54553B0D"/>
    <w:rsid w:val="5458A256"/>
    <w:rsid w:val="545CFF75"/>
    <w:rsid w:val="545EA65D"/>
    <w:rsid w:val="54659639"/>
    <w:rsid w:val="54685097"/>
    <w:rsid w:val="54692447"/>
    <w:rsid w:val="546EC42E"/>
    <w:rsid w:val="547ADDAF"/>
    <w:rsid w:val="547EEED7"/>
    <w:rsid w:val="548074F6"/>
    <w:rsid w:val="5483E957"/>
    <w:rsid w:val="54852B81"/>
    <w:rsid w:val="54870AE9"/>
    <w:rsid w:val="5487B703"/>
    <w:rsid w:val="5488AE11"/>
    <w:rsid w:val="5489353E"/>
    <w:rsid w:val="548FF0B4"/>
    <w:rsid w:val="54910121"/>
    <w:rsid w:val="5493B9A3"/>
    <w:rsid w:val="549563BE"/>
    <w:rsid w:val="54A1D5C6"/>
    <w:rsid w:val="54A469FA"/>
    <w:rsid w:val="54A70A60"/>
    <w:rsid w:val="54A9260A"/>
    <w:rsid w:val="54AEBA8D"/>
    <w:rsid w:val="54BE901C"/>
    <w:rsid w:val="54C0D615"/>
    <w:rsid w:val="54C36ED6"/>
    <w:rsid w:val="54C75C5E"/>
    <w:rsid w:val="54C82D16"/>
    <w:rsid w:val="54C8483E"/>
    <w:rsid w:val="54C95B5D"/>
    <w:rsid w:val="54CA256A"/>
    <w:rsid w:val="54CD09E7"/>
    <w:rsid w:val="54CF8FB8"/>
    <w:rsid w:val="54D5D708"/>
    <w:rsid w:val="54DB1C5D"/>
    <w:rsid w:val="54E01C19"/>
    <w:rsid w:val="54E63F6D"/>
    <w:rsid w:val="54E69185"/>
    <w:rsid w:val="54E851E6"/>
    <w:rsid w:val="54F8318A"/>
    <w:rsid w:val="55013E63"/>
    <w:rsid w:val="550644C5"/>
    <w:rsid w:val="5506EF90"/>
    <w:rsid w:val="5509B684"/>
    <w:rsid w:val="550A8990"/>
    <w:rsid w:val="550AB3A6"/>
    <w:rsid w:val="550B099F"/>
    <w:rsid w:val="550E9AF9"/>
    <w:rsid w:val="5510EE02"/>
    <w:rsid w:val="55127F88"/>
    <w:rsid w:val="55162712"/>
    <w:rsid w:val="551C40C3"/>
    <w:rsid w:val="551EC63C"/>
    <w:rsid w:val="551F59EE"/>
    <w:rsid w:val="55210797"/>
    <w:rsid w:val="55212967"/>
    <w:rsid w:val="552141ED"/>
    <w:rsid w:val="55216781"/>
    <w:rsid w:val="5522E037"/>
    <w:rsid w:val="55256492"/>
    <w:rsid w:val="5526A6A6"/>
    <w:rsid w:val="552776CB"/>
    <w:rsid w:val="55299336"/>
    <w:rsid w:val="552D5808"/>
    <w:rsid w:val="5530704A"/>
    <w:rsid w:val="5534E2EA"/>
    <w:rsid w:val="55360119"/>
    <w:rsid w:val="553A9A35"/>
    <w:rsid w:val="553BCA86"/>
    <w:rsid w:val="553FEAC7"/>
    <w:rsid w:val="55475FF8"/>
    <w:rsid w:val="554A86CA"/>
    <w:rsid w:val="554D5489"/>
    <w:rsid w:val="554F5010"/>
    <w:rsid w:val="555BCEDD"/>
    <w:rsid w:val="555C0B85"/>
    <w:rsid w:val="555EDE67"/>
    <w:rsid w:val="556A4544"/>
    <w:rsid w:val="556B2AA4"/>
    <w:rsid w:val="556E7ACE"/>
    <w:rsid w:val="557185D9"/>
    <w:rsid w:val="5572EA6E"/>
    <w:rsid w:val="557472ED"/>
    <w:rsid w:val="5575FD2F"/>
    <w:rsid w:val="5576B61A"/>
    <w:rsid w:val="5577B5AB"/>
    <w:rsid w:val="557B35B7"/>
    <w:rsid w:val="557B453A"/>
    <w:rsid w:val="557D1C1A"/>
    <w:rsid w:val="557EB405"/>
    <w:rsid w:val="557F03E0"/>
    <w:rsid w:val="55801A1D"/>
    <w:rsid w:val="55826ECF"/>
    <w:rsid w:val="558DCDB4"/>
    <w:rsid w:val="55913E0D"/>
    <w:rsid w:val="5594D69E"/>
    <w:rsid w:val="55A0D3C6"/>
    <w:rsid w:val="55A432E0"/>
    <w:rsid w:val="55A4ABD0"/>
    <w:rsid w:val="55A6BDC2"/>
    <w:rsid w:val="55A8BBF9"/>
    <w:rsid w:val="55B24728"/>
    <w:rsid w:val="55B26C56"/>
    <w:rsid w:val="55B42B20"/>
    <w:rsid w:val="55BAB0E3"/>
    <w:rsid w:val="55BEA87B"/>
    <w:rsid w:val="55CB9875"/>
    <w:rsid w:val="55CE0BE7"/>
    <w:rsid w:val="55CF6FB1"/>
    <w:rsid w:val="55CF7AFB"/>
    <w:rsid w:val="55D0A95F"/>
    <w:rsid w:val="55D1549D"/>
    <w:rsid w:val="55D3C4F1"/>
    <w:rsid w:val="55D650F3"/>
    <w:rsid w:val="55D898AF"/>
    <w:rsid w:val="55DFFCF1"/>
    <w:rsid w:val="55E10EBF"/>
    <w:rsid w:val="55E14E94"/>
    <w:rsid w:val="55E1A201"/>
    <w:rsid w:val="55E20819"/>
    <w:rsid w:val="55E32D53"/>
    <w:rsid w:val="55E9FC0F"/>
    <w:rsid w:val="55EB7C1D"/>
    <w:rsid w:val="55EC943C"/>
    <w:rsid w:val="55EE1787"/>
    <w:rsid w:val="55EF1029"/>
    <w:rsid w:val="55F030A4"/>
    <w:rsid w:val="55F59453"/>
    <w:rsid w:val="55F9B4E4"/>
    <w:rsid w:val="55FA3C6B"/>
    <w:rsid w:val="55FBE067"/>
    <w:rsid w:val="56068103"/>
    <w:rsid w:val="560788A5"/>
    <w:rsid w:val="56083BA2"/>
    <w:rsid w:val="56099DDF"/>
    <w:rsid w:val="560E1FD7"/>
    <w:rsid w:val="5612E6FA"/>
    <w:rsid w:val="5613988B"/>
    <w:rsid w:val="56139B04"/>
    <w:rsid w:val="5613BA6E"/>
    <w:rsid w:val="561860DC"/>
    <w:rsid w:val="561D8598"/>
    <w:rsid w:val="561E7450"/>
    <w:rsid w:val="562C002C"/>
    <w:rsid w:val="562CC31F"/>
    <w:rsid w:val="562F9432"/>
    <w:rsid w:val="563263D9"/>
    <w:rsid w:val="563A8156"/>
    <w:rsid w:val="564158DC"/>
    <w:rsid w:val="56420049"/>
    <w:rsid w:val="56544381"/>
    <w:rsid w:val="5656BEFA"/>
    <w:rsid w:val="56574D50"/>
    <w:rsid w:val="565C4933"/>
    <w:rsid w:val="5660B933"/>
    <w:rsid w:val="56632F77"/>
    <w:rsid w:val="5664FE8C"/>
    <w:rsid w:val="5666908C"/>
    <w:rsid w:val="567198EF"/>
    <w:rsid w:val="5677D341"/>
    <w:rsid w:val="5678C639"/>
    <w:rsid w:val="567C2CEE"/>
    <w:rsid w:val="567E4CAE"/>
    <w:rsid w:val="5681146E"/>
    <w:rsid w:val="568722B0"/>
    <w:rsid w:val="568B9635"/>
    <w:rsid w:val="56900013"/>
    <w:rsid w:val="56993820"/>
    <w:rsid w:val="569C754D"/>
    <w:rsid w:val="56A784CF"/>
    <w:rsid w:val="56A79DAF"/>
    <w:rsid w:val="56AAA4CD"/>
    <w:rsid w:val="56ABB610"/>
    <w:rsid w:val="56AD7BDB"/>
    <w:rsid w:val="56B00E27"/>
    <w:rsid w:val="56B3F593"/>
    <w:rsid w:val="56B529A1"/>
    <w:rsid w:val="56B66536"/>
    <w:rsid w:val="56B6C78E"/>
    <w:rsid w:val="56B9918B"/>
    <w:rsid w:val="56C0C929"/>
    <w:rsid w:val="56C0CEF8"/>
    <w:rsid w:val="56C5B0E0"/>
    <w:rsid w:val="56C5D095"/>
    <w:rsid w:val="56C63977"/>
    <w:rsid w:val="56C7444A"/>
    <w:rsid w:val="56C93D92"/>
    <w:rsid w:val="56CA501A"/>
    <w:rsid w:val="56D3FAED"/>
    <w:rsid w:val="56D48166"/>
    <w:rsid w:val="56DD0A80"/>
    <w:rsid w:val="56DD3634"/>
    <w:rsid w:val="56DF489D"/>
    <w:rsid w:val="56E289FD"/>
    <w:rsid w:val="56E3C382"/>
    <w:rsid w:val="56E8CB86"/>
    <w:rsid w:val="56E8E09D"/>
    <w:rsid w:val="56EBF1E3"/>
    <w:rsid w:val="56F084F3"/>
    <w:rsid w:val="56F1CAA6"/>
    <w:rsid w:val="56F207A6"/>
    <w:rsid w:val="56F579B3"/>
    <w:rsid w:val="5701D307"/>
    <w:rsid w:val="570221FD"/>
    <w:rsid w:val="57035E85"/>
    <w:rsid w:val="5704EDBC"/>
    <w:rsid w:val="57053BA8"/>
    <w:rsid w:val="5707853E"/>
    <w:rsid w:val="570A861B"/>
    <w:rsid w:val="570FBF40"/>
    <w:rsid w:val="57141C19"/>
    <w:rsid w:val="5714619C"/>
    <w:rsid w:val="5714E4BE"/>
    <w:rsid w:val="5718730B"/>
    <w:rsid w:val="5719285F"/>
    <w:rsid w:val="571F8E88"/>
    <w:rsid w:val="57201D1A"/>
    <w:rsid w:val="57213585"/>
    <w:rsid w:val="572566F9"/>
    <w:rsid w:val="572635D1"/>
    <w:rsid w:val="572659E1"/>
    <w:rsid w:val="572A61D6"/>
    <w:rsid w:val="572EFFDF"/>
    <w:rsid w:val="5733B358"/>
    <w:rsid w:val="5738EDDF"/>
    <w:rsid w:val="573B4326"/>
    <w:rsid w:val="573BE5FD"/>
    <w:rsid w:val="573EF992"/>
    <w:rsid w:val="57476FEB"/>
    <w:rsid w:val="574D489D"/>
    <w:rsid w:val="574F6530"/>
    <w:rsid w:val="57555CAE"/>
    <w:rsid w:val="575F0E8B"/>
    <w:rsid w:val="57670B63"/>
    <w:rsid w:val="5768758E"/>
    <w:rsid w:val="576AE3ED"/>
    <w:rsid w:val="576B1B4A"/>
    <w:rsid w:val="57701FFA"/>
    <w:rsid w:val="5771785A"/>
    <w:rsid w:val="5771B38B"/>
    <w:rsid w:val="5771D5A6"/>
    <w:rsid w:val="5774310F"/>
    <w:rsid w:val="57743FF1"/>
    <w:rsid w:val="57759EB3"/>
    <w:rsid w:val="57795156"/>
    <w:rsid w:val="577EB0FA"/>
    <w:rsid w:val="577FA165"/>
    <w:rsid w:val="577FB0EC"/>
    <w:rsid w:val="5780792E"/>
    <w:rsid w:val="57834884"/>
    <w:rsid w:val="5785DFDC"/>
    <w:rsid w:val="578724B9"/>
    <w:rsid w:val="578ADA02"/>
    <w:rsid w:val="578EB27E"/>
    <w:rsid w:val="5795A0FF"/>
    <w:rsid w:val="5798F8B3"/>
    <w:rsid w:val="579C9BA2"/>
    <w:rsid w:val="57A3A0ED"/>
    <w:rsid w:val="57A55A05"/>
    <w:rsid w:val="57A8C5E4"/>
    <w:rsid w:val="57AECE22"/>
    <w:rsid w:val="57B28312"/>
    <w:rsid w:val="57B573B3"/>
    <w:rsid w:val="57B5DFB1"/>
    <w:rsid w:val="57B8FFD3"/>
    <w:rsid w:val="57BBD5B6"/>
    <w:rsid w:val="57BC4C96"/>
    <w:rsid w:val="57BCC892"/>
    <w:rsid w:val="57BD21C8"/>
    <w:rsid w:val="57BD884F"/>
    <w:rsid w:val="57BFE148"/>
    <w:rsid w:val="57CA196C"/>
    <w:rsid w:val="57CBB9C2"/>
    <w:rsid w:val="57D038E8"/>
    <w:rsid w:val="57DC09DE"/>
    <w:rsid w:val="57DFDEAB"/>
    <w:rsid w:val="57E26FF6"/>
    <w:rsid w:val="57E5A50A"/>
    <w:rsid w:val="57E6D23A"/>
    <w:rsid w:val="57E9AA04"/>
    <w:rsid w:val="57F0F55F"/>
    <w:rsid w:val="57F1DC70"/>
    <w:rsid w:val="57F26877"/>
    <w:rsid w:val="57F3F251"/>
    <w:rsid w:val="57F48F91"/>
    <w:rsid w:val="57FC0F32"/>
    <w:rsid w:val="57FC357D"/>
    <w:rsid w:val="580329A1"/>
    <w:rsid w:val="58042ADF"/>
    <w:rsid w:val="58055194"/>
    <w:rsid w:val="5806CB15"/>
    <w:rsid w:val="5807E80B"/>
    <w:rsid w:val="5808ED28"/>
    <w:rsid w:val="58099A31"/>
    <w:rsid w:val="580BBCEC"/>
    <w:rsid w:val="580D21F1"/>
    <w:rsid w:val="581C1D85"/>
    <w:rsid w:val="581C5C92"/>
    <w:rsid w:val="58212035"/>
    <w:rsid w:val="582415E7"/>
    <w:rsid w:val="5825ACD8"/>
    <w:rsid w:val="582C4961"/>
    <w:rsid w:val="582FD006"/>
    <w:rsid w:val="58306AC2"/>
    <w:rsid w:val="5833235B"/>
    <w:rsid w:val="58359B34"/>
    <w:rsid w:val="5839CD42"/>
    <w:rsid w:val="583D5039"/>
    <w:rsid w:val="58459C3C"/>
    <w:rsid w:val="5850C6AC"/>
    <w:rsid w:val="58526AB6"/>
    <w:rsid w:val="5856D07C"/>
    <w:rsid w:val="5859FACE"/>
    <w:rsid w:val="585F643A"/>
    <w:rsid w:val="58636179"/>
    <w:rsid w:val="5864DDEC"/>
    <w:rsid w:val="5868163A"/>
    <w:rsid w:val="58684CCC"/>
    <w:rsid w:val="58732827"/>
    <w:rsid w:val="5873FA48"/>
    <w:rsid w:val="58792646"/>
    <w:rsid w:val="58796B08"/>
    <w:rsid w:val="587F2FE7"/>
    <w:rsid w:val="5884C602"/>
    <w:rsid w:val="58859D39"/>
    <w:rsid w:val="58920F78"/>
    <w:rsid w:val="5894C51E"/>
    <w:rsid w:val="589B6CE6"/>
    <w:rsid w:val="589D0249"/>
    <w:rsid w:val="589EEFFB"/>
    <w:rsid w:val="58A35E00"/>
    <w:rsid w:val="58AB282D"/>
    <w:rsid w:val="58ABEDCE"/>
    <w:rsid w:val="58ADAF52"/>
    <w:rsid w:val="58B14BE2"/>
    <w:rsid w:val="58BD2663"/>
    <w:rsid w:val="58C3AE54"/>
    <w:rsid w:val="58C4233D"/>
    <w:rsid w:val="58C56BD6"/>
    <w:rsid w:val="58C7518B"/>
    <w:rsid w:val="58C9A093"/>
    <w:rsid w:val="58CA85B1"/>
    <w:rsid w:val="58CE6E69"/>
    <w:rsid w:val="58D2BD82"/>
    <w:rsid w:val="58D828DD"/>
    <w:rsid w:val="58D9CDD2"/>
    <w:rsid w:val="58DDF7AE"/>
    <w:rsid w:val="58E01ABA"/>
    <w:rsid w:val="58E18EB3"/>
    <w:rsid w:val="58E1BC2E"/>
    <w:rsid w:val="58E55BD1"/>
    <w:rsid w:val="58E64A0D"/>
    <w:rsid w:val="58E8C89D"/>
    <w:rsid w:val="58E97C1C"/>
    <w:rsid w:val="58F7FF87"/>
    <w:rsid w:val="58F972F7"/>
    <w:rsid w:val="58F9C793"/>
    <w:rsid w:val="58FCCB1B"/>
    <w:rsid w:val="58FD3ACD"/>
    <w:rsid w:val="58FF4EAD"/>
    <w:rsid w:val="58FFCF28"/>
    <w:rsid w:val="59017338"/>
    <w:rsid w:val="5907A3CF"/>
    <w:rsid w:val="590B0C24"/>
    <w:rsid w:val="591060BD"/>
    <w:rsid w:val="5914E3B8"/>
    <w:rsid w:val="591A9468"/>
    <w:rsid w:val="591B337B"/>
    <w:rsid w:val="591F5EE5"/>
    <w:rsid w:val="5923B70D"/>
    <w:rsid w:val="59263A7C"/>
    <w:rsid w:val="592B9BAB"/>
    <w:rsid w:val="592DD497"/>
    <w:rsid w:val="592ECE44"/>
    <w:rsid w:val="5931A1EE"/>
    <w:rsid w:val="59358CA2"/>
    <w:rsid w:val="59360578"/>
    <w:rsid w:val="593C01E7"/>
    <w:rsid w:val="593CCE4A"/>
    <w:rsid w:val="59413AE9"/>
    <w:rsid w:val="594154BE"/>
    <w:rsid w:val="5941C1BE"/>
    <w:rsid w:val="594DACAA"/>
    <w:rsid w:val="594ECA37"/>
    <w:rsid w:val="59502EAC"/>
    <w:rsid w:val="595C60B1"/>
    <w:rsid w:val="595CFE34"/>
    <w:rsid w:val="5961374A"/>
    <w:rsid w:val="59613ABB"/>
    <w:rsid w:val="59619360"/>
    <w:rsid w:val="596366E0"/>
    <w:rsid w:val="5964375D"/>
    <w:rsid w:val="5969375C"/>
    <w:rsid w:val="596DB25A"/>
    <w:rsid w:val="596F7AA6"/>
    <w:rsid w:val="597E8761"/>
    <w:rsid w:val="598318B7"/>
    <w:rsid w:val="59877F3A"/>
    <w:rsid w:val="59890AD6"/>
    <w:rsid w:val="59901587"/>
    <w:rsid w:val="5994BCF7"/>
    <w:rsid w:val="5996096B"/>
    <w:rsid w:val="599706FC"/>
    <w:rsid w:val="59989B9A"/>
    <w:rsid w:val="599A65EA"/>
    <w:rsid w:val="599F64D6"/>
    <w:rsid w:val="599FA6BB"/>
    <w:rsid w:val="59A0CC25"/>
    <w:rsid w:val="59A0ED7D"/>
    <w:rsid w:val="59A22DD3"/>
    <w:rsid w:val="59A28638"/>
    <w:rsid w:val="59A41DD1"/>
    <w:rsid w:val="59A72CF9"/>
    <w:rsid w:val="59AA3942"/>
    <w:rsid w:val="59AC8711"/>
    <w:rsid w:val="59B581CE"/>
    <w:rsid w:val="59BC8E1B"/>
    <w:rsid w:val="59C20255"/>
    <w:rsid w:val="59C67388"/>
    <w:rsid w:val="59D03646"/>
    <w:rsid w:val="59D2D2B6"/>
    <w:rsid w:val="59D49DBD"/>
    <w:rsid w:val="59DA680B"/>
    <w:rsid w:val="59DCC48A"/>
    <w:rsid w:val="59DD9EDD"/>
    <w:rsid w:val="59DE8466"/>
    <w:rsid w:val="59E227FB"/>
    <w:rsid w:val="59E34246"/>
    <w:rsid w:val="59EC6079"/>
    <w:rsid w:val="59ECB51F"/>
    <w:rsid w:val="59F0BD1C"/>
    <w:rsid w:val="59F32EEB"/>
    <w:rsid w:val="59F8F01F"/>
    <w:rsid w:val="59FB2DCB"/>
    <w:rsid w:val="59FB443A"/>
    <w:rsid w:val="59FD3998"/>
    <w:rsid w:val="59FE1379"/>
    <w:rsid w:val="59FFF4C5"/>
    <w:rsid w:val="5A002AFE"/>
    <w:rsid w:val="5A01F348"/>
    <w:rsid w:val="5A034DB1"/>
    <w:rsid w:val="5A040000"/>
    <w:rsid w:val="5A04436B"/>
    <w:rsid w:val="5A04CF7E"/>
    <w:rsid w:val="5A04F353"/>
    <w:rsid w:val="5A0BED74"/>
    <w:rsid w:val="5A0FECA1"/>
    <w:rsid w:val="5A109496"/>
    <w:rsid w:val="5A1243CD"/>
    <w:rsid w:val="5A15A05A"/>
    <w:rsid w:val="5A15A598"/>
    <w:rsid w:val="5A19EBA8"/>
    <w:rsid w:val="5A1A832D"/>
    <w:rsid w:val="5A23CF35"/>
    <w:rsid w:val="5A24275B"/>
    <w:rsid w:val="5A26A209"/>
    <w:rsid w:val="5A2BEADB"/>
    <w:rsid w:val="5A2CC7E8"/>
    <w:rsid w:val="5A31A28C"/>
    <w:rsid w:val="5A343EF1"/>
    <w:rsid w:val="5A34C2B4"/>
    <w:rsid w:val="5A36633D"/>
    <w:rsid w:val="5A387781"/>
    <w:rsid w:val="5A3A2635"/>
    <w:rsid w:val="5A3D7A0A"/>
    <w:rsid w:val="5A444B3D"/>
    <w:rsid w:val="5A450093"/>
    <w:rsid w:val="5A453DFD"/>
    <w:rsid w:val="5A4545BD"/>
    <w:rsid w:val="5A49730E"/>
    <w:rsid w:val="5A54C6EE"/>
    <w:rsid w:val="5A556586"/>
    <w:rsid w:val="5A627CDD"/>
    <w:rsid w:val="5A653877"/>
    <w:rsid w:val="5A6B16AC"/>
    <w:rsid w:val="5A700324"/>
    <w:rsid w:val="5A71C190"/>
    <w:rsid w:val="5A74C1ED"/>
    <w:rsid w:val="5A769EAE"/>
    <w:rsid w:val="5A791B6D"/>
    <w:rsid w:val="5A7B4F7B"/>
    <w:rsid w:val="5A7C1770"/>
    <w:rsid w:val="5A7D2B6F"/>
    <w:rsid w:val="5A809518"/>
    <w:rsid w:val="5A80E302"/>
    <w:rsid w:val="5A82E368"/>
    <w:rsid w:val="5A83D350"/>
    <w:rsid w:val="5A870A20"/>
    <w:rsid w:val="5A9153A6"/>
    <w:rsid w:val="5A921F34"/>
    <w:rsid w:val="5A98C8DE"/>
    <w:rsid w:val="5A992532"/>
    <w:rsid w:val="5A9D1EBB"/>
    <w:rsid w:val="5AA19634"/>
    <w:rsid w:val="5AA1CF1C"/>
    <w:rsid w:val="5AA672A9"/>
    <w:rsid w:val="5AB5E735"/>
    <w:rsid w:val="5AB9D8CB"/>
    <w:rsid w:val="5ABA1AE7"/>
    <w:rsid w:val="5ABC2698"/>
    <w:rsid w:val="5ABFE3EC"/>
    <w:rsid w:val="5AC0F36E"/>
    <w:rsid w:val="5AC37FE6"/>
    <w:rsid w:val="5AC3940C"/>
    <w:rsid w:val="5AC46767"/>
    <w:rsid w:val="5AC670EF"/>
    <w:rsid w:val="5AC8EBE2"/>
    <w:rsid w:val="5ACFEDEF"/>
    <w:rsid w:val="5AD5FF65"/>
    <w:rsid w:val="5AD69224"/>
    <w:rsid w:val="5AD7C5B5"/>
    <w:rsid w:val="5AD7D486"/>
    <w:rsid w:val="5ADF19F4"/>
    <w:rsid w:val="5ADF9890"/>
    <w:rsid w:val="5ADFA93D"/>
    <w:rsid w:val="5AE12B8F"/>
    <w:rsid w:val="5AE30065"/>
    <w:rsid w:val="5AE4AB70"/>
    <w:rsid w:val="5AE685CC"/>
    <w:rsid w:val="5AE987A4"/>
    <w:rsid w:val="5AEB72F9"/>
    <w:rsid w:val="5AEDB553"/>
    <w:rsid w:val="5AEF01C6"/>
    <w:rsid w:val="5AF63F77"/>
    <w:rsid w:val="5AFAC2AE"/>
    <w:rsid w:val="5AFD0914"/>
    <w:rsid w:val="5AFD5D05"/>
    <w:rsid w:val="5AFEEEB6"/>
    <w:rsid w:val="5B01B1A4"/>
    <w:rsid w:val="5B02A8BC"/>
    <w:rsid w:val="5B0450FD"/>
    <w:rsid w:val="5B06A90E"/>
    <w:rsid w:val="5B0946DB"/>
    <w:rsid w:val="5B0AA5D0"/>
    <w:rsid w:val="5B0B7A8A"/>
    <w:rsid w:val="5B152D63"/>
    <w:rsid w:val="5B16E4A4"/>
    <w:rsid w:val="5B171EC1"/>
    <w:rsid w:val="5B189F77"/>
    <w:rsid w:val="5B1AA77A"/>
    <w:rsid w:val="5B1E1304"/>
    <w:rsid w:val="5B1EEA90"/>
    <w:rsid w:val="5B246124"/>
    <w:rsid w:val="5B2630C6"/>
    <w:rsid w:val="5B2662C2"/>
    <w:rsid w:val="5B282170"/>
    <w:rsid w:val="5B2855DD"/>
    <w:rsid w:val="5B28F65E"/>
    <w:rsid w:val="5B2BE382"/>
    <w:rsid w:val="5B2CD03E"/>
    <w:rsid w:val="5B31CDAE"/>
    <w:rsid w:val="5B326FAD"/>
    <w:rsid w:val="5B32D717"/>
    <w:rsid w:val="5B3318A4"/>
    <w:rsid w:val="5B343DFE"/>
    <w:rsid w:val="5B34B208"/>
    <w:rsid w:val="5B37887C"/>
    <w:rsid w:val="5B3A1111"/>
    <w:rsid w:val="5B42DCFB"/>
    <w:rsid w:val="5B439A40"/>
    <w:rsid w:val="5B4AAA83"/>
    <w:rsid w:val="5B4DA488"/>
    <w:rsid w:val="5B52F9AB"/>
    <w:rsid w:val="5B54CAA7"/>
    <w:rsid w:val="5B622FEE"/>
    <w:rsid w:val="5B629039"/>
    <w:rsid w:val="5B6377F4"/>
    <w:rsid w:val="5B65D585"/>
    <w:rsid w:val="5B676B3A"/>
    <w:rsid w:val="5B683177"/>
    <w:rsid w:val="5B720610"/>
    <w:rsid w:val="5B793F19"/>
    <w:rsid w:val="5B798EC8"/>
    <w:rsid w:val="5B7F9121"/>
    <w:rsid w:val="5B800958"/>
    <w:rsid w:val="5B807289"/>
    <w:rsid w:val="5B8074EC"/>
    <w:rsid w:val="5B848F53"/>
    <w:rsid w:val="5B871051"/>
    <w:rsid w:val="5B8AC5EB"/>
    <w:rsid w:val="5B8B284B"/>
    <w:rsid w:val="5B8F20F6"/>
    <w:rsid w:val="5B957602"/>
    <w:rsid w:val="5B98C951"/>
    <w:rsid w:val="5B9AB893"/>
    <w:rsid w:val="5B9D1E62"/>
    <w:rsid w:val="5BA153AF"/>
    <w:rsid w:val="5BA1B2D1"/>
    <w:rsid w:val="5BA220EA"/>
    <w:rsid w:val="5BA22E97"/>
    <w:rsid w:val="5BA6251A"/>
    <w:rsid w:val="5BA68B16"/>
    <w:rsid w:val="5BA68F1A"/>
    <w:rsid w:val="5BA76B35"/>
    <w:rsid w:val="5BA88F7C"/>
    <w:rsid w:val="5BB210AF"/>
    <w:rsid w:val="5BB5E842"/>
    <w:rsid w:val="5BB9992E"/>
    <w:rsid w:val="5BBC55C4"/>
    <w:rsid w:val="5BBE3622"/>
    <w:rsid w:val="5BBF0A99"/>
    <w:rsid w:val="5BC51E59"/>
    <w:rsid w:val="5BCA205A"/>
    <w:rsid w:val="5BCDA8C6"/>
    <w:rsid w:val="5BD03BA3"/>
    <w:rsid w:val="5BD4BAF2"/>
    <w:rsid w:val="5BDD29D9"/>
    <w:rsid w:val="5BE21B54"/>
    <w:rsid w:val="5BE29283"/>
    <w:rsid w:val="5BE4A621"/>
    <w:rsid w:val="5BEAF156"/>
    <w:rsid w:val="5BEB0FB9"/>
    <w:rsid w:val="5BEBC22B"/>
    <w:rsid w:val="5BF303B3"/>
    <w:rsid w:val="5BF341F2"/>
    <w:rsid w:val="5BF3F44E"/>
    <w:rsid w:val="5BF94750"/>
    <w:rsid w:val="5BFA5DDB"/>
    <w:rsid w:val="5BFEF2EF"/>
    <w:rsid w:val="5C042234"/>
    <w:rsid w:val="5C057ACA"/>
    <w:rsid w:val="5C07B059"/>
    <w:rsid w:val="5C07DD9F"/>
    <w:rsid w:val="5C09DE6F"/>
    <w:rsid w:val="5C145D7F"/>
    <w:rsid w:val="5C14EDB6"/>
    <w:rsid w:val="5C15B6E3"/>
    <w:rsid w:val="5C1C5C38"/>
    <w:rsid w:val="5C1E3216"/>
    <w:rsid w:val="5C208BCB"/>
    <w:rsid w:val="5C25D01D"/>
    <w:rsid w:val="5C2B2D05"/>
    <w:rsid w:val="5C2E7828"/>
    <w:rsid w:val="5C32CEA2"/>
    <w:rsid w:val="5C3DD840"/>
    <w:rsid w:val="5C3E161A"/>
    <w:rsid w:val="5C42CEFD"/>
    <w:rsid w:val="5C45D75C"/>
    <w:rsid w:val="5C4B386D"/>
    <w:rsid w:val="5C4BD2BC"/>
    <w:rsid w:val="5C503AF5"/>
    <w:rsid w:val="5C51F5EE"/>
    <w:rsid w:val="5C62A881"/>
    <w:rsid w:val="5C67B307"/>
    <w:rsid w:val="5C6BD9CF"/>
    <w:rsid w:val="5C6CF576"/>
    <w:rsid w:val="5C7E61B8"/>
    <w:rsid w:val="5C7EF174"/>
    <w:rsid w:val="5C82D47C"/>
    <w:rsid w:val="5C83CAA5"/>
    <w:rsid w:val="5C8655E3"/>
    <w:rsid w:val="5C895DD0"/>
    <w:rsid w:val="5C8A75DC"/>
    <w:rsid w:val="5C8C8BF8"/>
    <w:rsid w:val="5C8D7A7D"/>
    <w:rsid w:val="5C908DC8"/>
    <w:rsid w:val="5C90B236"/>
    <w:rsid w:val="5C930974"/>
    <w:rsid w:val="5C93E36D"/>
    <w:rsid w:val="5C94BFB4"/>
    <w:rsid w:val="5C95E178"/>
    <w:rsid w:val="5C97165D"/>
    <w:rsid w:val="5C986773"/>
    <w:rsid w:val="5C9A4EB7"/>
    <w:rsid w:val="5CA5DDCF"/>
    <w:rsid w:val="5CA69EB0"/>
    <w:rsid w:val="5CA6B596"/>
    <w:rsid w:val="5CAE8493"/>
    <w:rsid w:val="5CAF36D6"/>
    <w:rsid w:val="5CB2A6B3"/>
    <w:rsid w:val="5CB397D9"/>
    <w:rsid w:val="5CB88D69"/>
    <w:rsid w:val="5CB93A3B"/>
    <w:rsid w:val="5CC5D003"/>
    <w:rsid w:val="5CD0167B"/>
    <w:rsid w:val="5CD0193C"/>
    <w:rsid w:val="5CD0F82F"/>
    <w:rsid w:val="5CD206AC"/>
    <w:rsid w:val="5CD37EA4"/>
    <w:rsid w:val="5CD40C77"/>
    <w:rsid w:val="5CDAB49C"/>
    <w:rsid w:val="5CDC79A0"/>
    <w:rsid w:val="5CDE2CC8"/>
    <w:rsid w:val="5CDEC91E"/>
    <w:rsid w:val="5CE15195"/>
    <w:rsid w:val="5CE88C4E"/>
    <w:rsid w:val="5CEE8F67"/>
    <w:rsid w:val="5CEEB97A"/>
    <w:rsid w:val="5CEF34DE"/>
    <w:rsid w:val="5CF71E28"/>
    <w:rsid w:val="5D00EAA3"/>
    <w:rsid w:val="5D07ED68"/>
    <w:rsid w:val="5D0B77CC"/>
    <w:rsid w:val="5D0C3023"/>
    <w:rsid w:val="5D0CE744"/>
    <w:rsid w:val="5D19273F"/>
    <w:rsid w:val="5D193CBC"/>
    <w:rsid w:val="5D205FB4"/>
    <w:rsid w:val="5D217DAB"/>
    <w:rsid w:val="5D2385BA"/>
    <w:rsid w:val="5D259692"/>
    <w:rsid w:val="5D25EFF4"/>
    <w:rsid w:val="5D270103"/>
    <w:rsid w:val="5D2A9CCD"/>
    <w:rsid w:val="5D2D5334"/>
    <w:rsid w:val="5D300AE4"/>
    <w:rsid w:val="5D330BC5"/>
    <w:rsid w:val="5D37EA11"/>
    <w:rsid w:val="5D3C8E1C"/>
    <w:rsid w:val="5D3D8F2F"/>
    <w:rsid w:val="5D484940"/>
    <w:rsid w:val="5D48D2F3"/>
    <w:rsid w:val="5D4BFA3C"/>
    <w:rsid w:val="5D4EB68F"/>
    <w:rsid w:val="5D4FF271"/>
    <w:rsid w:val="5D51C702"/>
    <w:rsid w:val="5D590FE0"/>
    <w:rsid w:val="5D5BE019"/>
    <w:rsid w:val="5D5E0DAB"/>
    <w:rsid w:val="5D6374D2"/>
    <w:rsid w:val="5D64D84E"/>
    <w:rsid w:val="5D69BD97"/>
    <w:rsid w:val="5D6B0E58"/>
    <w:rsid w:val="5D6B5799"/>
    <w:rsid w:val="5D6B9DC4"/>
    <w:rsid w:val="5D6D48E4"/>
    <w:rsid w:val="5D74238E"/>
    <w:rsid w:val="5D75CECC"/>
    <w:rsid w:val="5D76378C"/>
    <w:rsid w:val="5D783A4E"/>
    <w:rsid w:val="5D7CFA3E"/>
    <w:rsid w:val="5D873BD0"/>
    <w:rsid w:val="5D8852F2"/>
    <w:rsid w:val="5D8B2DC4"/>
    <w:rsid w:val="5D964C5D"/>
    <w:rsid w:val="5D9963C8"/>
    <w:rsid w:val="5D9E4A25"/>
    <w:rsid w:val="5DA2C711"/>
    <w:rsid w:val="5DA2F098"/>
    <w:rsid w:val="5DA562E2"/>
    <w:rsid w:val="5DA5782F"/>
    <w:rsid w:val="5DA95902"/>
    <w:rsid w:val="5DA99CCD"/>
    <w:rsid w:val="5DB1F3DB"/>
    <w:rsid w:val="5DB6A256"/>
    <w:rsid w:val="5DC36A73"/>
    <w:rsid w:val="5DC448F0"/>
    <w:rsid w:val="5DC45C3A"/>
    <w:rsid w:val="5DC54246"/>
    <w:rsid w:val="5DC68C59"/>
    <w:rsid w:val="5DD0DA5C"/>
    <w:rsid w:val="5DD196E2"/>
    <w:rsid w:val="5DD272B1"/>
    <w:rsid w:val="5DD401A2"/>
    <w:rsid w:val="5DD49D66"/>
    <w:rsid w:val="5DD869F8"/>
    <w:rsid w:val="5DDD9FF6"/>
    <w:rsid w:val="5DE8D4D3"/>
    <w:rsid w:val="5DEB58BD"/>
    <w:rsid w:val="5DEB7E4A"/>
    <w:rsid w:val="5DF191B5"/>
    <w:rsid w:val="5DF21758"/>
    <w:rsid w:val="5DF84844"/>
    <w:rsid w:val="5DF8856B"/>
    <w:rsid w:val="5DFD2D23"/>
    <w:rsid w:val="5DFE0C19"/>
    <w:rsid w:val="5E007D97"/>
    <w:rsid w:val="5E018DD5"/>
    <w:rsid w:val="5E0299F4"/>
    <w:rsid w:val="5E053C0A"/>
    <w:rsid w:val="5E08E80A"/>
    <w:rsid w:val="5E0A15A3"/>
    <w:rsid w:val="5E0CF307"/>
    <w:rsid w:val="5E123EC4"/>
    <w:rsid w:val="5E12E959"/>
    <w:rsid w:val="5E1557E2"/>
    <w:rsid w:val="5E17934B"/>
    <w:rsid w:val="5E1A2BD6"/>
    <w:rsid w:val="5E1FE6E7"/>
    <w:rsid w:val="5E202134"/>
    <w:rsid w:val="5E203522"/>
    <w:rsid w:val="5E231B13"/>
    <w:rsid w:val="5E23736E"/>
    <w:rsid w:val="5E2448CD"/>
    <w:rsid w:val="5E290143"/>
    <w:rsid w:val="5E2B1934"/>
    <w:rsid w:val="5E2B2758"/>
    <w:rsid w:val="5E30B8E1"/>
    <w:rsid w:val="5E3229D8"/>
    <w:rsid w:val="5E4118B3"/>
    <w:rsid w:val="5E51AE08"/>
    <w:rsid w:val="5E5297B9"/>
    <w:rsid w:val="5E529DCE"/>
    <w:rsid w:val="5E534DD2"/>
    <w:rsid w:val="5E555743"/>
    <w:rsid w:val="5E59758E"/>
    <w:rsid w:val="5E5FA710"/>
    <w:rsid w:val="5E60C790"/>
    <w:rsid w:val="5E64DBAF"/>
    <w:rsid w:val="5E668157"/>
    <w:rsid w:val="5E678844"/>
    <w:rsid w:val="5E691342"/>
    <w:rsid w:val="5E699544"/>
    <w:rsid w:val="5E750C2A"/>
    <w:rsid w:val="5E7649FB"/>
    <w:rsid w:val="5E7855BC"/>
    <w:rsid w:val="5E7A1E72"/>
    <w:rsid w:val="5E80D80F"/>
    <w:rsid w:val="5E837456"/>
    <w:rsid w:val="5E84BBDA"/>
    <w:rsid w:val="5E867AC4"/>
    <w:rsid w:val="5E8B269A"/>
    <w:rsid w:val="5E8BD38D"/>
    <w:rsid w:val="5E92F6CA"/>
    <w:rsid w:val="5E949937"/>
    <w:rsid w:val="5E98D57A"/>
    <w:rsid w:val="5E9A5ECB"/>
    <w:rsid w:val="5E9AE09E"/>
    <w:rsid w:val="5E9BC632"/>
    <w:rsid w:val="5E9DDA18"/>
    <w:rsid w:val="5E9ECAAE"/>
    <w:rsid w:val="5E9F4061"/>
    <w:rsid w:val="5EA6B2AA"/>
    <w:rsid w:val="5EA9BC1A"/>
    <w:rsid w:val="5EB4996F"/>
    <w:rsid w:val="5EB4B225"/>
    <w:rsid w:val="5EB4C44E"/>
    <w:rsid w:val="5EB665F4"/>
    <w:rsid w:val="5EB799DF"/>
    <w:rsid w:val="5EB9912C"/>
    <w:rsid w:val="5EB9EC7D"/>
    <w:rsid w:val="5EC83710"/>
    <w:rsid w:val="5ECCF8A6"/>
    <w:rsid w:val="5ED04AE4"/>
    <w:rsid w:val="5ED69FA2"/>
    <w:rsid w:val="5ED7166C"/>
    <w:rsid w:val="5EDA0243"/>
    <w:rsid w:val="5EDCCB4B"/>
    <w:rsid w:val="5EDF2446"/>
    <w:rsid w:val="5EDF5C8C"/>
    <w:rsid w:val="5EE13533"/>
    <w:rsid w:val="5EEA50A6"/>
    <w:rsid w:val="5EEB8145"/>
    <w:rsid w:val="5EF86B93"/>
    <w:rsid w:val="5F0B0AB9"/>
    <w:rsid w:val="5F0B8149"/>
    <w:rsid w:val="5F0DDB42"/>
    <w:rsid w:val="5F111924"/>
    <w:rsid w:val="5F139470"/>
    <w:rsid w:val="5F16F9C2"/>
    <w:rsid w:val="5F1D78FA"/>
    <w:rsid w:val="5F1EB22E"/>
    <w:rsid w:val="5F2C17AE"/>
    <w:rsid w:val="5F34CC28"/>
    <w:rsid w:val="5F37EA93"/>
    <w:rsid w:val="5F381537"/>
    <w:rsid w:val="5F38D20A"/>
    <w:rsid w:val="5F390292"/>
    <w:rsid w:val="5F3F612C"/>
    <w:rsid w:val="5F40E35D"/>
    <w:rsid w:val="5F479294"/>
    <w:rsid w:val="5F4C2E78"/>
    <w:rsid w:val="5F4CC0E1"/>
    <w:rsid w:val="5F54FEB8"/>
    <w:rsid w:val="5F55A4FC"/>
    <w:rsid w:val="5F55ABFE"/>
    <w:rsid w:val="5F5793C1"/>
    <w:rsid w:val="5F5793CA"/>
    <w:rsid w:val="5F58F6AF"/>
    <w:rsid w:val="5F5B282B"/>
    <w:rsid w:val="5F717488"/>
    <w:rsid w:val="5F7282D9"/>
    <w:rsid w:val="5F7A1073"/>
    <w:rsid w:val="5F7D406E"/>
    <w:rsid w:val="5F846124"/>
    <w:rsid w:val="5F878747"/>
    <w:rsid w:val="5F89A41C"/>
    <w:rsid w:val="5F8DD9D9"/>
    <w:rsid w:val="5F8EC3E4"/>
    <w:rsid w:val="5F913D1C"/>
    <w:rsid w:val="5F9B7A2A"/>
    <w:rsid w:val="5FA2573A"/>
    <w:rsid w:val="5FA3AEA9"/>
    <w:rsid w:val="5FA80406"/>
    <w:rsid w:val="5FA8984F"/>
    <w:rsid w:val="5FA94284"/>
    <w:rsid w:val="5FAA0B52"/>
    <w:rsid w:val="5FB13BC3"/>
    <w:rsid w:val="5FB5D93A"/>
    <w:rsid w:val="5FBE1701"/>
    <w:rsid w:val="5FC55F03"/>
    <w:rsid w:val="5FC6D7B7"/>
    <w:rsid w:val="5FCD0816"/>
    <w:rsid w:val="5FD16C97"/>
    <w:rsid w:val="5FD3509A"/>
    <w:rsid w:val="5FD64CCF"/>
    <w:rsid w:val="5FD66E64"/>
    <w:rsid w:val="5FDD8EAD"/>
    <w:rsid w:val="5FE209D2"/>
    <w:rsid w:val="5FE3C617"/>
    <w:rsid w:val="5FEB3880"/>
    <w:rsid w:val="5FEDA09B"/>
    <w:rsid w:val="5FF122AE"/>
    <w:rsid w:val="5FF402C9"/>
    <w:rsid w:val="5FFD0940"/>
    <w:rsid w:val="600148EC"/>
    <w:rsid w:val="600704C3"/>
    <w:rsid w:val="600C3ACC"/>
    <w:rsid w:val="600D7FD6"/>
    <w:rsid w:val="600F593E"/>
    <w:rsid w:val="6013FB4E"/>
    <w:rsid w:val="60172EF0"/>
    <w:rsid w:val="601A97E6"/>
    <w:rsid w:val="601AACEA"/>
    <w:rsid w:val="601E01ED"/>
    <w:rsid w:val="601E8DBA"/>
    <w:rsid w:val="601FB806"/>
    <w:rsid w:val="60202B49"/>
    <w:rsid w:val="602183A4"/>
    <w:rsid w:val="60298CA9"/>
    <w:rsid w:val="602A97E5"/>
    <w:rsid w:val="602FCFD6"/>
    <w:rsid w:val="6030CB39"/>
    <w:rsid w:val="6038524D"/>
    <w:rsid w:val="6038E8B2"/>
    <w:rsid w:val="603ADD2F"/>
    <w:rsid w:val="603C8D99"/>
    <w:rsid w:val="6040054A"/>
    <w:rsid w:val="60427DC1"/>
    <w:rsid w:val="60454F25"/>
    <w:rsid w:val="60455287"/>
    <w:rsid w:val="604861CC"/>
    <w:rsid w:val="604B42F6"/>
    <w:rsid w:val="604D7F12"/>
    <w:rsid w:val="604FDB2F"/>
    <w:rsid w:val="605038A9"/>
    <w:rsid w:val="60530296"/>
    <w:rsid w:val="6054E42E"/>
    <w:rsid w:val="6056436A"/>
    <w:rsid w:val="6056AD03"/>
    <w:rsid w:val="60586E01"/>
    <w:rsid w:val="605C6982"/>
    <w:rsid w:val="605D60A7"/>
    <w:rsid w:val="60699BB6"/>
    <w:rsid w:val="606A7032"/>
    <w:rsid w:val="606AFD3C"/>
    <w:rsid w:val="606D0676"/>
    <w:rsid w:val="606D56AE"/>
    <w:rsid w:val="6071CE85"/>
    <w:rsid w:val="6075CCC3"/>
    <w:rsid w:val="6075F5C8"/>
    <w:rsid w:val="6078A797"/>
    <w:rsid w:val="6081A293"/>
    <w:rsid w:val="6082CE70"/>
    <w:rsid w:val="6083BD96"/>
    <w:rsid w:val="6089602D"/>
    <w:rsid w:val="608BD111"/>
    <w:rsid w:val="608D65B2"/>
    <w:rsid w:val="608FEE20"/>
    <w:rsid w:val="6097D0E4"/>
    <w:rsid w:val="609BD8BF"/>
    <w:rsid w:val="609C12B7"/>
    <w:rsid w:val="609C20E0"/>
    <w:rsid w:val="609ED4B2"/>
    <w:rsid w:val="60A3B168"/>
    <w:rsid w:val="60A46254"/>
    <w:rsid w:val="60A86287"/>
    <w:rsid w:val="60AEF2ED"/>
    <w:rsid w:val="60AFF508"/>
    <w:rsid w:val="60B18AAE"/>
    <w:rsid w:val="60B1D2D2"/>
    <w:rsid w:val="60B29CCD"/>
    <w:rsid w:val="60B38560"/>
    <w:rsid w:val="60BB6C58"/>
    <w:rsid w:val="60BBFB16"/>
    <w:rsid w:val="60BD7896"/>
    <w:rsid w:val="60BDB4A8"/>
    <w:rsid w:val="60BDD3CF"/>
    <w:rsid w:val="60BFA826"/>
    <w:rsid w:val="60C2A077"/>
    <w:rsid w:val="60C3AC64"/>
    <w:rsid w:val="60CC17D9"/>
    <w:rsid w:val="60CD0576"/>
    <w:rsid w:val="60D00098"/>
    <w:rsid w:val="60D04D4C"/>
    <w:rsid w:val="60D34741"/>
    <w:rsid w:val="60D3BA3E"/>
    <w:rsid w:val="60D4A216"/>
    <w:rsid w:val="60D70EE0"/>
    <w:rsid w:val="60DB134B"/>
    <w:rsid w:val="60DDAA2D"/>
    <w:rsid w:val="60E47D60"/>
    <w:rsid w:val="60E7CE98"/>
    <w:rsid w:val="60EBBD0F"/>
    <w:rsid w:val="60ED0C54"/>
    <w:rsid w:val="60FACAE6"/>
    <w:rsid w:val="60FCECAB"/>
    <w:rsid w:val="60FE8012"/>
    <w:rsid w:val="60FE91C5"/>
    <w:rsid w:val="60FF2D0C"/>
    <w:rsid w:val="6104D04D"/>
    <w:rsid w:val="61061D4B"/>
    <w:rsid w:val="61072957"/>
    <w:rsid w:val="6109A72B"/>
    <w:rsid w:val="610CAC18"/>
    <w:rsid w:val="610E1765"/>
    <w:rsid w:val="61142F90"/>
    <w:rsid w:val="6114D6C3"/>
    <w:rsid w:val="61176E99"/>
    <w:rsid w:val="611E7CD5"/>
    <w:rsid w:val="611EA4EC"/>
    <w:rsid w:val="6125316D"/>
    <w:rsid w:val="6126271A"/>
    <w:rsid w:val="6128C341"/>
    <w:rsid w:val="612A1B4F"/>
    <w:rsid w:val="612C0711"/>
    <w:rsid w:val="6134DD5C"/>
    <w:rsid w:val="6135F442"/>
    <w:rsid w:val="613A971C"/>
    <w:rsid w:val="613D0839"/>
    <w:rsid w:val="613D421F"/>
    <w:rsid w:val="6142B328"/>
    <w:rsid w:val="6142FAE8"/>
    <w:rsid w:val="614EA284"/>
    <w:rsid w:val="61546979"/>
    <w:rsid w:val="6156266C"/>
    <w:rsid w:val="615913F1"/>
    <w:rsid w:val="615B24B0"/>
    <w:rsid w:val="615D2516"/>
    <w:rsid w:val="615F7218"/>
    <w:rsid w:val="61636AFE"/>
    <w:rsid w:val="616435E4"/>
    <w:rsid w:val="616568C2"/>
    <w:rsid w:val="61660733"/>
    <w:rsid w:val="61664EC9"/>
    <w:rsid w:val="6167E634"/>
    <w:rsid w:val="616D3CF8"/>
    <w:rsid w:val="61707D3C"/>
    <w:rsid w:val="6173BCA4"/>
    <w:rsid w:val="61796A57"/>
    <w:rsid w:val="617992C5"/>
    <w:rsid w:val="617B21D2"/>
    <w:rsid w:val="617C7DD7"/>
    <w:rsid w:val="617E0BDD"/>
    <w:rsid w:val="618158F0"/>
    <w:rsid w:val="618228C7"/>
    <w:rsid w:val="6183A086"/>
    <w:rsid w:val="61874CCE"/>
    <w:rsid w:val="618A2BC0"/>
    <w:rsid w:val="618A3E08"/>
    <w:rsid w:val="618B1D2E"/>
    <w:rsid w:val="618CFEED"/>
    <w:rsid w:val="618D0E41"/>
    <w:rsid w:val="618D36C6"/>
    <w:rsid w:val="618F5088"/>
    <w:rsid w:val="6198B976"/>
    <w:rsid w:val="619A513C"/>
    <w:rsid w:val="619B8E3A"/>
    <w:rsid w:val="619EA1DD"/>
    <w:rsid w:val="619FC5EA"/>
    <w:rsid w:val="61A12F3B"/>
    <w:rsid w:val="61A1CA78"/>
    <w:rsid w:val="61A58EB9"/>
    <w:rsid w:val="61A64121"/>
    <w:rsid w:val="61AB5222"/>
    <w:rsid w:val="61AC5917"/>
    <w:rsid w:val="61AFCC8F"/>
    <w:rsid w:val="61B0F005"/>
    <w:rsid w:val="61B1A747"/>
    <w:rsid w:val="61B1EE82"/>
    <w:rsid w:val="61B479A3"/>
    <w:rsid w:val="61B54464"/>
    <w:rsid w:val="61B56F48"/>
    <w:rsid w:val="61B9BC71"/>
    <w:rsid w:val="61BB986F"/>
    <w:rsid w:val="61BD605D"/>
    <w:rsid w:val="61C06AB4"/>
    <w:rsid w:val="61C39D77"/>
    <w:rsid w:val="61C8583F"/>
    <w:rsid w:val="61C8FD3C"/>
    <w:rsid w:val="61CC00BE"/>
    <w:rsid w:val="61CC8530"/>
    <w:rsid w:val="61D3FE6E"/>
    <w:rsid w:val="61D47A38"/>
    <w:rsid w:val="61D6D3DB"/>
    <w:rsid w:val="61DD4344"/>
    <w:rsid w:val="61DF8F02"/>
    <w:rsid w:val="61E573C0"/>
    <w:rsid w:val="61E7B596"/>
    <w:rsid w:val="61F03F3C"/>
    <w:rsid w:val="61F53D97"/>
    <w:rsid w:val="61F8286A"/>
    <w:rsid w:val="61FD6BB4"/>
    <w:rsid w:val="61FFD845"/>
    <w:rsid w:val="61FFF5EC"/>
    <w:rsid w:val="620281E7"/>
    <w:rsid w:val="62072DA1"/>
    <w:rsid w:val="620AF8B6"/>
    <w:rsid w:val="620FF7E5"/>
    <w:rsid w:val="621A0F65"/>
    <w:rsid w:val="621C6C7A"/>
    <w:rsid w:val="621CCAB6"/>
    <w:rsid w:val="621D0E23"/>
    <w:rsid w:val="621DB206"/>
    <w:rsid w:val="6220984A"/>
    <w:rsid w:val="6220A2E2"/>
    <w:rsid w:val="6223330C"/>
    <w:rsid w:val="6227C100"/>
    <w:rsid w:val="622EFF32"/>
    <w:rsid w:val="62325825"/>
    <w:rsid w:val="623D8609"/>
    <w:rsid w:val="62455855"/>
    <w:rsid w:val="6246C05C"/>
    <w:rsid w:val="62490C73"/>
    <w:rsid w:val="624CF46E"/>
    <w:rsid w:val="62513520"/>
    <w:rsid w:val="62556644"/>
    <w:rsid w:val="6255BBFB"/>
    <w:rsid w:val="6262A911"/>
    <w:rsid w:val="6263D344"/>
    <w:rsid w:val="62681D34"/>
    <w:rsid w:val="6268AC3C"/>
    <w:rsid w:val="626BA168"/>
    <w:rsid w:val="626F299C"/>
    <w:rsid w:val="627514CF"/>
    <w:rsid w:val="6278F831"/>
    <w:rsid w:val="62795557"/>
    <w:rsid w:val="627C8EA0"/>
    <w:rsid w:val="627DA197"/>
    <w:rsid w:val="62844C95"/>
    <w:rsid w:val="62895CC4"/>
    <w:rsid w:val="628AE71E"/>
    <w:rsid w:val="628D4062"/>
    <w:rsid w:val="629102F5"/>
    <w:rsid w:val="62913505"/>
    <w:rsid w:val="62941337"/>
    <w:rsid w:val="62975D7C"/>
    <w:rsid w:val="6297F738"/>
    <w:rsid w:val="629BCF99"/>
    <w:rsid w:val="629D5752"/>
    <w:rsid w:val="62A28E52"/>
    <w:rsid w:val="62AD9A05"/>
    <w:rsid w:val="62B68CF5"/>
    <w:rsid w:val="62BB12D2"/>
    <w:rsid w:val="62C13AAB"/>
    <w:rsid w:val="62C2390E"/>
    <w:rsid w:val="62C281B2"/>
    <w:rsid w:val="62C2C9BA"/>
    <w:rsid w:val="62C35A59"/>
    <w:rsid w:val="62C4AF65"/>
    <w:rsid w:val="62C5F3D0"/>
    <w:rsid w:val="62C719BE"/>
    <w:rsid w:val="62CB8A3E"/>
    <w:rsid w:val="62CBC46B"/>
    <w:rsid w:val="62CBCE7E"/>
    <w:rsid w:val="62CF578D"/>
    <w:rsid w:val="62D47DAF"/>
    <w:rsid w:val="62D88B2F"/>
    <w:rsid w:val="62D9D9F3"/>
    <w:rsid w:val="62DC001F"/>
    <w:rsid w:val="62E23181"/>
    <w:rsid w:val="62E5643B"/>
    <w:rsid w:val="62E6FFA6"/>
    <w:rsid w:val="62E868B3"/>
    <w:rsid w:val="62E9E054"/>
    <w:rsid w:val="62EA47FD"/>
    <w:rsid w:val="62ECF096"/>
    <w:rsid w:val="62F10887"/>
    <w:rsid w:val="62F17016"/>
    <w:rsid w:val="62F4B308"/>
    <w:rsid w:val="62F57575"/>
    <w:rsid w:val="62F6AD61"/>
    <w:rsid w:val="62FA5123"/>
    <w:rsid w:val="62FCFAC7"/>
    <w:rsid w:val="62FD6C75"/>
    <w:rsid w:val="62FDABAF"/>
    <w:rsid w:val="62FDED0D"/>
    <w:rsid w:val="63019B7E"/>
    <w:rsid w:val="6307E8F1"/>
    <w:rsid w:val="630BC33A"/>
    <w:rsid w:val="630E644C"/>
    <w:rsid w:val="630EE5F4"/>
    <w:rsid w:val="631169EE"/>
    <w:rsid w:val="6313F65D"/>
    <w:rsid w:val="631A8B8E"/>
    <w:rsid w:val="631BF422"/>
    <w:rsid w:val="631C49B1"/>
    <w:rsid w:val="631E719C"/>
    <w:rsid w:val="6320D41F"/>
    <w:rsid w:val="632426A6"/>
    <w:rsid w:val="63256746"/>
    <w:rsid w:val="632C0B4B"/>
    <w:rsid w:val="63346E28"/>
    <w:rsid w:val="63383330"/>
    <w:rsid w:val="63386EB6"/>
    <w:rsid w:val="63387635"/>
    <w:rsid w:val="633CBC74"/>
    <w:rsid w:val="633F92B4"/>
    <w:rsid w:val="6340F27C"/>
    <w:rsid w:val="634115AD"/>
    <w:rsid w:val="63459777"/>
    <w:rsid w:val="634917C0"/>
    <w:rsid w:val="63512A9B"/>
    <w:rsid w:val="6351C494"/>
    <w:rsid w:val="63614169"/>
    <w:rsid w:val="636D89EF"/>
    <w:rsid w:val="6371D23F"/>
    <w:rsid w:val="6378FB0F"/>
    <w:rsid w:val="637E2613"/>
    <w:rsid w:val="63818F29"/>
    <w:rsid w:val="6383DBC5"/>
    <w:rsid w:val="6386D9D3"/>
    <w:rsid w:val="63882BFC"/>
    <w:rsid w:val="63891663"/>
    <w:rsid w:val="638D7007"/>
    <w:rsid w:val="638F54BE"/>
    <w:rsid w:val="6396D115"/>
    <w:rsid w:val="6399C36A"/>
    <w:rsid w:val="6399FB25"/>
    <w:rsid w:val="639AEEC3"/>
    <w:rsid w:val="639EEB02"/>
    <w:rsid w:val="63A289EE"/>
    <w:rsid w:val="63A4B040"/>
    <w:rsid w:val="63A61EB3"/>
    <w:rsid w:val="63AE6DA2"/>
    <w:rsid w:val="63BACC7F"/>
    <w:rsid w:val="63BD6322"/>
    <w:rsid w:val="63BF0E85"/>
    <w:rsid w:val="63C19E36"/>
    <w:rsid w:val="63C2B5CF"/>
    <w:rsid w:val="63C2E9B2"/>
    <w:rsid w:val="63CB6164"/>
    <w:rsid w:val="63D54CF1"/>
    <w:rsid w:val="63D8F299"/>
    <w:rsid w:val="63DBC102"/>
    <w:rsid w:val="63DC1D80"/>
    <w:rsid w:val="63DC85C4"/>
    <w:rsid w:val="63DDFADA"/>
    <w:rsid w:val="63E260F1"/>
    <w:rsid w:val="63E4D875"/>
    <w:rsid w:val="63E6DD37"/>
    <w:rsid w:val="63E7D956"/>
    <w:rsid w:val="63E93B96"/>
    <w:rsid w:val="63EAED1D"/>
    <w:rsid w:val="63F1C670"/>
    <w:rsid w:val="63F2F17B"/>
    <w:rsid w:val="63F33C9B"/>
    <w:rsid w:val="63F6E361"/>
    <w:rsid w:val="63FCE2A8"/>
    <w:rsid w:val="63FF3002"/>
    <w:rsid w:val="63FF8FAE"/>
    <w:rsid w:val="6403AA2D"/>
    <w:rsid w:val="6403DDE9"/>
    <w:rsid w:val="64066CD6"/>
    <w:rsid w:val="6406CCBC"/>
    <w:rsid w:val="6408D75F"/>
    <w:rsid w:val="64094925"/>
    <w:rsid w:val="640B2C69"/>
    <w:rsid w:val="640B3CDC"/>
    <w:rsid w:val="64106C12"/>
    <w:rsid w:val="64131569"/>
    <w:rsid w:val="64157029"/>
    <w:rsid w:val="64178A76"/>
    <w:rsid w:val="6418921E"/>
    <w:rsid w:val="64198AB8"/>
    <w:rsid w:val="641A2FFE"/>
    <w:rsid w:val="641C68D1"/>
    <w:rsid w:val="64282606"/>
    <w:rsid w:val="642A7807"/>
    <w:rsid w:val="642AEB70"/>
    <w:rsid w:val="642DB731"/>
    <w:rsid w:val="642E2459"/>
    <w:rsid w:val="643195A9"/>
    <w:rsid w:val="64373901"/>
    <w:rsid w:val="643BE698"/>
    <w:rsid w:val="64421814"/>
    <w:rsid w:val="6447AB7C"/>
    <w:rsid w:val="644F1343"/>
    <w:rsid w:val="64504DD0"/>
    <w:rsid w:val="64514AA2"/>
    <w:rsid w:val="645358B4"/>
    <w:rsid w:val="6455373B"/>
    <w:rsid w:val="6459D41D"/>
    <w:rsid w:val="645AD5DD"/>
    <w:rsid w:val="645C8ACA"/>
    <w:rsid w:val="645E74BA"/>
    <w:rsid w:val="645F942F"/>
    <w:rsid w:val="6460F290"/>
    <w:rsid w:val="64613851"/>
    <w:rsid w:val="6463C1B4"/>
    <w:rsid w:val="6468FF12"/>
    <w:rsid w:val="64690CF4"/>
    <w:rsid w:val="64697966"/>
    <w:rsid w:val="646AAA66"/>
    <w:rsid w:val="646AC2A1"/>
    <w:rsid w:val="646DA909"/>
    <w:rsid w:val="64754BEA"/>
    <w:rsid w:val="64772191"/>
    <w:rsid w:val="6477B03F"/>
    <w:rsid w:val="647C959B"/>
    <w:rsid w:val="6483F6A9"/>
    <w:rsid w:val="648CB5F1"/>
    <w:rsid w:val="648CF5BB"/>
    <w:rsid w:val="64908194"/>
    <w:rsid w:val="64909900"/>
    <w:rsid w:val="6492A020"/>
    <w:rsid w:val="64996BC2"/>
    <w:rsid w:val="649AE2A2"/>
    <w:rsid w:val="649AF820"/>
    <w:rsid w:val="64A007B8"/>
    <w:rsid w:val="64A3BBFA"/>
    <w:rsid w:val="64A93A20"/>
    <w:rsid w:val="64AC35E9"/>
    <w:rsid w:val="64AE82C7"/>
    <w:rsid w:val="64AF08D1"/>
    <w:rsid w:val="64AFCB79"/>
    <w:rsid w:val="64B54D43"/>
    <w:rsid w:val="64B8FD93"/>
    <w:rsid w:val="64BC1642"/>
    <w:rsid w:val="64BD03FE"/>
    <w:rsid w:val="64C0C29E"/>
    <w:rsid w:val="64C19303"/>
    <w:rsid w:val="64C26987"/>
    <w:rsid w:val="64C2D880"/>
    <w:rsid w:val="64C43086"/>
    <w:rsid w:val="64C50D46"/>
    <w:rsid w:val="64C87E33"/>
    <w:rsid w:val="64C88E93"/>
    <w:rsid w:val="64CBC94A"/>
    <w:rsid w:val="64CCDE8A"/>
    <w:rsid w:val="64DBC679"/>
    <w:rsid w:val="64DF6402"/>
    <w:rsid w:val="64E30446"/>
    <w:rsid w:val="64E3715B"/>
    <w:rsid w:val="64E3E1F1"/>
    <w:rsid w:val="64ECE358"/>
    <w:rsid w:val="64F04F0D"/>
    <w:rsid w:val="64F23D24"/>
    <w:rsid w:val="64F4C478"/>
    <w:rsid w:val="64F7B0E9"/>
    <w:rsid w:val="64F9A385"/>
    <w:rsid w:val="64FB3E92"/>
    <w:rsid w:val="64FE4156"/>
    <w:rsid w:val="6501E4C2"/>
    <w:rsid w:val="65048091"/>
    <w:rsid w:val="6504A547"/>
    <w:rsid w:val="650748B1"/>
    <w:rsid w:val="65080504"/>
    <w:rsid w:val="650974D8"/>
    <w:rsid w:val="651256B1"/>
    <w:rsid w:val="651441D4"/>
    <w:rsid w:val="65163A9D"/>
    <w:rsid w:val="651C7926"/>
    <w:rsid w:val="652218DF"/>
    <w:rsid w:val="652AC1F8"/>
    <w:rsid w:val="652B6865"/>
    <w:rsid w:val="652B854F"/>
    <w:rsid w:val="652C7A71"/>
    <w:rsid w:val="6530C748"/>
    <w:rsid w:val="653645CE"/>
    <w:rsid w:val="653788C5"/>
    <w:rsid w:val="653AD7CB"/>
    <w:rsid w:val="653C3E6A"/>
    <w:rsid w:val="65404716"/>
    <w:rsid w:val="654335BE"/>
    <w:rsid w:val="65474E73"/>
    <w:rsid w:val="65476FF6"/>
    <w:rsid w:val="65514D0A"/>
    <w:rsid w:val="6551CF96"/>
    <w:rsid w:val="6552CFD6"/>
    <w:rsid w:val="6557543F"/>
    <w:rsid w:val="655CBBC2"/>
    <w:rsid w:val="655E235E"/>
    <w:rsid w:val="65624855"/>
    <w:rsid w:val="65666968"/>
    <w:rsid w:val="656A8F1D"/>
    <w:rsid w:val="65700167"/>
    <w:rsid w:val="65704E57"/>
    <w:rsid w:val="657387DF"/>
    <w:rsid w:val="65748D18"/>
    <w:rsid w:val="657551A0"/>
    <w:rsid w:val="65766C12"/>
    <w:rsid w:val="6579F298"/>
    <w:rsid w:val="657AE811"/>
    <w:rsid w:val="65834AEE"/>
    <w:rsid w:val="65850914"/>
    <w:rsid w:val="658846FE"/>
    <w:rsid w:val="6588A04B"/>
    <w:rsid w:val="658E5504"/>
    <w:rsid w:val="65905E41"/>
    <w:rsid w:val="6592EF22"/>
    <w:rsid w:val="6593DF7B"/>
    <w:rsid w:val="65990926"/>
    <w:rsid w:val="659AA67E"/>
    <w:rsid w:val="65AC18D8"/>
    <w:rsid w:val="65B49148"/>
    <w:rsid w:val="65B58B8F"/>
    <w:rsid w:val="65C2FC11"/>
    <w:rsid w:val="65C68681"/>
    <w:rsid w:val="65CA4BE5"/>
    <w:rsid w:val="65CCC666"/>
    <w:rsid w:val="65D0BBB7"/>
    <w:rsid w:val="65D10513"/>
    <w:rsid w:val="65D917E3"/>
    <w:rsid w:val="65D9251B"/>
    <w:rsid w:val="65DD71A6"/>
    <w:rsid w:val="65E2A557"/>
    <w:rsid w:val="65E30677"/>
    <w:rsid w:val="65E535AF"/>
    <w:rsid w:val="65E85EC3"/>
    <w:rsid w:val="65EB3D06"/>
    <w:rsid w:val="65F5AD85"/>
    <w:rsid w:val="65F654EF"/>
    <w:rsid w:val="65F70BBB"/>
    <w:rsid w:val="65FB74A8"/>
    <w:rsid w:val="65FD7D41"/>
    <w:rsid w:val="6600140A"/>
    <w:rsid w:val="6606F0D8"/>
    <w:rsid w:val="660FCD95"/>
    <w:rsid w:val="660FDCFB"/>
    <w:rsid w:val="6613B23B"/>
    <w:rsid w:val="661611BA"/>
    <w:rsid w:val="661716D1"/>
    <w:rsid w:val="661756F9"/>
    <w:rsid w:val="661D8333"/>
    <w:rsid w:val="66223FCE"/>
    <w:rsid w:val="6625A34B"/>
    <w:rsid w:val="66271244"/>
    <w:rsid w:val="6629E12E"/>
    <w:rsid w:val="6634E480"/>
    <w:rsid w:val="6637BE25"/>
    <w:rsid w:val="663B0F6D"/>
    <w:rsid w:val="6640F66C"/>
    <w:rsid w:val="6642672F"/>
    <w:rsid w:val="664405E6"/>
    <w:rsid w:val="664427F1"/>
    <w:rsid w:val="664C54BA"/>
    <w:rsid w:val="66505286"/>
    <w:rsid w:val="6652A2BB"/>
    <w:rsid w:val="6652B722"/>
    <w:rsid w:val="66576286"/>
    <w:rsid w:val="6659D5CA"/>
    <w:rsid w:val="6660CFC7"/>
    <w:rsid w:val="66624413"/>
    <w:rsid w:val="6663BC60"/>
    <w:rsid w:val="66646550"/>
    <w:rsid w:val="6664718D"/>
    <w:rsid w:val="6664F51F"/>
    <w:rsid w:val="6665754E"/>
    <w:rsid w:val="666AD4B6"/>
    <w:rsid w:val="666DD623"/>
    <w:rsid w:val="666FCF79"/>
    <w:rsid w:val="6673B0FF"/>
    <w:rsid w:val="6673BEAB"/>
    <w:rsid w:val="66752021"/>
    <w:rsid w:val="66759AF3"/>
    <w:rsid w:val="667B4C37"/>
    <w:rsid w:val="667D2F90"/>
    <w:rsid w:val="6680C4BF"/>
    <w:rsid w:val="6688D953"/>
    <w:rsid w:val="668B0267"/>
    <w:rsid w:val="668D6B59"/>
    <w:rsid w:val="669013C5"/>
    <w:rsid w:val="66903032"/>
    <w:rsid w:val="66936CC1"/>
    <w:rsid w:val="6694BBE7"/>
    <w:rsid w:val="6697E5BD"/>
    <w:rsid w:val="669A80BC"/>
    <w:rsid w:val="66A5FE53"/>
    <w:rsid w:val="66A6F686"/>
    <w:rsid w:val="66AAC922"/>
    <w:rsid w:val="66AB36D7"/>
    <w:rsid w:val="66B0BBCD"/>
    <w:rsid w:val="66B13DBD"/>
    <w:rsid w:val="66B64703"/>
    <w:rsid w:val="66B97B9C"/>
    <w:rsid w:val="66BB504C"/>
    <w:rsid w:val="66BC887A"/>
    <w:rsid w:val="66C5F103"/>
    <w:rsid w:val="66C87A93"/>
    <w:rsid w:val="66CA4956"/>
    <w:rsid w:val="66CB16BF"/>
    <w:rsid w:val="66CBD359"/>
    <w:rsid w:val="66CD136E"/>
    <w:rsid w:val="66CDC4C8"/>
    <w:rsid w:val="66D0DDAB"/>
    <w:rsid w:val="66D12DC4"/>
    <w:rsid w:val="66D5A8EE"/>
    <w:rsid w:val="66D80199"/>
    <w:rsid w:val="66DD4659"/>
    <w:rsid w:val="66DE3E93"/>
    <w:rsid w:val="66DFF30A"/>
    <w:rsid w:val="66E4A721"/>
    <w:rsid w:val="66E69815"/>
    <w:rsid w:val="66E87408"/>
    <w:rsid w:val="66EA647A"/>
    <w:rsid w:val="66EAD7E7"/>
    <w:rsid w:val="66F23371"/>
    <w:rsid w:val="66F6B8AD"/>
    <w:rsid w:val="66F751DF"/>
    <w:rsid w:val="66F7C7C5"/>
    <w:rsid w:val="66FF4058"/>
    <w:rsid w:val="6701018E"/>
    <w:rsid w:val="67053602"/>
    <w:rsid w:val="67056B42"/>
    <w:rsid w:val="670645FF"/>
    <w:rsid w:val="6714423E"/>
    <w:rsid w:val="67147EA7"/>
    <w:rsid w:val="6714B725"/>
    <w:rsid w:val="6716A1FE"/>
    <w:rsid w:val="671870EE"/>
    <w:rsid w:val="671BD61D"/>
    <w:rsid w:val="671CA3DE"/>
    <w:rsid w:val="671D11D9"/>
    <w:rsid w:val="67267828"/>
    <w:rsid w:val="67310398"/>
    <w:rsid w:val="67311E8C"/>
    <w:rsid w:val="6732B1BA"/>
    <w:rsid w:val="67389CAB"/>
    <w:rsid w:val="673AD3D1"/>
    <w:rsid w:val="673F5B1F"/>
    <w:rsid w:val="67434801"/>
    <w:rsid w:val="674D10EB"/>
    <w:rsid w:val="674DAB4C"/>
    <w:rsid w:val="674E17F9"/>
    <w:rsid w:val="67530F7C"/>
    <w:rsid w:val="675AB59A"/>
    <w:rsid w:val="675F897C"/>
    <w:rsid w:val="675FC9A3"/>
    <w:rsid w:val="6760C37B"/>
    <w:rsid w:val="676B500E"/>
    <w:rsid w:val="676BAB0A"/>
    <w:rsid w:val="676F1926"/>
    <w:rsid w:val="676F1F63"/>
    <w:rsid w:val="67723736"/>
    <w:rsid w:val="67779544"/>
    <w:rsid w:val="6777E2C3"/>
    <w:rsid w:val="677807B7"/>
    <w:rsid w:val="677D333B"/>
    <w:rsid w:val="677DF022"/>
    <w:rsid w:val="67849350"/>
    <w:rsid w:val="678593B8"/>
    <w:rsid w:val="6785AF07"/>
    <w:rsid w:val="678774BB"/>
    <w:rsid w:val="6788D861"/>
    <w:rsid w:val="678E696E"/>
    <w:rsid w:val="678E94C3"/>
    <w:rsid w:val="678F4E01"/>
    <w:rsid w:val="67A4D46E"/>
    <w:rsid w:val="67AD1D31"/>
    <w:rsid w:val="67AE5F4A"/>
    <w:rsid w:val="67B12BF5"/>
    <w:rsid w:val="67B2C9FA"/>
    <w:rsid w:val="67B62885"/>
    <w:rsid w:val="67B8E8FA"/>
    <w:rsid w:val="67B8F7A1"/>
    <w:rsid w:val="67BC2B98"/>
    <w:rsid w:val="67BDF7CE"/>
    <w:rsid w:val="67BF859D"/>
    <w:rsid w:val="67C1070A"/>
    <w:rsid w:val="67CA6268"/>
    <w:rsid w:val="67D0418D"/>
    <w:rsid w:val="67D33A9A"/>
    <w:rsid w:val="67DA6296"/>
    <w:rsid w:val="67DBD7F0"/>
    <w:rsid w:val="67DD425D"/>
    <w:rsid w:val="67DE997F"/>
    <w:rsid w:val="67E4265A"/>
    <w:rsid w:val="67E783A9"/>
    <w:rsid w:val="67E811EB"/>
    <w:rsid w:val="67E8B60E"/>
    <w:rsid w:val="67ED52D4"/>
    <w:rsid w:val="67F07581"/>
    <w:rsid w:val="67F08F42"/>
    <w:rsid w:val="67F495AE"/>
    <w:rsid w:val="67F54E6D"/>
    <w:rsid w:val="67F67919"/>
    <w:rsid w:val="67FBFAF9"/>
    <w:rsid w:val="68004560"/>
    <w:rsid w:val="68060EB8"/>
    <w:rsid w:val="68069B88"/>
    <w:rsid w:val="68075AFA"/>
    <w:rsid w:val="6809C6D4"/>
    <w:rsid w:val="680E4DDA"/>
    <w:rsid w:val="68105678"/>
    <w:rsid w:val="68106315"/>
    <w:rsid w:val="68128AE8"/>
    <w:rsid w:val="6816C3FD"/>
    <w:rsid w:val="68300D09"/>
    <w:rsid w:val="683329A8"/>
    <w:rsid w:val="68339003"/>
    <w:rsid w:val="683C6BCB"/>
    <w:rsid w:val="684D0DD8"/>
    <w:rsid w:val="684D6E51"/>
    <w:rsid w:val="6855D26C"/>
    <w:rsid w:val="6855E684"/>
    <w:rsid w:val="685C59BA"/>
    <w:rsid w:val="685F2684"/>
    <w:rsid w:val="68620240"/>
    <w:rsid w:val="68669D05"/>
    <w:rsid w:val="686A48A0"/>
    <w:rsid w:val="68712F84"/>
    <w:rsid w:val="68733227"/>
    <w:rsid w:val="687376C7"/>
    <w:rsid w:val="6873E9F6"/>
    <w:rsid w:val="687A50C2"/>
    <w:rsid w:val="687CC2C5"/>
    <w:rsid w:val="6880C073"/>
    <w:rsid w:val="688585F3"/>
    <w:rsid w:val="6887D1FA"/>
    <w:rsid w:val="688ED6D5"/>
    <w:rsid w:val="689117C6"/>
    <w:rsid w:val="68958928"/>
    <w:rsid w:val="68961ABC"/>
    <w:rsid w:val="6899C492"/>
    <w:rsid w:val="689F5F69"/>
    <w:rsid w:val="68A7D62F"/>
    <w:rsid w:val="68A9869F"/>
    <w:rsid w:val="68BA5B58"/>
    <w:rsid w:val="68BBE639"/>
    <w:rsid w:val="68BD6537"/>
    <w:rsid w:val="68C0769D"/>
    <w:rsid w:val="68C13151"/>
    <w:rsid w:val="68C1883A"/>
    <w:rsid w:val="68CCAF5D"/>
    <w:rsid w:val="68CCC49A"/>
    <w:rsid w:val="68D5858D"/>
    <w:rsid w:val="68D6C6CC"/>
    <w:rsid w:val="68DAA286"/>
    <w:rsid w:val="68DC4855"/>
    <w:rsid w:val="68DCFFE4"/>
    <w:rsid w:val="68E07275"/>
    <w:rsid w:val="68E100B2"/>
    <w:rsid w:val="68E6A8A8"/>
    <w:rsid w:val="68EAE06A"/>
    <w:rsid w:val="68EFB01F"/>
    <w:rsid w:val="68F2BD97"/>
    <w:rsid w:val="68FA7C94"/>
    <w:rsid w:val="68FB41EB"/>
    <w:rsid w:val="68FCE1FC"/>
    <w:rsid w:val="68FE7A05"/>
    <w:rsid w:val="690636EF"/>
    <w:rsid w:val="690958D1"/>
    <w:rsid w:val="690A5B3A"/>
    <w:rsid w:val="690B1290"/>
    <w:rsid w:val="690DBA1F"/>
    <w:rsid w:val="690E0DEE"/>
    <w:rsid w:val="690FF52A"/>
    <w:rsid w:val="69118F2B"/>
    <w:rsid w:val="691FAB33"/>
    <w:rsid w:val="6920B3AF"/>
    <w:rsid w:val="6920C6E6"/>
    <w:rsid w:val="692BED29"/>
    <w:rsid w:val="693C850E"/>
    <w:rsid w:val="6941D9C4"/>
    <w:rsid w:val="694235E5"/>
    <w:rsid w:val="694468A3"/>
    <w:rsid w:val="6944D282"/>
    <w:rsid w:val="694BABEF"/>
    <w:rsid w:val="69546BEB"/>
    <w:rsid w:val="6955618B"/>
    <w:rsid w:val="6958C11E"/>
    <w:rsid w:val="69613C06"/>
    <w:rsid w:val="696142EC"/>
    <w:rsid w:val="6963DADC"/>
    <w:rsid w:val="6963F06A"/>
    <w:rsid w:val="696AC1F0"/>
    <w:rsid w:val="6977C65D"/>
    <w:rsid w:val="697BC3BC"/>
    <w:rsid w:val="69808704"/>
    <w:rsid w:val="6986282A"/>
    <w:rsid w:val="6992AA1B"/>
    <w:rsid w:val="69995B44"/>
    <w:rsid w:val="69A057DE"/>
    <w:rsid w:val="69A189FC"/>
    <w:rsid w:val="69A64A8A"/>
    <w:rsid w:val="69A7AEF3"/>
    <w:rsid w:val="69A9EFA6"/>
    <w:rsid w:val="69B39052"/>
    <w:rsid w:val="69B6CEB9"/>
    <w:rsid w:val="69BD8A34"/>
    <w:rsid w:val="69BF5FE9"/>
    <w:rsid w:val="69C1D100"/>
    <w:rsid w:val="69C26B6F"/>
    <w:rsid w:val="69C38BD8"/>
    <w:rsid w:val="69C56BB7"/>
    <w:rsid w:val="69C71B6A"/>
    <w:rsid w:val="69C80607"/>
    <w:rsid w:val="69D3D19E"/>
    <w:rsid w:val="69D86436"/>
    <w:rsid w:val="69DE66E7"/>
    <w:rsid w:val="69DEEB64"/>
    <w:rsid w:val="69E2A9B9"/>
    <w:rsid w:val="69E34EFB"/>
    <w:rsid w:val="69E7D5E0"/>
    <w:rsid w:val="69EA69A7"/>
    <w:rsid w:val="69EE0D48"/>
    <w:rsid w:val="69EF5601"/>
    <w:rsid w:val="69FC31D9"/>
    <w:rsid w:val="69FC46E1"/>
    <w:rsid w:val="6A03FC36"/>
    <w:rsid w:val="6A04D63D"/>
    <w:rsid w:val="6A051007"/>
    <w:rsid w:val="6A0A42F6"/>
    <w:rsid w:val="6A100CCD"/>
    <w:rsid w:val="6A102BD8"/>
    <w:rsid w:val="6A104380"/>
    <w:rsid w:val="6A106D2A"/>
    <w:rsid w:val="6A162DBD"/>
    <w:rsid w:val="6A16F971"/>
    <w:rsid w:val="6A28F32E"/>
    <w:rsid w:val="6A2FAF12"/>
    <w:rsid w:val="6A31F883"/>
    <w:rsid w:val="6A335E24"/>
    <w:rsid w:val="6A36C9AA"/>
    <w:rsid w:val="6A396945"/>
    <w:rsid w:val="6A43950F"/>
    <w:rsid w:val="6A43D28D"/>
    <w:rsid w:val="6A449A7E"/>
    <w:rsid w:val="6A47ECA4"/>
    <w:rsid w:val="6A4DCD1D"/>
    <w:rsid w:val="6A4F1B7E"/>
    <w:rsid w:val="6A52A2D5"/>
    <w:rsid w:val="6A52F64D"/>
    <w:rsid w:val="6A540DE7"/>
    <w:rsid w:val="6A589A0A"/>
    <w:rsid w:val="6A59DD41"/>
    <w:rsid w:val="6A6035E8"/>
    <w:rsid w:val="6A608F17"/>
    <w:rsid w:val="6A66E971"/>
    <w:rsid w:val="6A671671"/>
    <w:rsid w:val="6A6C82C0"/>
    <w:rsid w:val="6A6FEE23"/>
    <w:rsid w:val="6A7649D9"/>
    <w:rsid w:val="6A78375A"/>
    <w:rsid w:val="6A7ACF84"/>
    <w:rsid w:val="6A8ABD5F"/>
    <w:rsid w:val="6A8C533A"/>
    <w:rsid w:val="6A8CC12C"/>
    <w:rsid w:val="6A8D64DF"/>
    <w:rsid w:val="6A928024"/>
    <w:rsid w:val="6A965881"/>
    <w:rsid w:val="6A984521"/>
    <w:rsid w:val="6A9A9C54"/>
    <w:rsid w:val="6AA48A9D"/>
    <w:rsid w:val="6AA8250F"/>
    <w:rsid w:val="6AAB0C6F"/>
    <w:rsid w:val="6AAB2B64"/>
    <w:rsid w:val="6AACA92A"/>
    <w:rsid w:val="6AB22963"/>
    <w:rsid w:val="6AB7A513"/>
    <w:rsid w:val="6ABADA66"/>
    <w:rsid w:val="6ABB5404"/>
    <w:rsid w:val="6ABE327D"/>
    <w:rsid w:val="6AC08C26"/>
    <w:rsid w:val="6AC84946"/>
    <w:rsid w:val="6AC9B8A2"/>
    <w:rsid w:val="6ACAD788"/>
    <w:rsid w:val="6ACD0D51"/>
    <w:rsid w:val="6AD43884"/>
    <w:rsid w:val="6AD5F115"/>
    <w:rsid w:val="6AD6228A"/>
    <w:rsid w:val="6AD7D142"/>
    <w:rsid w:val="6ADB78D4"/>
    <w:rsid w:val="6ADBF53D"/>
    <w:rsid w:val="6ADC7A88"/>
    <w:rsid w:val="6ADD3EC3"/>
    <w:rsid w:val="6ADD4568"/>
    <w:rsid w:val="6AE136C0"/>
    <w:rsid w:val="6AE40A68"/>
    <w:rsid w:val="6AEB9781"/>
    <w:rsid w:val="6AEFC9C8"/>
    <w:rsid w:val="6AF1E9AC"/>
    <w:rsid w:val="6AF461B1"/>
    <w:rsid w:val="6AFA1924"/>
    <w:rsid w:val="6B048966"/>
    <w:rsid w:val="6B0664D4"/>
    <w:rsid w:val="6B07AA5A"/>
    <w:rsid w:val="6B0CDD62"/>
    <w:rsid w:val="6B10A610"/>
    <w:rsid w:val="6B116BE6"/>
    <w:rsid w:val="6B1332D5"/>
    <w:rsid w:val="6B24CB0A"/>
    <w:rsid w:val="6B291670"/>
    <w:rsid w:val="6B29FA53"/>
    <w:rsid w:val="6B2A4F00"/>
    <w:rsid w:val="6B2A942F"/>
    <w:rsid w:val="6B2B6785"/>
    <w:rsid w:val="6B2EBB0D"/>
    <w:rsid w:val="6B3A0CE2"/>
    <w:rsid w:val="6B3C3CBF"/>
    <w:rsid w:val="6B3F6321"/>
    <w:rsid w:val="6B410D11"/>
    <w:rsid w:val="6B442448"/>
    <w:rsid w:val="6B4A5429"/>
    <w:rsid w:val="6B4F5652"/>
    <w:rsid w:val="6B4FAAA9"/>
    <w:rsid w:val="6B50C87C"/>
    <w:rsid w:val="6B52C7D0"/>
    <w:rsid w:val="6B549E2D"/>
    <w:rsid w:val="6B5CB394"/>
    <w:rsid w:val="6B60898B"/>
    <w:rsid w:val="6B648392"/>
    <w:rsid w:val="6B6D5AE8"/>
    <w:rsid w:val="6B6EA2A9"/>
    <w:rsid w:val="6B813E46"/>
    <w:rsid w:val="6B816AC6"/>
    <w:rsid w:val="6B820DB0"/>
    <w:rsid w:val="6B8538F7"/>
    <w:rsid w:val="6B86ECBE"/>
    <w:rsid w:val="6B89855D"/>
    <w:rsid w:val="6B8A0F9B"/>
    <w:rsid w:val="6B8BC5D6"/>
    <w:rsid w:val="6B8E8DD9"/>
    <w:rsid w:val="6B8EB1E3"/>
    <w:rsid w:val="6B8F4766"/>
    <w:rsid w:val="6B8F4FF4"/>
    <w:rsid w:val="6B900A5F"/>
    <w:rsid w:val="6B930BB9"/>
    <w:rsid w:val="6BA08664"/>
    <w:rsid w:val="6BA656C0"/>
    <w:rsid w:val="6BA89F4A"/>
    <w:rsid w:val="6BA9E403"/>
    <w:rsid w:val="6BAD76CE"/>
    <w:rsid w:val="6BAD9C1B"/>
    <w:rsid w:val="6BB1C4D3"/>
    <w:rsid w:val="6BB22D3F"/>
    <w:rsid w:val="6BB678B0"/>
    <w:rsid w:val="6BB8069D"/>
    <w:rsid w:val="6BB85CB3"/>
    <w:rsid w:val="6BBF22DF"/>
    <w:rsid w:val="6BC15617"/>
    <w:rsid w:val="6BC29303"/>
    <w:rsid w:val="6BC3AB5B"/>
    <w:rsid w:val="6BC47806"/>
    <w:rsid w:val="6BC714AD"/>
    <w:rsid w:val="6BC86515"/>
    <w:rsid w:val="6BD22C59"/>
    <w:rsid w:val="6BD91417"/>
    <w:rsid w:val="6BDA3142"/>
    <w:rsid w:val="6BDC4207"/>
    <w:rsid w:val="6BDC7279"/>
    <w:rsid w:val="6BE24754"/>
    <w:rsid w:val="6BE71A88"/>
    <w:rsid w:val="6BE7C235"/>
    <w:rsid w:val="6BED3EFA"/>
    <w:rsid w:val="6BF23653"/>
    <w:rsid w:val="6BF57111"/>
    <w:rsid w:val="6BF987D5"/>
    <w:rsid w:val="6BFE7053"/>
    <w:rsid w:val="6BFFC1B6"/>
    <w:rsid w:val="6C05A35D"/>
    <w:rsid w:val="6C05D9F0"/>
    <w:rsid w:val="6C05E264"/>
    <w:rsid w:val="6C069023"/>
    <w:rsid w:val="6C0911AE"/>
    <w:rsid w:val="6C09DAD7"/>
    <w:rsid w:val="6C0A2459"/>
    <w:rsid w:val="6C13E95A"/>
    <w:rsid w:val="6C174290"/>
    <w:rsid w:val="6C183C3B"/>
    <w:rsid w:val="6C18EF79"/>
    <w:rsid w:val="6C19A078"/>
    <w:rsid w:val="6C19B5E7"/>
    <w:rsid w:val="6C1A2E97"/>
    <w:rsid w:val="6C1EAB86"/>
    <w:rsid w:val="6C216027"/>
    <w:rsid w:val="6C2AD9B2"/>
    <w:rsid w:val="6C2E3221"/>
    <w:rsid w:val="6C332E78"/>
    <w:rsid w:val="6C3512E6"/>
    <w:rsid w:val="6C35F039"/>
    <w:rsid w:val="6C3C4D8D"/>
    <w:rsid w:val="6C41B782"/>
    <w:rsid w:val="6C4284B2"/>
    <w:rsid w:val="6C444611"/>
    <w:rsid w:val="6C450D5E"/>
    <w:rsid w:val="6C458B1F"/>
    <w:rsid w:val="6C472E17"/>
    <w:rsid w:val="6C49DB82"/>
    <w:rsid w:val="6C4A146F"/>
    <w:rsid w:val="6C5036F2"/>
    <w:rsid w:val="6C5BBFFD"/>
    <w:rsid w:val="6C5F0F21"/>
    <w:rsid w:val="6C623B1A"/>
    <w:rsid w:val="6C69C05E"/>
    <w:rsid w:val="6C6EB81C"/>
    <w:rsid w:val="6C71C78F"/>
    <w:rsid w:val="6C72FBAA"/>
    <w:rsid w:val="6C731AC5"/>
    <w:rsid w:val="6C74547D"/>
    <w:rsid w:val="6C750DAA"/>
    <w:rsid w:val="6C7B5338"/>
    <w:rsid w:val="6C828859"/>
    <w:rsid w:val="6C85CB63"/>
    <w:rsid w:val="6C8A4192"/>
    <w:rsid w:val="6C8D1CEB"/>
    <w:rsid w:val="6C8D7830"/>
    <w:rsid w:val="6C8ED63B"/>
    <w:rsid w:val="6C9B8EBB"/>
    <w:rsid w:val="6C9C0006"/>
    <w:rsid w:val="6C9EAE34"/>
    <w:rsid w:val="6CA81533"/>
    <w:rsid w:val="6CA896BD"/>
    <w:rsid w:val="6CAB216E"/>
    <w:rsid w:val="6CAB73B2"/>
    <w:rsid w:val="6CAE722B"/>
    <w:rsid w:val="6CB09CCF"/>
    <w:rsid w:val="6CB30542"/>
    <w:rsid w:val="6CB481F0"/>
    <w:rsid w:val="6CB5F307"/>
    <w:rsid w:val="6CB6D6EF"/>
    <w:rsid w:val="6CB98659"/>
    <w:rsid w:val="6CBDA9B7"/>
    <w:rsid w:val="6CBDC8AA"/>
    <w:rsid w:val="6CBE0F7C"/>
    <w:rsid w:val="6CC0FF93"/>
    <w:rsid w:val="6CC4B091"/>
    <w:rsid w:val="6CC8BF1D"/>
    <w:rsid w:val="6CCA456E"/>
    <w:rsid w:val="6CD09760"/>
    <w:rsid w:val="6CD13EC5"/>
    <w:rsid w:val="6CD4C214"/>
    <w:rsid w:val="6CD52697"/>
    <w:rsid w:val="6CD74B79"/>
    <w:rsid w:val="6CD9458F"/>
    <w:rsid w:val="6CD985EE"/>
    <w:rsid w:val="6CDEB237"/>
    <w:rsid w:val="6CDF8EDC"/>
    <w:rsid w:val="6CE91CD3"/>
    <w:rsid w:val="6CEAF25C"/>
    <w:rsid w:val="6CECFF90"/>
    <w:rsid w:val="6CEE7BA5"/>
    <w:rsid w:val="6CF07FAD"/>
    <w:rsid w:val="6CF68967"/>
    <w:rsid w:val="6CF794A8"/>
    <w:rsid w:val="6CF8C044"/>
    <w:rsid w:val="6CFC4D1D"/>
    <w:rsid w:val="6CFF5879"/>
    <w:rsid w:val="6CFFB888"/>
    <w:rsid w:val="6D01ED39"/>
    <w:rsid w:val="6D038EF0"/>
    <w:rsid w:val="6D03DFC8"/>
    <w:rsid w:val="6D050143"/>
    <w:rsid w:val="6D0DF424"/>
    <w:rsid w:val="6D0E86A1"/>
    <w:rsid w:val="6D100DDA"/>
    <w:rsid w:val="6D1172B1"/>
    <w:rsid w:val="6D1FEA31"/>
    <w:rsid w:val="6D226DB8"/>
    <w:rsid w:val="6D240508"/>
    <w:rsid w:val="6D27FF0A"/>
    <w:rsid w:val="6D2DEECC"/>
    <w:rsid w:val="6D327DD4"/>
    <w:rsid w:val="6D3977AE"/>
    <w:rsid w:val="6D3E0DE3"/>
    <w:rsid w:val="6D3EBD06"/>
    <w:rsid w:val="6D40B68D"/>
    <w:rsid w:val="6D411723"/>
    <w:rsid w:val="6D4160C5"/>
    <w:rsid w:val="6D432EFB"/>
    <w:rsid w:val="6D4B87CF"/>
    <w:rsid w:val="6D4D5B5E"/>
    <w:rsid w:val="6D4DF4C7"/>
    <w:rsid w:val="6D4EBB78"/>
    <w:rsid w:val="6D573D8E"/>
    <w:rsid w:val="6D58A11F"/>
    <w:rsid w:val="6D59291C"/>
    <w:rsid w:val="6D5DA394"/>
    <w:rsid w:val="6D5F0605"/>
    <w:rsid w:val="6D6CC6ED"/>
    <w:rsid w:val="6D72574F"/>
    <w:rsid w:val="6D75A398"/>
    <w:rsid w:val="6D7D09EB"/>
    <w:rsid w:val="6D85F4D6"/>
    <w:rsid w:val="6D882D17"/>
    <w:rsid w:val="6D93D861"/>
    <w:rsid w:val="6D966AAA"/>
    <w:rsid w:val="6D97F837"/>
    <w:rsid w:val="6D98CE03"/>
    <w:rsid w:val="6D994652"/>
    <w:rsid w:val="6D9AAABF"/>
    <w:rsid w:val="6DA1AA48"/>
    <w:rsid w:val="6DA2E200"/>
    <w:rsid w:val="6DA91B77"/>
    <w:rsid w:val="6DAA255E"/>
    <w:rsid w:val="6DAA9133"/>
    <w:rsid w:val="6DB312F1"/>
    <w:rsid w:val="6DB46DE6"/>
    <w:rsid w:val="6DB92AC7"/>
    <w:rsid w:val="6DBEC07B"/>
    <w:rsid w:val="6DC03400"/>
    <w:rsid w:val="6DC400AF"/>
    <w:rsid w:val="6DC5D368"/>
    <w:rsid w:val="6DCAC42B"/>
    <w:rsid w:val="6DCD8E67"/>
    <w:rsid w:val="6DCDEC62"/>
    <w:rsid w:val="6DCEFCC4"/>
    <w:rsid w:val="6DCF11C1"/>
    <w:rsid w:val="6DD7DBFD"/>
    <w:rsid w:val="6DE00E4E"/>
    <w:rsid w:val="6DE52465"/>
    <w:rsid w:val="6DEE7829"/>
    <w:rsid w:val="6DF34DEB"/>
    <w:rsid w:val="6DF4A2F4"/>
    <w:rsid w:val="6DF56167"/>
    <w:rsid w:val="6DF69288"/>
    <w:rsid w:val="6DF87202"/>
    <w:rsid w:val="6DF90FFE"/>
    <w:rsid w:val="6E01C509"/>
    <w:rsid w:val="6E173ACA"/>
    <w:rsid w:val="6E202BF2"/>
    <w:rsid w:val="6E20B550"/>
    <w:rsid w:val="6E21C005"/>
    <w:rsid w:val="6E23C544"/>
    <w:rsid w:val="6E2CFDCE"/>
    <w:rsid w:val="6E2FCD15"/>
    <w:rsid w:val="6E3005F6"/>
    <w:rsid w:val="6E3276C3"/>
    <w:rsid w:val="6E33974B"/>
    <w:rsid w:val="6E33DCA9"/>
    <w:rsid w:val="6E36750A"/>
    <w:rsid w:val="6E3B3C43"/>
    <w:rsid w:val="6E45744F"/>
    <w:rsid w:val="6E4851DA"/>
    <w:rsid w:val="6E48A1CC"/>
    <w:rsid w:val="6E4CF35D"/>
    <w:rsid w:val="6E4E994C"/>
    <w:rsid w:val="6E4EA1EE"/>
    <w:rsid w:val="6E4F259B"/>
    <w:rsid w:val="6E50AC6E"/>
    <w:rsid w:val="6E50D635"/>
    <w:rsid w:val="6E50E107"/>
    <w:rsid w:val="6E573EAA"/>
    <w:rsid w:val="6E5E0E9D"/>
    <w:rsid w:val="6E62F004"/>
    <w:rsid w:val="6E74E29B"/>
    <w:rsid w:val="6E774B3D"/>
    <w:rsid w:val="6E77885D"/>
    <w:rsid w:val="6E78CC1B"/>
    <w:rsid w:val="6E7BA75F"/>
    <w:rsid w:val="6E8861F6"/>
    <w:rsid w:val="6E89F481"/>
    <w:rsid w:val="6E8B46F4"/>
    <w:rsid w:val="6E92A915"/>
    <w:rsid w:val="6E9A7095"/>
    <w:rsid w:val="6E9DEA64"/>
    <w:rsid w:val="6EA02229"/>
    <w:rsid w:val="6EA80FAF"/>
    <w:rsid w:val="6EA9067E"/>
    <w:rsid w:val="6EA995CA"/>
    <w:rsid w:val="6EAD014A"/>
    <w:rsid w:val="6EAE2131"/>
    <w:rsid w:val="6EAFAA1E"/>
    <w:rsid w:val="6EB19A18"/>
    <w:rsid w:val="6EB9B04A"/>
    <w:rsid w:val="6EBACB33"/>
    <w:rsid w:val="6EC43DEE"/>
    <w:rsid w:val="6ECC0991"/>
    <w:rsid w:val="6ECDF744"/>
    <w:rsid w:val="6ED5D62D"/>
    <w:rsid w:val="6EED82DA"/>
    <w:rsid w:val="6EEF55C8"/>
    <w:rsid w:val="6EF16B81"/>
    <w:rsid w:val="6EF40486"/>
    <w:rsid w:val="6EF7D981"/>
    <w:rsid w:val="6EF9561C"/>
    <w:rsid w:val="6F01BFF8"/>
    <w:rsid w:val="6F04C6B0"/>
    <w:rsid w:val="6F068E2C"/>
    <w:rsid w:val="6F0A4B5C"/>
    <w:rsid w:val="6F0ACA6B"/>
    <w:rsid w:val="6F0ECD1D"/>
    <w:rsid w:val="6F136DF8"/>
    <w:rsid w:val="6F15B478"/>
    <w:rsid w:val="6F1A568F"/>
    <w:rsid w:val="6F1E52D3"/>
    <w:rsid w:val="6F201839"/>
    <w:rsid w:val="6F20A8E7"/>
    <w:rsid w:val="6F2827ED"/>
    <w:rsid w:val="6F2B790C"/>
    <w:rsid w:val="6F2F13C8"/>
    <w:rsid w:val="6F34EB13"/>
    <w:rsid w:val="6F399A9B"/>
    <w:rsid w:val="6F3B7009"/>
    <w:rsid w:val="6F3F4462"/>
    <w:rsid w:val="6F440EB0"/>
    <w:rsid w:val="6F483549"/>
    <w:rsid w:val="6F4FCEF3"/>
    <w:rsid w:val="6F50EB7F"/>
    <w:rsid w:val="6F56171C"/>
    <w:rsid w:val="6F5822D0"/>
    <w:rsid w:val="6F5830EB"/>
    <w:rsid w:val="6F58E73C"/>
    <w:rsid w:val="6F5B4104"/>
    <w:rsid w:val="6F5BD080"/>
    <w:rsid w:val="6F5E69CD"/>
    <w:rsid w:val="6F6409BC"/>
    <w:rsid w:val="6F64BB52"/>
    <w:rsid w:val="6F6756A9"/>
    <w:rsid w:val="6F6899E0"/>
    <w:rsid w:val="6F6A178F"/>
    <w:rsid w:val="6F6A3110"/>
    <w:rsid w:val="6F6A9559"/>
    <w:rsid w:val="6F6ACF88"/>
    <w:rsid w:val="6F6BFAAB"/>
    <w:rsid w:val="6F6C1713"/>
    <w:rsid w:val="6F6CB56D"/>
    <w:rsid w:val="6F6DD443"/>
    <w:rsid w:val="6F7511F8"/>
    <w:rsid w:val="6F75E5F0"/>
    <w:rsid w:val="6F78F99F"/>
    <w:rsid w:val="6F7E9BCB"/>
    <w:rsid w:val="6F80E405"/>
    <w:rsid w:val="6F81AF5B"/>
    <w:rsid w:val="6F848504"/>
    <w:rsid w:val="6F861C71"/>
    <w:rsid w:val="6F878CE7"/>
    <w:rsid w:val="6F8A1DEF"/>
    <w:rsid w:val="6F8E3999"/>
    <w:rsid w:val="6F8E86AE"/>
    <w:rsid w:val="6F90028C"/>
    <w:rsid w:val="6F91C8E1"/>
    <w:rsid w:val="6F94C927"/>
    <w:rsid w:val="6F989404"/>
    <w:rsid w:val="6F9916F2"/>
    <w:rsid w:val="6FA1455F"/>
    <w:rsid w:val="6FA3651C"/>
    <w:rsid w:val="6FA59A08"/>
    <w:rsid w:val="6FA806C1"/>
    <w:rsid w:val="6FAA2916"/>
    <w:rsid w:val="6FAC7F07"/>
    <w:rsid w:val="6FAE0020"/>
    <w:rsid w:val="6FAEB910"/>
    <w:rsid w:val="6FB3521E"/>
    <w:rsid w:val="6FB6972B"/>
    <w:rsid w:val="6FB70639"/>
    <w:rsid w:val="6FB8B997"/>
    <w:rsid w:val="6FBBBD21"/>
    <w:rsid w:val="6FBCCB9C"/>
    <w:rsid w:val="6FBD1A85"/>
    <w:rsid w:val="6FBE50CD"/>
    <w:rsid w:val="6FBF5AA9"/>
    <w:rsid w:val="6FC2F818"/>
    <w:rsid w:val="6FC333B3"/>
    <w:rsid w:val="6FC6EA3D"/>
    <w:rsid w:val="6FCAA243"/>
    <w:rsid w:val="6FCCA590"/>
    <w:rsid w:val="6FCE890A"/>
    <w:rsid w:val="6FD23E5A"/>
    <w:rsid w:val="6FD3B10C"/>
    <w:rsid w:val="6FD4C3A9"/>
    <w:rsid w:val="6FD6CEC6"/>
    <w:rsid w:val="6FD82EB8"/>
    <w:rsid w:val="6FDE9732"/>
    <w:rsid w:val="6FDF3C5C"/>
    <w:rsid w:val="6FE2DDC9"/>
    <w:rsid w:val="6FE693D5"/>
    <w:rsid w:val="6FEB06F7"/>
    <w:rsid w:val="6FF397BC"/>
    <w:rsid w:val="6FF3CC3C"/>
    <w:rsid w:val="6FF79E17"/>
    <w:rsid w:val="6FF80946"/>
    <w:rsid w:val="70005C58"/>
    <w:rsid w:val="70035C7C"/>
    <w:rsid w:val="7003ACE4"/>
    <w:rsid w:val="7005BB5F"/>
    <w:rsid w:val="700AC159"/>
    <w:rsid w:val="700D8B17"/>
    <w:rsid w:val="700DB97D"/>
    <w:rsid w:val="700DBF49"/>
    <w:rsid w:val="70126A0F"/>
    <w:rsid w:val="7014A1D7"/>
    <w:rsid w:val="70156D05"/>
    <w:rsid w:val="7015A637"/>
    <w:rsid w:val="7016FD8E"/>
    <w:rsid w:val="701A06EE"/>
    <w:rsid w:val="701CBF65"/>
    <w:rsid w:val="7022FDDE"/>
    <w:rsid w:val="7023D72E"/>
    <w:rsid w:val="702413D6"/>
    <w:rsid w:val="7025C60A"/>
    <w:rsid w:val="7029800E"/>
    <w:rsid w:val="702D50DE"/>
    <w:rsid w:val="70386813"/>
    <w:rsid w:val="7039270C"/>
    <w:rsid w:val="703EBA15"/>
    <w:rsid w:val="703FB9F8"/>
    <w:rsid w:val="704287C2"/>
    <w:rsid w:val="7042B12A"/>
    <w:rsid w:val="70435FC4"/>
    <w:rsid w:val="704836B3"/>
    <w:rsid w:val="7049B05A"/>
    <w:rsid w:val="704E2122"/>
    <w:rsid w:val="7051CA1D"/>
    <w:rsid w:val="70559247"/>
    <w:rsid w:val="7055BD1F"/>
    <w:rsid w:val="7058E89C"/>
    <w:rsid w:val="705C813F"/>
    <w:rsid w:val="70645F3C"/>
    <w:rsid w:val="7065DF4E"/>
    <w:rsid w:val="70675607"/>
    <w:rsid w:val="706A22CA"/>
    <w:rsid w:val="706C6361"/>
    <w:rsid w:val="706F1C5F"/>
    <w:rsid w:val="7079A943"/>
    <w:rsid w:val="708BA8FD"/>
    <w:rsid w:val="709504E1"/>
    <w:rsid w:val="70973B55"/>
    <w:rsid w:val="709F4EE9"/>
    <w:rsid w:val="70A706A5"/>
    <w:rsid w:val="70ADF099"/>
    <w:rsid w:val="70C59DD8"/>
    <w:rsid w:val="70C6DAF2"/>
    <w:rsid w:val="70C9F350"/>
    <w:rsid w:val="70CA597A"/>
    <w:rsid w:val="70CA88F4"/>
    <w:rsid w:val="70CAC112"/>
    <w:rsid w:val="70CCA020"/>
    <w:rsid w:val="70CF8270"/>
    <w:rsid w:val="70D0092E"/>
    <w:rsid w:val="70D139EE"/>
    <w:rsid w:val="70D3F870"/>
    <w:rsid w:val="70D6843E"/>
    <w:rsid w:val="70D9278F"/>
    <w:rsid w:val="70D9E546"/>
    <w:rsid w:val="70DD670A"/>
    <w:rsid w:val="70DDD189"/>
    <w:rsid w:val="70DFCF2C"/>
    <w:rsid w:val="70E2B95A"/>
    <w:rsid w:val="70E380F5"/>
    <w:rsid w:val="70E7B9C8"/>
    <w:rsid w:val="70E81243"/>
    <w:rsid w:val="70E8B757"/>
    <w:rsid w:val="70E91145"/>
    <w:rsid w:val="70EA9F1A"/>
    <w:rsid w:val="70EEA5E1"/>
    <w:rsid w:val="70F109C3"/>
    <w:rsid w:val="70F34172"/>
    <w:rsid w:val="70F3F331"/>
    <w:rsid w:val="70F4638A"/>
    <w:rsid w:val="70F92CEC"/>
    <w:rsid w:val="70F9BF34"/>
    <w:rsid w:val="70FAB85F"/>
    <w:rsid w:val="70FE406F"/>
    <w:rsid w:val="70FE680E"/>
    <w:rsid w:val="71019177"/>
    <w:rsid w:val="7108C630"/>
    <w:rsid w:val="710D8A97"/>
    <w:rsid w:val="7118FE77"/>
    <w:rsid w:val="7120BE06"/>
    <w:rsid w:val="71296DF4"/>
    <w:rsid w:val="7129779F"/>
    <w:rsid w:val="712DD1B9"/>
    <w:rsid w:val="712FE426"/>
    <w:rsid w:val="7134AEF7"/>
    <w:rsid w:val="71368189"/>
    <w:rsid w:val="713EB1AE"/>
    <w:rsid w:val="713FC846"/>
    <w:rsid w:val="7143A301"/>
    <w:rsid w:val="714774ED"/>
    <w:rsid w:val="714A73E6"/>
    <w:rsid w:val="714C3433"/>
    <w:rsid w:val="714D7620"/>
    <w:rsid w:val="714D84AC"/>
    <w:rsid w:val="714D9899"/>
    <w:rsid w:val="714F5767"/>
    <w:rsid w:val="7152FF4E"/>
    <w:rsid w:val="71573C6E"/>
    <w:rsid w:val="715C4049"/>
    <w:rsid w:val="715D8EED"/>
    <w:rsid w:val="715FD952"/>
    <w:rsid w:val="71617CCA"/>
    <w:rsid w:val="7164102B"/>
    <w:rsid w:val="7166E457"/>
    <w:rsid w:val="7168CF00"/>
    <w:rsid w:val="716B70E0"/>
    <w:rsid w:val="716DF0DC"/>
    <w:rsid w:val="717172D5"/>
    <w:rsid w:val="7173F5F0"/>
    <w:rsid w:val="7175BFD1"/>
    <w:rsid w:val="717DED06"/>
    <w:rsid w:val="717EB856"/>
    <w:rsid w:val="7186C8F0"/>
    <w:rsid w:val="7187A9D1"/>
    <w:rsid w:val="7187F354"/>
    <w:rsid w:val="718FF3B8"/>
    <w:rsid w:val="7191FF87"/>
    <w:rsid w:val="71A0703D"/>
    <w:rsid w:val="71A841B6"/>
    <w:rsid w:val="71A9732A"/>
    <w:rsid w:val="71AA116C"/>
    <w:rsid w:val="71AAD215"/>
    <w:rsid w:val="71ABEC0F"/>
    <w:rsid w:val="71AFE6C2"/>
    <w:rsid w:val="71B40CE9"/>
    <w:rsid w:val="71B5DEFB"/>
    <w:rsid w:val="71B7287B"/>
    <w:rsid w:val="71BC74E7"/>
    <w:rsid w:val="71C1D490"/>
    <w:rsid w:val="71C6A041"/>
    <w:rsid w:val="71CC8510"/>
    <w:rsid w:val="71DB122C"/>
    <w:rsid w:val="71DFF23D"/>
    <w:rsid w:val="71E75269"/>
    <w:rsid w:val="71E8258E"/>
    <w:rsid w:val="71EBFC71"/>
    <w:rsid w:val="71F2DDC4"/>
    <w:rsid w:val="71F4FC32"/>
    <w:rsid w:val="71F8E243"/>
    <w:rsid w:val="71FEA0A5"/>
    <w:rsid w:val="71FF2337"/>
    <w:rsid w:val="7201163E"/>
    <w:rsid w:val="7201D2EC"/>
    <w:rsid w:val="7202BC72"/>
    <w:rsid w:val="72039295"/>
    <w:rsid w:val="72047D52"/>
    <w:rsid w:val="72054819"/>
    <w:rsid w:val="72056F36"/>
    <w:rsid w:val="72078F69"/>
    <w:rsid w:val="721066AB"/>
    <w:rsid w:val="72123089"/>
    <w:rsid w:val="7213EC03"/>
    <w:rsid w:val="721410FA"/>
    <w:rsid w:val="72150E15"/>
    <w:rsid w:val="721692A8"/>
    <w:rsid w:val="7216996E"/>
    <w:rsid w:val="7218D3CB"/>
    <w:rsid w:val="721B0A1B"/>
    <w:rsid w:val="721BCC38"/>
    <w:rsid w:val="721C2574"/>
    <w:rsid w:val="721E0E67"/>
    <w:rsid w:val="72329EA7"/>
    <w:rsid w:val="72334633"/>
    <w:rsid w:val="72374208"/>
    <w:rsid w:val="723C476D"/>
    <w:rsid w:val="7245F608"/>
    <w:rsid w:val="7251737C"/>
    <w:rsid w:val="72520056"/>
    <w:rsid w:val="7253995E"/>
    <w:rsid w:val="7257957B"/>
    <w:rsid w:val="725983CA"/>
    <w:rsid w:val="7259FB06"/>
    <w:rsid w:val="725B2BC2"/>
    <w:rsid w:val="726B76E6"/>
    <w:rsid w:val="726C47C7"/>
    <w:rsid w:val="726EC202"/>
    <w:rsid w:val="726F3157"/>
    <w:rsid w:val="726FF785"/>
    <w:rsid w:val="727647E8"/>
    <w:rsid w:val="727657E4"/>
    <w:rsid w:val="727B77C0"/>
    <w:rsid w:val="727FB025"/>
    <w:rsid w:val="728037A4"/>
    <w:rsid w:val="72887551"/>
    <w:rsid w:val="72894F59"/>
    <w:rsid w:val="7289D739"/>
    <w:rsid w:val="7289E0AF"/>
    <w:rsid w:val="728B79C4"/>
    <w:rsid w:val="728BC486"/>
    <w:rsid w:val="72924A87"/>
    <w:rsid w:val="72928730"/>
    <w:rsid w:val="72957607"/>
    <w:rsid w:val="7296A2DC"/>
    <w:rsid w:val="72982891"/>
    <w:rsid w:val="729ADE15"/>
    <w:rsid w:val="72A0F5D3"/>
    <w:rsid w:val="72A18BAD"/>
    <w:rsid w:val="72A202AC"/>
    <w:rsid w:val="72A20EDD"/>
    <w:rsid w:val="72A5800F"/>
    <w:rsid w:val="72AB3CF6"/>
    <w:rsid w:val="72B570C8"/>
    <w:rsid w:val="72BA49D1"/>
    <w:rsid w:val="72BA60AE"/>
    <w:rsid w:val="72BCDABD"/>
    <w:rsid w:val="72BD7B0B"/>
    <w:rsid w:val="72C01B6A"/>
    <w:rsid w:val="72C33287"/>
    <w:rsid w:val="72C9A349"/>
    <w:rsid w:val="72D0A19D"/>
    <w:rsid w:val="72DB2A3A"/>
    <w:rsid w:val="72DBD39C"/>
    <w:rsid w:val="72DCF7BC"/>
    <w:rsid w:val="72DEC44C"/>
    <w:rsid w:val="72E3E8A5"/>
    <w:rsid w:val="72E82B7B"/>
    <w:rsid w:val="72EDA28A"/>
    <w:rsid w:val="72F6CE64"/>
    <w:rsid w:val="72FCAF39"/>
    <w:rsid w:val="72FCFA5A"/>
    <w:rsid w:val="7300B81E"/>
    <w:rsid w:val="7301770E"/>
    <w:rsid w:val="73028A90"/>
    <w:rsid w:val="7303F617"/>
    <w:rsid w:val="7305B24C"/>
    <w:rsid w:val="7308B023"/>
    <w:rsid w:val="730CDAE4"/>
    <w:rsid w:val="730D9703"/>
    <w:rsid w:val="730DF670"/>
    <w:rsid w:val="73124A36"/>
    <w:rsid w:val="7314E831"/>
    <w:rsid w:val="731D0C36"/>
    <w:rsid w:val="731F00DA"/>
    <w:rsid w:val="7322C57D"/>
    <w:rsid w:val="732A717D"/>
    <w:rsid w:val="732D92E0"/>
    <w:rsid w:val="732F7892"/>
    <w:rsid w:val="7331523F"/>
    <w:rsid w:val="7333D1A2"/>
    <w:rsid w:val="733C7BE8"/>
    <w:rsid w:val="734C09AF"/>
    <w:rsid w:val="734F3B45"/>
    <w:rsid w:val="734F7EB9"/>
    <w:rsid w:val="7351ACC0"/>
    <w:rsid w:val="7356646F"/>
    <w:rsid w:val="7356C732"/>
    <w:rsid w:val="735C8FB5"/>
    <w:rsid w:val="735E6866"/>
    <w:rsid w:val="736A7C8D"/>
    <w:rsid w:val="736AB1DA"/>
    <w:rsid w:val="737026A9"/>
    <w:rsid w:val="73725CC1"/>
    <w:rsid w:val="73749CDE"/>
    <w:rsid w:val="737D555E"/>
    <w:rsid w:val="737FAC8E"/>
    <w:rsid w:val="737FC918"/>
    <w:rsid w:val="73817D08"/>
    <w:rsid w:val="738F6E56"/>
    <w:rsid w:val="739289EE"/>
    <w:rsid w:val="7392FB73"/>
    <w:rsid w:val="7397FC56"/>
    <w:rsid w:val="73980262"/>
    <w:rsid w:val="739D677B"/>
    <w:rsid w:val="73A3A01B"/>
    <w:rsid w:val="73A455AB"/>
    <w:rsid w:val="73A57888"/>
    <w:rsid w:val="73A71931"/>
    <w:rsid w:val="73A9C88B"/>
    <w:rsid w:val="73ACDE46"/>
    <w:rsid w:val="73AF8F6B"/>
    <w:rsid w:val="73B470DA"/>
    <w:rsid w:val="73B4F38B"/>
    <w:rsid w:val="73B55D32"/>
    <w:rsid w:val="73C32824"/>
    <w:rsid w:val="73C9BDA0"/>
    <w:rsid w:val="73CAB1AD"/>
    <w:rsid w:val="73D06328"/>
    <w:rsid w:val="73D7410A"/>
    <w:rsid w:val="73D79AC3"/>
    <w:rsid w:val="73E47DA7"/>
    <w:rsid w:val="73E4D047"/>
    <w:rsid w:val="73E5D1EF"/>
    <w:rsid w:val="73E72096"/>
    <w:rsid w:val="73EB534B"/>
    <w:rsid w:val="73ED3739"/>
    <w:rsid w:val="73EF41D6"/>
    <w:rsid w:val="73EFB22C"/>
    <w:rsid w:val="73F0FAC7"/>
    <w:rsid w:val="73F25567"/>
    <w:rsid w:val="73F361C5"/>
    <w:rsid w:val="73F42C21"/>
    <w:rsid w:val="73F575B6"/>
    <w:rsid w:val="73FD0628"/>
    <w:rsid w:val="740255B1"/>
    <w:rsid w:val="74050636"/>
    <w:rsid w:val="740BEC5D"/>
    <w:rsid w:val="740C6D30"/>
    <w:rsid w:val="741634FD"/>
    <w:rsid w:val="74175AC1"/>
    <w:rsid w:val="741BC281"/>
    <w:rsid w:val="741E2A96"/>
    <w:rsid w:val="74206CC1"/>
    <w:rsid w:val="74225B76"/>
    <w:rsid w:val="74273293"/>
    <w:rsid w:val="7429E13E"/>
    <w:rsid w:val="742D8AB4"/>
    <w:rsid w:val="742F35E1"/>
    <w:rsid w:val="743C4B1F"/>
    <w:rsid w:val="743F6633"/>
    <w:rsid w:val="7449B142"/>
    <w:rsid w:val="744BD1C2"/>
    <w:rsid w:val="74502ADE"/>
    <w:rsid w:val="7451C20F"/>
    <w:rsid w:val="74558AAE"/>
    <w:rsid w:val="7455EEEE"/>
    <w:rsid w:val="745A34E9"/>
    <w:rsid w:val="745D9D22"/>
    <w:rsid w:val="7463788B"/>
    <w:rsid w:val="746593A2"/>
    <w:rsid w:val="7465BCCC"/>
    <w:rsid w:val="746B3AB4"/>
    <w:rsid w:val="7471B477"/>
    <w:rsid w:val="7471BD89"/>
    <w:rsid w:val="74752EBB"/>
    <w:rsid w:val="7479556A"/>
    <w:rsid w:val="747B5EB3"/>
    <w:rsid w:val="747C1ABF"/>
    <w:rsid w:val="747F5CC2"/>
    <w:rsid w:val="7488DB1E"/>
    <w:rsid w:val="748E164E"/>
    <w:rsid w:val="748E3BB5"/>
    <w:rsid w:val="7493CE04"/>
    <w:rsid w:val="749737DE"/>
    <w:rsid w:val="7499F348"/>
    <w:rsid w:val="749A47CB"/>
    <w:rsid w:val="749C15D3"/>
    <w:rsid w:val="749D7D40"/>
    <w:rsid w:val="74A2E1AC"/>
    <w:rsid w:val="74A3CEC4"/>
    <w:rsid w:val="74A8AF68"/>
    <w:rsid w:val="74AC7017"/>
    <w:rsid w:val="74B08ED2"/>
    <w:rsid w:val="74B50A5C"/>
    <w:rsid w:val="74C32FBD"/>
    <w:rsid w:val="74C5ABAD"/>
    <w:rsid w:val="74C7A0F4"/>
    <w:rsid w:val="74D3A5AF"/>
    <w:rsid w:val="74D81BFD"/>
    <w:rsid w:val="74E6DC72"/>
    <w:rsid w:val="74EADFF3"/>
    <w:rsid w:val="74EDB764"/>
    <w:rsid w:val="74EF9FA9"/>
    <w:rsid w:val="74F00D4E"/>
    <w:rsid w:val="74F26EE7"/>
    <w:rsid w:val="74F55030"/>
    <w:rsid w:val="74F6227F"/>
    <w:rsid w:val="74F694A9"/>
    <w:rsid w:val="74F6ABA3"/>
    <w:rsid w:val="74F72570"/>
    <w:rsid w:val="74FC4C19"/>
    <w:rsid w:val="74FD6F73"/>
    <w:rsid w:val="7501A8BD"/>
    <w:rsid w:val="75042B14"/>
    <w:rsid w:val="7507E3FA"/>
    <w:rsid w:val="750912C6"/>
    <w:rsid w:val="750E0CB6"/>
    <w:rsid w:val="7510E7AB"/>
    <w:rsid w:val="7513F595"/>
    <w:rsid w:val="75142CA6"/>
    <w:rsid w:val="75144EE2"/>
    <w:rsid w:val="7515DE45"/>
    <w:rsid w:val="7516C3AB"/>
    <w:rsid w:val="751840E3"/>
    <w:rsid w:val="751D63C6"/>
    <w:rsid w:val="751F15C4"/>
    <w:rsid w:val="7522016F"/>
    <w:rsid w:val="7524B50B"/>
    <w:rsid w:val="7526762B"/>
    <w:rsid w:val="75394831"/>
    <w:rsid w:val="753B4FBF"/>
    <w:rsid w:val="7541C1BF"/>
    <w:rsid w:val="75433FAD"/>
    <w:rsid w:val="754755D6"/>
    <w:rsid w:val="754B6F67"/>
    <w:rsid w:val="754D527C"/>
    <w:rsid w:val="754ED0DE"/>
    <w:rsid w:val="7554418A"/>
    <w:rsid w:val="755E84CA"/>
    <w:rsid w:val="755F8656"/>
    <w:rsid w:val="75681993"/>
    <w:rsid w:val="756941C9"/>
    <w:rsid w:val="756F99B7"/>
    <w:rsid w:val="7570CDC8"/>
    <w:rsid w:val="7570EF9B"/>
    <w:rsid w:val="7571FD1F"/>
    <w:rsid w:val="75732378"/>
    <w:rsid w:val="7575EB98"/>
    <w:rsid w:val="7576FF45"/>
    <w:rsid w:val="758510F6"/>
    <w:rsid w:val="7585F5D2"/>
    <w:rsid w:val="75874D57"/>
    <w:rsid w:val="75892BBF"/>
    <w:rsid w:val="758AD264"/>
    <w:rsid w:val="758EBE19"/>
    <w:rsid w:val="75942C00"/>
    <w:rsid w:val="75949A6F"/>
    <w:rsid w:val="75979605"/>
    <w:rsid w:val="759B7A7E"/>
    <w:rsid w:val="759BC886"/>
    <w:rsid w:val="75A36A5C"/>
    <w:rsid w:val="75A430C1"/>
    <w:rsid w:val="75A65FD9"/>
    <w:rsid w:val="75A71A4F"/>
    <w:rsid w:val="75A8D04D"/>
    <w:rsid w:val="75A8D3BE"/>
    <w:rsid w:val="75A918FB"/>
    <w:rsid w:val="75ADC4ED"/>
    <w:rsid w:val="75ADF6F6"/>
    <w:rsid w:val="75B32D0B"/>
    <w:rsid w:val="75BDE16E"/>
    <w:rsid w:val="75BE82AC"/>
    <w:rsid w:val="75C031FD"/>
    <w:rsid w:val="75C1A8D4"/>
    <w:rsid w:val="75C79D8B"/>
    <w:rsid w:val="75CE196F"/>
    <w:rsid w:val="75D57A24"/>
    <w:rsid w:val="75E511A8"/>
    <w:rsid w:val="75E9CA98"/>
    <w:rsid w:val="75EC4C84"/>
    <w:rsid w:val="75EE629F"/>
    <w:rsid w:val="75F1F327"/>
    <w:rsid w:val="75F43ABF"/>
    <w:rsid w:val="75F55DF5"/>
    <w:rsid w:val="75F6BE1F"/>
    <w:rsid w:val="75F9F208"/>
    <w:rsid w:val="75FF66A7"/>
    <w:rsid w:val="7604324C"/>
    <w:rsid w:val="76052207"/>
    <w:rsid w:val="7608932C"/>
    <w:rsid w:val="760B81DF"/>
    <w:rsid w:val="76102A4F"/>
    <w:rsid w:val="761100C0"/>
    <w:rsid w:val="7613C960"/>
    <w:rsid w:val="7614B419"/>
    <w:rsid w:val="76166D00"/>
    <w:rsid w:val="7618168D"/>
    <w:rsid w:val="761ACEB7"/>
    <w:rsid w:val="761B2E99"/>
    <w:rsid w:val="76225409"/>
    <w:rsid w:val="76246FEB"/>
    <w:rsid w:val="7625331C"/>
    <w:rsid w:val="762AEFF3"/>
    <w:rsid w:val="762E6199"/>
    <w:rsid w:val="7633306E"/>
    <w:rsid w:val="76372A88"/>
    <w:rsid w:val="763FE496"/>
    <w:rsid w:val="76413286"/>
    <w:rsid w:val="7644C4F8"/>
    <w:rsid w:val="76487955"/>
    <w:rsid w:val="764DC02F"/>
    <w:rsid w:val="765666ED"/>
    <w:rsid w:val="765C7BEA"/>
    <w:rsid w:val="765CBA72"/>
    <w:rsid w:val="765F7FB6"/>
    <w:rsid w:val="76605685"/>
    <w:rsid w:val="766569D6"/>
    <w:rsid w:val="766D91A2"/>
    <w:rsid w:val="767146D9"/>
    <w:rsid w:val="76768F5C"/>
    <w:rsid w:val="76788308"/>
    <w:rsid w:val="767A1C35"/>
    <w:rsid w:val="767B1EC0"/>
    <w:rsid w:val="7682A846"/>
    <w:rsid w:val="76857724"/>
    <w:rsid w:val="7687B2E6"/>
    <w:rsid w:val="7687ECC0"/>
    <w:rsid w:val="7688C0F4"/>
    <w:rsid w:val="76924656"/>
    <w:rsid w:val="76933171"/>
    <w:rsid w:val="769644B2"/>
    <w:rsid w:val="76967286"/>
    <w:rsid w:val="76989454"/>
    <w:rsid w:val="76996B1E"/>
    <w:rsid w:val="76AAA6F0"/>
    <w:rsid w:val="76AEF87C"/>
    <w:rsid w:val="76AF7487"/>
    <w:rsid w:val="76B5CB03"/>
    <w:rsid w:val="76B621E2"/>
    <w:rsid w:val="76B67E4C"/>
    <w:rsid w:val="76B8F263"/>
    <w:rsid w:val="76C30DDE"/>
    <w:rsid w:val="76CAA527"/>
    <w:rsid w:val="76CD6FD7"/>
    <w:rsid w:val="76D2E96F"/>
    <w:rsid w:val="76D34241"/>
    <w:rsid w:val="76D5FA3A"/>
    <w:rsid w:val="76D66613"/>
    <w:rsid w:val="76D68E06"/>
    <w:rsid w:val="76E6F6CA"/>
    <w:rsid w:val="76EA2E81"/>
    <w:rsid w:val="76EAB272"/>
    <w:rsid w:val="76EEF993"/>
    <w:rsid w:val="76F112D3"/>
    <w:rsid w:val="76F16239"/>
    <w:rsid w:val="76F84B5B"/>
    <w:rsid w:val="76F9A019"/>
    <w:rsid w:val="76FDDA4B"/>
    <w:rsid w:val="77041421"/>
    <w:rsid w:val="77046A27"/>
    <w:rsid w:val="77054961"/>
    <w:rsid w:val="77058AF7"/>
    <w:rsid w:val="7709F562"/>
    <w:rsid w:val="770AE231"/>
    <w:rsid w:val="770E02D4"/>
    <w:rsid w:val="770EBF9D"/>
    <w:rsid w:val="770FC6C7"/>
    <w:rsid w:val="77109B55"/>
    <w:rsid w:val="77138525"/>
    <w:rsid w:val="771AE198"/>
    <w:rsid w:val="771E9237"/>
    <w:rsid w:val="7726D0B6"/>
    <w:rsid w:val="77286567"/>
    <w:rsid w:val="772FB015"/>
    <w:rsid w:val="77308BAC"/>
    <w:rsid w:val="773E2F44"/>
    <w:rsid w:val="773FB4C8"/>
    <w:rsid w:val="77421238"/>
    <w:rsid w:val="7742D032"/>
    <w:rsid w:val="7743FDED"/>
    <w:rsid w:val="7749BC32"/>
    <w:rsid w:val="774A9CBD"/>
    <w:rsid w:val="7758CF64"/>
    <w:rsid w:val="775C26C6"/>
    <w:rsid w:val="775CA1CB"/>
    <w:rsid w:val="7760976A"/>
    <w:rsid w:val="776571D2"/>
    <w:rsid w:val="776F8ED7"/>
    <w:rsid w:val="7776C993"/>
    <w:rsid w:val="7779CFB5"/>
    <w:rsid w:val="77829BBF"/>
    <w:rsid w:val="7787CEE1"/>
    <w:rsid w:val="7787DBF6"/>
    <w:rsid w:val="77880E86"/>
    <w:rsid w:val="77883BAE"/>
    <w:rsid w:val="778D2A55"/>
    <w:rsid w:val="779492C1"/>
    <w:rsid w:val="7795B121"/>
    <w:rsid w:val="7795B96E"/>
    <w:rsid w:val="7797B037"/>
    <w:rsid w:val="77984377"/>
    <w:rsid w:val="779E58FD"/>
    <w:rsid w:val="779EF74E"/>
    <w:rsid w:val="77A182D6"/>
    <w:rsid w:val="77A76A8D"/>
    <w:rsid w:val="77A7B532"/>
    <w:rsid w:val="77A86728"/>
    <w:rsid w:val="77AA0213"/>
    <w:rsid w:val="77B207D7"/>
    <w:rsid w:val="77B2FA2B"/>
    <w:rsid w:val="77B62A99"/>
    <w:rsid w:val="77B8005A"/>
    <w:rsid w:val="77BA8C31"/>
    <w:rsid w:val="77C01B8C"/>
    <w:rsid w:val="77C22653"/>
    <w:rsid w:val="77CB44CF"/>
    <w:rsid w:val="77CE1D5B"/>
    <w:rsid w:val="77D25D81"/>
    <w:rsid w:val="77D4C5E5"/>
    <w:rsid w:val="77D602EB"/>
    <w:rsid w:val="77E01749"/>
    <w:rsid w:val="77E1451F"/>
    <w:rsid w:val="77E31FA8"/>
    <w:rsid w:val="77E34EB4"/>
    <w:rsid w:val="77E52972"/>
    <w:rsid w:val="77EEA295"/>
    <w:rsid w:val="77F02706"/>
    <w:rsid w:val="77F1F56B"/>
    <w:rsid w:val="77F2AB23"/>
    <w:rsid w:val="77F4239E"/>
    <w:rsid w:val="77F4D7FD"/>
    <w:rsid w:val="77F64830"/>
    <w:rsid w:val="77FA88C5"/>
    <w:rsid w:val="7800BEAF"/>
    <w:rsid w:val="7801525D"/>
    <w:rsid w:val="780183E0"/>
    <w:rsid w:val="7801D60B"/>
    <w:rsid w:val="78036D58"/>
    <w:rsid w:val="78043CDA"/>
    <w:rsid w:val="780E6200"/>
    <w:rsid w:val="78122C04"/>
    <w:rsid w:val="781891BE"/>
    <w:rsid w:val="781B1B28"/>
    <w:rsid w:val="781C5AFE"/>
    <w:rsid w:val="782646D0"/>
    <w:rsid w:val="782CFC85"/>
    <w:rsid w:val="782D7A25"/>
    <w:rsid w:val="782FBCBB"/>
    <w:rsid w:val="7833424E"/>
    <w:rsid w:val="7838E6D6"/>
    <w:rsid w:val="783E3F6E"/>
    <w:rsid w:val="784146C8"/>
    <w:rsid w:val="7847B23A"/>
    <w:rsid w:val="78484784"/>
    <w:rsid w:val="7850CF79"/>
    <w:rsid w:val="7851FAAA"/>
    <w:rsid w:val="7852BAEA"/>
    <w:rsid w:val="78531A0D"/>
    <w:rsid w:val="78534817"/>
    <w:rsid w:val="78537A11"/>
    <w:rsid w:val="78558024"/>
    <w:rsid w:val="7866DDEA"/>
    <w:rsid w:val="786721EB"/>
    <w:rsid w:val="786A5086"/>
    <w:rsid w:val="78700EFC"/>
    <w:rsid w:val="7870841E"/>
    <w:rsid w:val="787120CA"/>
    <w:rsid w:val="78745826"/>
    <w:rsid w:val="787A653F"/>
    <w:rsid w:val="787B94EE"/>
    <w:rsid w:val="787E0551"/>
    <w:rsid w:val="7882DE97"/>
    <w:rsid w:val="7884EAF6"/>
    <w:rsid w:val="788985C9"/>
    <w:rsid w:val="78899959"/>
    <w:rsid w:val="788C5539"/>
    <w:rsid w:val="788C779E"/>
    <w:rsid w:val="78948070"/>
    <w:rsid w:val="789B0BDE"/>
    <w:rsid w:val="789B7CDD"/>
    <w:rsid w:val="789EC85A"/>
    <w:rsid w:val="78A26BCC"/>
    <w:rsid w:val="78A2F0FF"/>
    <w:rsid w:val="78A976D8"/>
    <w:rsid w:val="78B25796"/>
    <w:rsid w:val="78B605F1"/>
    <w:rsid w:val="78BC15E3"/>
    <w:rsid w:val="78BC2F95"/>
    <w:rsid w:val="78C137E2"/>
    <w:rsid w:val="78C191AB"/>
    <w:rsid w:val="78C3E760"/>
    <w:rsid w:val="78C5EDFA"/>
    <w:rsid w:val="78C6ABA6"/>
    <w:rsid w:val="78C6F635"/>
    <w:rsid w:val="78CBBCBB"/>
    <w:rsid w:val="78CD525B"/>
    <w:rsid w:val="78CD9D4C"/>
    <w:rsid w:val="78D1E7E9"/>
    <w:rsid w:val="78D23162"/>
    <w:rsid w:val="78D2F8A6"/>
    <w:rsid w:val="78D35701"/>
    <w:rsid w:val="78DCE24B"/>
    <w:rsid w:val="78DD46C8"/>
    <w:rsid w:val="78DDF141"/>
    <w:rsid w:val="78DF8E24"/>
    <w:rsid w:val="78E6F561"/>
    <w:rsid w:val="78EA81F9"/>
    <w:rsid w:val="78EAE936"/>
    <w:rsid w:val="78EB3852"/>
    <w:rsid w:val="78EBAAE7"/>
    <w:rsid w:val="78F0DCDC"/>
    <w:rsid w:val="78F2FFC3"/>
    <w:rsid w:val="78F3631D"/>
    <w:rsid w:val="78F5FAA1"/>
    <w:rsid w:val="78F7D9D4"/>
    <w:rsid w:val="78F9893D"/>
    <w:rsid w:val="78FC7251"/>
    <w:rsid w:val="7900F7C8"/>
    <w:rsid w:val="790299DD"/>
    <w:rsid w:val="7904006C"/>
    <w:rsid w:val="79041E58"/>
    <w:rsid w:val="7909AE26"/>
    <w:rsid w:val="790B0F04"/>
    <w:rsid w:val="790B3BB8"/>
    <w:rsid w:val="790F360D"/>
    <w:rsid w:val="790FBC42"/>
    <w:rsid w:val="7913A700"/>
    <w:rsid w:val="7913C6FB"/>
    <w:rsid w:val="79177FA8"/>
    <w:rsid w:val="7917A80D"/>
    <w:rsid w:val="7922E0D5"/>
    <w:rsid w:val="7926A9CE"/>
    <w:rsid w:val="7928BC5E"/>
    <w:rsid w:val="7929AF2B"/>
    <w:rsid w:val="792CD057"/>
    <w:rsid w:val="792D94FC"/>
    <w:rsid w:val="79327F8F"/>
    <w:rsid w:val="7935394E"/>
    <w:rsid w:val="7937121B"/>
    <w:rsid w:val="7938B104"/>
    <w:rsid w:val="793FB792"/>
    <w:rsid w:val="793FFF82"/>
    <w:rsid w:val="79408025"/>
    <w:rsid w:val="79418053"/>
    <w:rsid w:val="7944CC43"/>
    <w:rsid w:val="79490CE0"/>
    <w:rsid w:val="794EF30E"/>
    <w:rsid w:val="794F061C"/>
    <w:rsid w:val="7958E9DE"/>
    <w:rsid w:val="795E7153"/>
    <w:rsid w:val="795FAA35"/>
    <w:rsid w:val="7961163E"/>
    <w:rsid w:val="7961BDD8"/>
    <w:rsid w:val="796797CB"/>
    <w:rsid w:val="7967A98C"/>
    <w:rsid w:val="7969F06F"/>
    <w:rsid w:val="796C5DED"/>
    <w:rsid w:val="796C7F2F"/>
    <w:rsid w:val="79768EC2"/>
    <w:rsid w:val="797858C6"/>
    <w:rsid w:val="797A3D83"/>
    <w:rsid w:val="797E19B8"/>
    <w:rsid w:val="7980A313"/>
    <w:rsid w:val="79845428"/>
    <w:rsid w:val="7986BA9F"/>
    <w:rsid w:val="798911FE"/>
    <w:rsid w:val="799316CF"/>
    <w:rsid w:val="799643DE"/>
    <w:rsid w:val="799B4AC0"/>
    <w:rsid w:val="79A394F2"/>
    <w:rsid w:val="79A81412"/>
    <w:rsid w:val="79A9BC30"/>
    <w:rsid w:val="79ACAE0E"/>
    <w:rsid w:val="79AE24B8"/>
    <w:rsid w:val="79AE5179"/>
    <w:rsid w:val="79B2826C"/>
    <w:rsid w:val="79B37880"/>
    <w:rsid w:val="79B41B5E"/>
    <w:rsid w:val="79B70E21"/>
    <w:rsid w:val="79B75572"/>
    <w:rsid w:val="79BB29F7"/>
    <w:rsid w:val="79BE39EF"/>
    <w:rsid w:val="79C83DFF"/>
    <w:rsid w:val="79CA2C3E"/>
    <w:rsid w:val="79CB0033"/>
    <w:rsid w:val="79CDF6DB"/>
    <w:rsid w:val="79CE018F"/>
    <w:rsid w:val="79D8CF87"/>
    <w:rsid w:val="79DBD569"/>
    <w:rsid w:val="79DE2A3C"/>
    <w:rsid w:val="79E1F121"/>
    <w:rsid w:val="79E2C361"/>
    <w:rsid w:val="79E42CAA"/>
    <w:rsid w:val="79E59143"/>
    <w:rsid w:val="79E86CEB"/>
    <w:rsid w:val="79EB1C2A"/>
    <w:rsid w:val="79EB778D"/>
    <w:rsid w:val="79EFD588"/>
    <w:rsid w:val="79F10FBB"/>
    <w:rsid w:val="79F6BE54"/>
    <w:rsid w:val="79FA10DA"/>
    <w:rsid w:val="7A0200B2"/>
    <w:rsid w:val="7A0261D2"/>
    <w:rsid w:val="7A0A5B79"/>
    <w:rsid w:val="7A165101"/>
    <w:rsid w:val="7A170122"/>
    <w:rsid w:val="7A19F8BF"/>
    <w:rsid w:val="7A23E65F"/>
    <w:rsid w:val="7A2668E7"/>
    <w:rsid w:val="7A27C3EF"/>
    <w:rsid w:val="7A289BE0"/>
    <w:rsid w:val="7A28CA22"/>
    <w:rsid w:val="7A2A680C"/>
    <w:rsid w:val="7A2EEA1D"/>
    <w:rsid w:val="7A3A1E8A"/>
    <w:rsid w:val="7A3F3037"/>
    <w:rsid w:val="7A418C73"/>
    <w:rsid w:val="7A42AA78"/>
    <w:rsid w:val="7A4303F4"/>
    <w:rsid w:val="7A43D3F1"/>
    <w:rsid w:val="7A49C57B"/>
    <w:rsid w:val="7A4BB604"/>
    <w:rsid w:val="7A517B15"/>
    <w:rsid w:val="7A54DC27"/>
    <w:rsid w:val="7A56F129"/>
    <w:rsid w:val="7A595D56"/>
    <w:rsid w:val="7A5BE8C6"/>
    <w:rsid w:val="7A605AFC"/>
    <w:rsid w:val="7A60D7AB"/>
    <w:rsid w:val="7A626258"/>
    <w:rsid w:val="7A6B6C29"/>
    <w:rsid w:val="7A702C64"/>
    <w:rsid w:val="7A704DE0"/>
    <w:rsid w:val="7A747556"/>
    <w:rsid w:val="7A7AD481"/>
    <w:rsid w:val="7A7F1472"/>
    <w:rsid w:val="7A8497B0"/>
    <w:rsid w:val="7A854E94"/>
    <w:rsid w:val="7A963AA1"/>
    <w:rsid w:val="7A96C87B"/>
    <w:rsid w:val="7A9FC8CD"/>
    <w:rsid w:val="7AA0760B"/>
    <w:rsid w:val="7AA36269"/>
    <w:rsid w:val="7AA477EE"/>
    <w:rsid w:val="7AA55132"/>
    <w:rsid w:val="7AA5C761"/>
    <w:rsid w:val="7AA869B1"/>
    <w:rsid w:val="7AAA5069"/>
    <w:rsid w:val="7AB13995"/>
    <w:rsid w:val="7AB2F478"/>
    <w:rsid w:val="7AB9B240"/>
    <w:rsid w:val="7ABEA320"/>
    <w:rsid w:val="7ABF0E71"/>
    <w:rsid w:val="7ABFDC70"/>
    <w:rsid w:val="7AC226C1"/>
    <w:rsid w:val="7AC72CB3"/>
    <w:rsid w:val="7AC783A1"/>
    <w:rsid w:val="7ACA8381"/>
    <w:rsid w:val="7ACC40CE"/>
    <w:rsid w:val="7ACCB1FD"/>
    <w:rsid w:val="7ACD1721"/>
    <w:rsid w:val="7ACDE5F7"/>
    <w:rsid w:val="7AD0023D"/>
    <w:rsid w:val="7AD002C3"/>
    <w:rsid w:val="7AD1170C"/>
    <w:rsid w:val="7AD5AB3A"/>
    <w:rsid w:val="7ADA43B4"/>
    <w:rsid w:val="7ADA9369"/>
    <w:rsid w:val="7ADDEF63"/>
    <w:rsid w:val="7ADF6C14"/>
    <w:rsid w:val="7AE01209"/>
    <w:rsid w:val="7AE038DC"/>
    <w:rsid w:val="7AE054E2"/>
    <w:rsid w:val="7AE41130"/>
    <w:rsid w:val="7AE4AB94"/>
    <w:rsid w:val="7AE88009"/>
    <w:rsid w:val="7AE89B61"/>
    <w:rsid w:val="7AEF1ACB"/>
    <w:rsid w:val="7AF47FF9"/>
    <w:rsid w:val="7AF7EA44"/>
    <w:rsid w:val="7AFB7E2E"/>
    <w:rsid w:val="7AFE47E7"/>
    <w:rsid w:val="7B007C05"/>
    <w:rsid w:val="7B0300A0"/>
    <w:rsid w:val="7B03303B"/>
    <w:rsid w:val="7B04F2F6"/>
    <w:rsid w:val="7B070224"/>
    <w:rsid w:val="7B08A485"/>
    <w:rsid w:val="7B14418E"/>
    <w:rsid w:val="7B146D7E"/>
    <w:rsid w:val="7B149588"/>
    <w:rsid w:val="7B17D5DB"/>
    <w:rsid w:val="7B1A1E19"/>
    <w:rsid w:val="7B201F70"/>
    <w:rsid w:val="7B25BCF6"/>
    <w:rsid w:val="7B2D0664"/>
    <w:rsid w:val="7B32CC63"/>
    <w:rsid w:val="7B33F4D3"/>
    <w:rsid w:val="7B347737"/>
    <w:rsid w:val="7B363424"/>
    <w:rsid w:val="7B3747DD"/>
    <w:rsid w:val="7B3BE9DC"/>
    <w:rsid w:val="7B460427"/>
    <w:rsid w:val="7B4AB0C8"/>
    <w:rsid w:val="7B4BB52C"/>
    <w:rsid w:val="7B4C1C08"/>
    <w:rsid w:val="7B4F4EF2"/>
    <w:rsid w:val="7B55F4D4"/>
    <w:rsid w:val="7B5A7AFA"/>
    <w:rsid w:val="7B5DDBCC"/>
    <w:rsid w:val="7B629A98"/>
    <w:rsid w:val="7B65CD32"/>
    <w:rsid w:val="7B66CCA0"/>
    <w:rsid w:val="7B732666"/>
    <w:rsid w:val="7B834E79"/>
    <w:rsid w:val="7B8378FA"/>
    <w:rsid w:val="7B8A1EBE"/>
    <w:rsid w:val="7B918B7B"/>
    <w:rsid w:val="7B940983"/>
    <w:rsid w:val="7B96999F"/>
    <w:rsid w:val="7B99FEA6"/>
    <w:rsid w:val="7B9AD38D"/>
    <w:rsid w:val="7B9CA57F"/>
    <w:rsid w:val="7BA32A43"/>
    <w:rsid w:val="7BAAD7C3"/>
    <w:rsid w:val="7BAB6999"/>
    <w:rsid w:val="7BB114FB"/>
    <w:rsid w:val="7BB43F9F"/>
    <w:rsid w:val="7BB45C09"/>
    <w:rsid w:val="7BB510F9"/>
    <w:rsid w:val="7BB9DF62"/>
    <w:rsid w:val="7BBD24D4"/>
    <w:rsid w:val="7BC047B6"/>
    <w:rsid w:val="7BC60EBF"/>
    <w:rsid w:val="7BC88DF9"/>
    <w:rsid w:val="7BD03DCB"/>
    <w:rsid w:val="7BD05DD1"/>
    <w:rsid w:val="7BD673B8"/>
    <w:rsid w:val="7BD853EA"/>
    <w:rsid w:val="7BD98465"/>
    <w:rsid w:val="7BDDEE95"/>
    <w:rsid w:val="7BDE483A"/>
    <w:rsid w:val="7BE97856"/>
    <w:rsid w:val="7BEFDB31"/>
    <w:rsid w:val="7BFBD801"/>
    <w:rsid w:val="7BFDDD11"/>
    <w:rsid w:val="7C0257B7"/>
    <w:rsid w:val="7C02F4E2"/>
    <w:rsid w:val="7C05C0AB"/>
    <w:rsid w:val="7C06F37D"/>
    <w:rsid w:val="7C07B320"/>
    <w:rsid w:val="7C0DFFA9"/>
    <w:rsid w:val="7C1275EC"/>
    <w:rsid w:val="7C16827D"/>
    <w:rsid w:val="7C1C1249"/>
    <w:rsid w:val="7C1F6B27"/>
    <w:rsid w:val="7C265EA8"/>
    <w:rsid w:val="7C2F6673"/>
    <w:rsid w:val="7C3307B1"/>
    <w:rsid w:val="7C332496"/>
    <w:rsid w:val="7C3AACDA"/>
    <w:rsid w:val="7C3B5C67"/>
    <w:rsid w:val="7C3DB36F"/>
    <w:rsid w:val="7C41789A"/>
    <w:rsid w:val="7C42F7D3"/>
    <w:rsid w:val="7C486670"/>
    <w:rsid w:val="7C54DB9C"/>
    <w:rsid w:val="7C5768EB"/>
    <w:rsid w:val="7C5B56EF"/>
    <w:rsid w:val="7C5D8C1A"/>
    <w:rsid w:val="7C635F88"/>
    <w:rsid w:val="7C63DF29"/>
    <w:rsid w:val="7C6790DE"/>
    <w:rsid w:val="7C6C2D84"/>
    <w:rsid w:val="7C6CDE3B"/>
    <w:rsid w:val="7C733EE6"/>
    <w:rsid w:val="7C75EC17"/>
    <w:rsid w:val="7C7DF5D2"/>
    <w:rsid w:val="7C89501C"/>
    <w:rsid w:val="7C8985ED"/>
    <w:rsid w:val="7C8B41A6"/>
    <w:rsid w:val="7C8B70C1"/>
    <w:rsid w:val="7C8D15A1"/>
    <w:rsid w:val="7C8D568A"/>
    <w:rsid w:val="7C92A858"/>
    <w:rsid w:val="7C92D491"/>
    <w:rsid w:val="7C95A20A"/>
    <w:rsid w:val="7C967B73"/>
    <w:rsid w:val="7C9A1788"/>
    <w:rsid w:val="7C9DC554"/>
    <w:rsid w:val="7C9FB025"/>
    <w:rsid w:val="7CA48FC3"/>
    <w:rsid w:val="7CA64A02"/>
    <w:rsid w:val="7CAED759"/>
    <w:rsid w:val="7CB5B608"/>
    <w:rsid w:val="7CB69EDF"/>
    <w:rsid w:val="7CC1DDFF"/>
    <w:rsid w:val="7CC4CE2A"/>
    <w:rsid w:val="7CC63A2B"/>
    <w:rsid w:val="7CC94323"/>
    <w:rsid w:val="7CCBC4F3"/>
    <w:rsid w:val="7CCF64BD"/>
    <w:rsid w:val="7CD76E99"/>
    <w:rsid w:val="7CDC544D"/>
    <w:rsid w:val="7CE09314"/>
    <w:rsid w:val="7CE4942B"/>
    <w:rsid w:val="7CE74D0F"/>
    <w:rsid w:val="7CE7F265"/>
    <w:rsid w:val="7CEA980E"/>
    <w:rsid w:val="7CEE8D81"/>
    <w:rsid w:val="7CF5512B"/>
    <w:rsid w:val="7CF79C0A"/>
    <w:rsid w:val="7CFE9895"/>
    <w:rsid w:val="7D05E9F1"/>
    <w:rsid w:val="7D06BAD0"/>
    <w:rsid w:val="7D0D4387"/>
    <w:rsid w:val="7D0EC49D"/>
    <w:rsid w:val="7D116288"/>
    <w:rsid w:val="7D1286A1"/>
    <w:rsid w:val="7D1508D2"/>
    <w:rsid w:val="7D1548E2"/>
    <w:rsid w:val="7D1797B3"/>
    <w:rsid w:val="7D22FA76"/>
    <w:rsid w:val="7D2950A0"/>
    <w:rsid w:val="7D2B1A40"/>
    <w:rsid w:val="7D2F3185"/>
    <w:rsid w:val="7D316621"/>
    <w:rsid w:val="7D319BF8"/>
    <w:rsid w:val="7D31DBBD"/>
    <w:rsid w:val="7D36AB89"/>
    <w:rsid w:val="7D3E5A7D"/>
    <w:rsid w:val="7D3F3839"/>
    <w:rsid w:val="7D3FEB30"/>
    <w:rsid w:val="7D41A7C5"/>
    <w:rsid w:val="7D470B79"/>
    <w:rsid w:val="7D534065"/>
    <w:rsid w:val="7D565489"/>
    <w:rsid w:val="7D5AF7FA"/>
    <w:rsid w:val="7D5BDDC5"/>
    <w:rsid w:val="7D5D67C3"/>
    <w:rsid w:val="7D5E4350"/>
    <w:rsid w:val="7D61228E"/>
    <w:rsid w:val="7D637FCE"/>
    <w:rsid w:val="7D63E49F"/>
    <w:rsid w:val="7D652FB5"/>
    <w:rsid w:val="7D6A5D27"/>
    <w:rsid w:val="7D6A5D8D"/>
    <w:rsid w:val="7D6A800C"/>
    <w:rsid w:val="7D6AE358"/>
    <w:rsid w:val="7D6DEC8A"/>
    <w:rsid w:val="7D714104"/>
    <w:rsid w:val="7D74024B"/>
    <w:rsid w:val="7D76283F"/>
    <w:rsid w:val="7D79FC6C"/>
    <w:rsid w:val="7D830E18"/>
    <w:rsid w:val="7D83CD4F"/>
    <w:rsid w:val="7D851791"/>
    <w:rsid w:val="7D87471E"/>
    <w:rsid w:val="7D891367"/>
    <w:rsid w:val="7D8D3801"/>
    <w:rsid w:val="7D8DF1D0"/>
    <w:rsid w:val="7D8FD77B"/>
    <w:rsid w:val="7D96E9A5"/>
    <w:rsid w:val="7D970E56"/>
    <w:rsid w:val="7D9831E6"/>
    <w:rsid w:val="7D99322F"/>
    <w:rsid w:val="7D99AE7F"/>
    <w:rsid w:val="7D9B93B1"/>
    <w:rsid w:val="7D9C7733"/>
    <w:rsid w:val="7D9CE73F"/>
    <w:rsid w:val="7D9FB388"/>
    <w:rsid w:val="7DA36FBA"/>
    <w:rsid w:val="7DA7BC28"/>
    <w:rsid w:val="7DA97939"/>
    <w:rsid w:val="7DB2B82B"/>
    <w:rsid w:val="7DB59CE1"/>
    <w:rsid w:val="7DB68F29"/>
    <w:rsid w:val="7DC7FE6C"/>
    <w:rsid w:val="7DC8615A"/>
    <w:rsid w:val="7DC87EAA"/>
    <w:rsid w:val="7DD22F35"/>
    <w:rsid w:val="7DD311CA"/>
    <w:rsid w:val="7DD6D9D5"/>
    <w:rsid w:val="7DDAE02E"/>
    <w:rsid w:val="7DE790E7"/>
    <w:rsid w:val="7DE91C62"/>
    <w:rsid w:val="7DEA065D"/>
    <w:rsid w:val="7DEA625F"/>
    <w:rsid w:val="7DEB2637"/>
    <w:rsid w:val="7DEBD6DA"/>
    <w:rsid w:val="7DF15E42"/>
    <w:rsid w:val="7DF2D0CE"/>
    <w:rsid w:val="7DF3AC57"/>
    <w:rsid w:val="7DF3C16F"/>
    <w:rsid w:val="7DF56FE8"/>
    <w:rsid w:val="7DF57966"/>
    <w:rsid w:val="7DF5AF9F"/>
    <w:rsid w:val="7DF87287"/>
    <w:rsid w:val="7DFA136E"/>
    <w:rsid w:val="7DFF252C"/>
    <w:rsid w:val="7E05B693"/>
    <w:rsid w:val="7E083414"/>
    <w:rsid w:val="7E0E316E"/>
    <w:rsid w:val="7E12C445"/>
    <w:rsid w:val="7E163E38"/>
    <w:rsid w:val="7E1650EA"/>
    <w:rsid w:val="7E16EEFF"/>
    <w:rsid w:val="7E190DC2"/>
    <w:rsid w:val="7E1B52F3"/>
    <w:rsid w:val="7E1DD9D1"/>
    <w:rsid w:val="7E1EF256"/>
    <w:rsid w:val="7E29DF38"/>
    <w:rsid w:val="7E29F29A"/>
    <w:rsid w:val="7E3C2034"/>
    <w:rsid w:val="7E3DFF9D"/>
    <w:rsid w:val="7E3E0F97"/>
    <w:rsid w:val="7E3F41B6"/>
    <w:rsid w:val="7E436C84"/>
    <w:rsid w:val="7E4BEE43"/>
    <w:rsid w:val="7E4CD478"/>
    <w:rsid w:val="7E4E7853"/>
    <w:rsid w:val="7E4EE6D9"/>
    <w:rsid w:val="7E518D68"/>
    <w:rsid w:val="7E546D68"/>
    <w:rsid w:val="7E548EB9"/>
    <w:rsid w:val="7E629BF1"/>
    <w:rsid w:val="7E636EB2"/>
    <w:rsid w:val="7E66108C"/>
    <w:rsid w:val="7E666958"/>
    <w:rsid w:val="7E72EC95"/>
    <w:rsid w:val="7E961F60"/>
    <w:rsid w:val="7E963D60"/>
    <w:rsid w:val="7E98D437"/>
    <w:rsid w:val="7E9925DD"/>
    <w:rsid w:val="7EA4E9D0"/>
    <w:rsid w:val="7EAA2299"/>
    <w:rsid w:val="7EB0C831"/>
    <w:rsid w:val="7EB493F4"/>
    <w:rsid w:val="7EB687DA"/>
    <w:rsid w:val="7EBE5C58"/>
    <w:rsid w:val="7EC01FDB"/>
    <w:rsid w:val="7EC4FAA1"/>
    <w:rsid w:val="7EC845BE"/>
    <w:rsid w:val="7ED1C5C8"/>
    <w:rsid w:val="7EDC9FD0"/>
    <w:rsid w:val="7EDF8CDE"/>
    <w:rsid w:val="7EEA2F09"/>
    <w:rsid w:val="7EF3B386"/>
    <w:rsid w:val="7EF44C76"/>
    <w:rsid w:val="7EF4E780"/>
    <w:rsid w:val="7EF57B23"/>
    <w:rsid w:val="7EFCF965"/>
    <w:rsid w:val="7EFF2942"/>
    <w:rsid w:val="7F010942"/>
    <w:rsid w:val="7F0E5E56"/>
    <w:rsid w:val="7F0E981A"/>
    <w:rsid w:val="7F138F63"/>
    <w:rsid w:val="7F1396D2"/>
    <w:rsid w:val="7F165F0D"/>
    <w:rsid w:val="7F169F4C"/>
    <w:rsid w:val="7F1AA37E"/>
    <w:rsid w:val="7F1C802B"/>
    <w:rsid w:val="7F1D11F7"/>
    <w:rsid w:val="7F20892F"/>
    <w:rsid w:val="7F2311E0"/>
    <w:rsid w:val="7F276A39"/>
    <w:rsid w:val="7F2D5563"/>
    <w:rsid w:val="7F2DEE3A"/>
    <w:rsid w:val="7F3038B4"/>
    <w:rsid w:val="7F3F233C"/>
    <w:rsid w:val="7F421BC1"/>
    <w:rsid w:val="7F424C0A"/>
    <w:rsid w:val="7F458D80"/>
    <w:rsid w:val="7F4F0864"/>
    <w:rsid w:val="7F53578B"/>
    <w:rsid w:val="7F57C593"/>
    <w:rsid w:val="7F58812A"/>
    <w:rsid w:val="7F5DBFB3"/>
    <w:rsid w:val="7F5FA52F"/>
    <w:rsid w:val="7F63C994"/>
    <w:rsid w:val="7F6CC1F7"/>
    <w:rsid w:val="7F6D09D2"/>
    <w:rsid w:val="7F6F8494"/>
    <w:rsid w:val="7F705944"/>
    <w:rsid w:val="7F712FE7"/>
    <w:rsid w:val="7F791A24"/>
    <w:rsid w:val="7F7B6485"/>
    <w:rsid w:val="7F7CEB84"/>
    <w:rsid w:val="7F7D05C9"/>
    <w:rsid w:val="7F7E15EE"/>
    <w:rsid w:val="7F811E3A"/>
    <w:rsid w:val="7F825CDC"/>
    <w:rsid w:val="7F8661B7"/>
    <w:rsid w:val="7F875711"/>
    <w:rsid w:val="7F89554D"/>
    <w:rsid w:val="7F89D3D6"/>
    <w:rsid w:val="7F8D4267"/>
    <w:rsid w:val="7F972BAE"/>
    <w:rsid w:val="7FA09EE5"/>
    <w:rsid w:val="7FABA5B2"/>
    <w:rsid w:val="7FAEC8D1"/>
    <w:rsid w:val="7FAFDB42"/>
    <w:rsid w:val="7FB121FA"/>
    <w:rsid w:val="7FB1D173"/>
    <w:rsid w:val="7FB36A71"/>
    <w:rsid w:val="7FB53ADA"/>
    <w:rsid w:val="7FBBC6FA"/>
    <w:rsid w:val="7FC8025E"/>
    <w:rsid w:val="7FC91C28"/>
    <w:rsid w:val="7FCD4FE7"/>
    <w:rsid w:val="7FCDD171"/>
    <w:rsid w:val="7FCEFC3A"/>
    <w:rsid w:val="7FCFF262"/>
    <w:rsid w:val="7FD633AE"/>
    <w:rsid w:val="7FD87CD8"/>
    <w:rsid w:val="7FDD2647"/>
    <w:rsid w:val="7FDDE8F9"/>
    <w:rsid w:val="7FE03745"/>
    <w:rsid w:val="7FE1BA22"/>
    <w:rsid w:val="7FE58BC8"/>
    <w:rsid w:val="7FEC4A73"/>
    <w:rsid w:val="7FF02608"/>
    <w:rsid w:val="7FF08691"/>
    <w:rsid w:val="7FF247DF"/>
    <w:rsid w:val="7FF3176C"/>
    <w:rsid w:val="7FF6EAD4"/>
    <w:rsid w:val="7FF7C625"/>
    <w:rsid w:val="7FF82F5C"/>
    <w:rsid w:val="7FFD401A"/>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59C9E76"/>
  <w15:docId w15:val="{CC028FA0-F85C-42B1-B6E9-29A3B9532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fr" w:eastAsia="fr-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2E5"/>
  </w:style>
  <w:style w:type="paragraph" w:styleId="Heading1">
    <w:name w:val="heading 1"/>
    <w:basedOn w:val="Normal"/>
    <w:next w:val="Text1"/>
    <w:link w:val="Heading1Char"/>
    <w:uiPriority w:val="9"/>
    <w:qFormat/>
    <w:pPr>
      <w:keepNext/>
      <w:numPr>
        <w:numId w:val="10"/>
      </w:numPr>
      <w:spacing w:before="360" w:after="120" w:line="240" w:lineRule="auto"/>
      <w:jc w:val="both"/>
      <w:outlineLvl w:val="0"/>
    </w:pPr>
    <w:rPr>
      <w:rFonts w:ascii="Cambria Math" w:eastAsiaTheme="majorEastAsia" w:hAnsi="Cambria Math" w:cs="Cambria Math"/>
      <w:b/>
      <w:smallCaps/>
      <w:sz w:val="24"/>
    </w:rPr>
  </w:style>
  <w:style w:type="paragraph" w:styleId="Heading2">
    <w:name w:val="heading 2"/>
    <w:basedOn w:val="Normal"/>
    <w:next w:val="Text1"/>
    <w:link w:val="Heading2Char"/>
    <w:uiPriority w:val="9"/>
    <w:unhideWhenUsed/>
    <w:qFormat/>
    <w:pPr>
      <w:keepNext/>
      <w:numPr>
        <w:ilvl w:val="1"/>
        <w:numId w:val="10"/>
      </w:numPr>
      <w:spacing w:before="120" w:after="120" w:line="240" w:lineRule="auto"/>
      <w:jc w:val="both"/>
      <w:outlineLvl w:val="1"/>
    </w:pPr>
    <w:rPr>
      <w:rFonts w:ascii="Times New Roman" w:eastAsiaTheme="majorEastAsia" w:hAnsi="Times New Roman" w:cs="Times New Roman"/>
      <w:b/>
      <w:sz w:val="24"/>
    </w:rPr>
  </w:style>
  <w:style w:type="paragraph" w:styleId="Heading3">
    <w:name w:val="heading 3"/>
    <w:basedOn w:val="Normal"/>
    <w:next w:val="Text1"/>
    <w:link w:val="Heading3Char"/>
    <w:uiPriority w:val="9"/>
    <w:unhideWhenUsed/>
    <w:qFormat/>
    <w:pPr>
      <w:keepNext/>
      <w:numPr>
        <w:ilvl w:val="2"/>
        <w:numId w:val="10"/>
      </w:numPr>
      <w:spacing w:before="120" w:after="120" w:line="240" w:lineRule="auto"/>
      <w:jc w:val="both"/>
      <w:outlineLvl w:val="2"/>
    </w:pPr>
    <w:rPr>
      <w:rFonts w:ascii="Times New Roman" w:eastAsiaTheme="majorEastAsia" w:hAnsi="Times New Roman" w:cs="Times New Roman"/>
      <w:i/>
      <w:sz w:val="24"/>
    </w:rPr>
  </w:style>
  <w:style w:type="paragraph" w:styleId="Heading4">
    <w:name w:val="heading 4"/>
    <w:basedOn w:val="Normal"/>
    <w:next w:val="Text1"/>
    <w:link w:val="Heading4Char"/>
    <w:uiPriority w:val="9"/>
    <w:unhideWhenUsed/>
    <w:qFormat/>
    <w:pPr>
      <w:keepNext/>
      <w:numPr>
        <w:ilvl w:val="3"/>
        <w:numId w:val="10"/>
      </w:numPr>
      <w:spacing w:before="120" w:after="120" w:line="240" w:lineRule="auto"/>
      <w:jc w:val="both"/>
      <w:outlineLvl w:val="3"/>
    </w:pPr>
    <w:rPr>
      <w:rFonts w:ascii="Times New Roman" w:eastAsiaTheme="majorEastAsia" w:hAnsi="Times New Roman"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Math" w:eastAsiaTheme="majorEastAsia" w:hAnsi="Cambria Math" w:cs="Cambria Math"/>
      <w:b/>
      <w:smallCaps/>
      <w:sz w:val="24"/>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rPr>
  </w:style>
  <w:style w:type="character" w:customStyle="1" w:styleId="Heading3Char">
    <w:name w:val="Heading 3 Char"/>
    <w:basedOn w:val="DefaultParagraphFont"/>
    <w:link w:val="Heading3"/>
    <w:uiPriority w:val="9"/>
    <w:rPr>
      <w:rFonts w:ascii="Times New Roman" w:eastAsiaTheme="majorEastAsia" w:hAnsi="Times New Roman" w:cs="Times New Roman"/>
      <w:i/>
      <w:sz w:val="24"/>
    </w:rPr>
  </w:style>
  <w:style w:type="character" w:customStyle="1" w:styleId="Heading4Char">
    <w:name w:val="Heading 4 Char"/>
    <w:basedOn w:val="DefaultParagraphFont"/>
    <w:link w:val="Heading4"/>
    <w:uiPriority w:val="9"/>
    <w:rPr>
      <w:rFonts w:ascii="Times New Roman" w:eastAsiaTheme="majorEastAsia"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Char1,f"/>
    <w:basedOn w:val="Normal"/>
    <w:link w:val="FootnoteTextChar"/>
    <w:uiPriority w:val="99"/>
    <w:unhideWhenUsed/>
    <w:qFormat/>
    <w:pPr>
      <w:spacing w:after="0" w:line="240" w:lineRule="auto"/>
      <w:ind w:left="720" w:hanging="720"/>
      <w:jc w:val="both"/>
    </w:pPr>
    <w:rPr>
      <w:rFonts w:ascii="Times New Roman" w:hAnsi="Times New Roman" w:cs="Times New Roman"/>
      <w:sz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hAnsi="Times New Roman" w:cs="Times New Roman"/>
      <w:sz w:val="20"/>
    </w:r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Footnote Reference Char Car Char Char Car Char Car Char Car Char Car Char Char Car Car Char Char Char Char Char Car Char Car Char Char Car Char Car Diagrama,Footnotes refss Car Char Car Diagrama,Footnote Reference Superscript,o"/>
    <w:basedOn w:val="DefaultParagraphFont"/>
    <w:link w:val="FootnoteReferenceCharCarCharCharCarCharCarCharCarCharCarCharCharCarCarCharCharCharCharCharCarCharCarCharCharCarCharCar"/>
    <w:uiPriority w:val="99"/>
    <w:unhideWhenUsed/>
    <w:qFormat/>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96FF0"/>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pPr>
      <w:spacing w:before="120" w:after="120" w:line="240" w:lineRule="auto"/>
      <w:ind w:left="850"/>
      <w:jc w:val="both"/>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hAnsi="Times New Roman" w:cs="Times New Roman"/>
      <w:sz w:val="24"/>
    </w:rPr>
  </w:style>
  <w:style w:type="paragraph" w:customStyle="1" w:styleId="Text3">
    <w:name w:val="Text 3"/>
    <w:basedOn w:val="Normal"/>
    <w:pPr>
      <w:spacing w:before="120" w:after="120" w:line="240" w:lineRule="auto"/>
      <w:ind w:left="1984"/>
      <w:jc w:val="both"/>
    </w:pPr>
    <w:rPr>
      <w:rFonts w:ascii="Times New Roman" w:hAnsi="Times New Roman" w:cs="Times New Roman"/>
      <w:sz w:val="24"/>
    </w:rPr>
  </w:style>
  <w:style w:type="paragraph" w:customStyle="1" w:styleId="Text4">
    <w:name w:val="Text 4"/>
    <w:basedOn w:val="Normal"/>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pPr>
      <w:spacing w:before="120" w:after="120" w:line="240" w:lineRule="auto"/>
      <w:jc w:val="center"/>
    </w:pPr>
    <w:rPr>
      <w:rFonts w:ascii="Times New Roman" w:hAnsi="Times New Roman" w:cs="Times New Roman"/>
      <w:sz w:val="24"/>
    </w:rPr>
  </w:style>
  <w:style w:type="paragraph" w:customStyle="1" w:styleId="NormalLeft">
    <w:name w:val="Normal Left"/>
    <w:basedOn w:val="Normal"/>
    <w:pPr>
      <w:spacing w:before="120" w:after="120" w:line="240" w:lineRule="auto"/>
    </w:pPr>
    <w:rPr>
      <w:rFonts w:ascii="Times New Roman" w:hAnsi="Times New Roman" w:cs="Times New Roman"/>
      <w:sz w:val="24"/>
    </w:rPr>
  </w:style>
  <w:style w:type="paragraph" w:customStyle="1" w:styleId="NormalRight">
    <w:name w:val="Normal Right"/>
    <w:basedOn w:val="Normal"/>
    <w:pPr>
      <w:spacing w:before="120" w:after="120" w:line="240" w:lineRule="auto"/>
      <w:jc w:val="right"/>
    </w:pPr>
    <w:rPr>
      <w:rFonts w:ascii="Times New Roman" w:hAnsi="Times New Roman" w:cs="Times New Roman"/>
      <w:sz w:val="24"/>
    </w:rPr>
  </w:style>
  <w:style w:type="paragraph" w:customStyle="1" w:styleId="QuotedText">
    <w:name w:val="Quoted Text"/>
    <w:basedOn w:val="Normal"/>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numPr>
        <w:numId w:val="4"/>
      </w:numPr>
    </w:pPr>
  </w:style>
  <w:style w:type="paragraph" w:customStyle="1" w:styleId="Tiret1">
    <w:name w:val="Tiret 1"/>
    <w:basedOn w:val="Point1"/>
    <w:pPr>
      <w:numPr>
        <w:numId w:val="5"/>
      </w:numPr>
    </w:pPr>
  </w:style>
  <w:style w:type="paragraph" w:customStyle="1" w:styleId="Tiret2">
    <w:name w:val="Tiret 2"/>
    <w:basedOn w:val="Point2"/>
    <w:pPr>
      <w:numPr>
        <w:numId w:val="6"/>
      </w:numPr>
    </w:pPr>
  </w:style>
  <w:style w:type="paragraph" w:customStyle="1" w:styleId="Tiret3">
    <w:name w:val="Tiret 3"/>
    <w:basedOn w:val="Point3"/>
    <w:pPr>
      <w:numPr>
        <w:numId w:val="7"/>
      </w:numPr>
    </w:pPr>
  </w:style>
  <w:style w:type="paragraph" w:customStyle="1" w:styleId="Tiret4">
    <w:name w:val="Tiret 4"/>
    <w:basedOn w:val="Point4"/>
    <w:pPr>
      <w:numPr>
        <w:numId w:val="8"/>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pPr>
      <w:numPr>
        <w:numId w:val="22"/>
      </w:numPr>
      <w:spacing w:before="120" w:after="120" w:line="240" w:lineRule="auto"/>
      <w:jc w:val="both"/>
    </w:pPr>
    <w:rPr>
      <w:rFonts w:ascii="Cambria Math" w:hAnsi="Cambria Math" w:cs="Cambria Math"/>
      <w:sz w:val="24"/>
    </w:rPr>
  </w:style>
  <w:style w:type="paragraph" w:customStyle="1" w:styleId="NumPar2">
    <w:name w:val="NumPar 2"/>
    <w:basedOn w:val="Normal"/>
    <w:next w:val="Text1"/>
    <w:rsid w:val="00584C72"/>
    <w:pPr>
      <w:keepNext/>
      <w:keepLines/>
      <w:numPr>
        <w:ilvl w:val="1"/>
        <w:numId w:val="22"/>
      </w:numPr>
      <w:spacing w:before="480" w:line="240" w:lineRule="auto"/>
      <w:jc w:val="both"/>
    </w:pPr>
    <w:rPr>
      <w:rFonts w:ascii="Times New Roman" w:hAnsi="Times New Roman" w:cs="Times New Roman"/>
      <w:sz w:val="24"/>
    </w:rPr>
  </w:style>
  <w:style w:type="paragraph" w:customStyle="1" w:styleId="NumPar3">
    <w:name w:val="NumPar 3"/>
    <w:basedOn w:val="Normal"/>
    <w:next w:val="Text1"/>
    <w:pPr>
      <w:numPr>
        <w:ilvl w:val="2"/>
        <w:numId w:val="22"/>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pPr>
      <w:numPr>
        <w:ilvl w:val="3"/>
        <w:numId w:val="22"/>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EC3C7F"/>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1"/>
      </w:numPr>
      <w:spacing w:before="120" w:after="120" w:line="240" w:lineRule="auto"/>
      <w:jc w:val="both"/>
    </w:pPr>
    <w:rPr>
      <w:rFonts w:ascii="Cambria Math" w:hAnsi="Cambria Math" w:cs="Cambria Math"/>
      <w:sz w:val="24"/>
    </w:rPr>
  </w:style>
  <w:style w:type="paragraph" w:customStyle="1" w:styleId="Point1number">
    <w:name w:val="Point 1 (number)"/>
    <w:basedOn w:val="Normal"/>
    <w:pPr>
      <w:numPr>
        <w:ilvl w:val="2"/>
        <w:numId w:val="11"/>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11"/>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11"/>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11"/>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11"/>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11"/>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11"/>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11"/>
      </w:numPr>
      <w:spacing w:before="120" w:after="120" w:line="240" w:lineRule="auto"/>
      <w:jc w:val="both"/>
    </w:pPr>
    <w:rPr>
      <w:rFonts w:ascii="Times New Roman" w:hAnsi="Times New Roman" w:cs="Times New Roman"/>
      <w:sz w:val="24"/>
    </w:rPr>
  </w:style>
  <w:style w:type="paragraph" w:customStyle="1" w:styleId="Bullet0">
    <w:name w:val="Bullet 0"/>
    <w:basedOn w:val="Normal"/>
    <w:pPr>
      <w:numPr>
        <w:numId w:val="12"/>
      </w:numPr>
      <w:spacing w:before="120" w:after="120" w:line="240" w:lineRule="auto"/>
      <w:jc w:val="both"/>
    </w:pPr>
    <w:rPr>
      <w:rFonts w:ascii="Cambria Math" w:hAnsi="Cambria Math" w:cs="Cambria Math"/>
      <w:sz w:val="24"/>
    </w:rPr>
  </w:style>
  <w:style w:type="paragraph" w:customStyle="1" w:styleId="Bullet1">
    <w:name w:val="Bullet 1"/>
    <w:basedOn w:val="Normal"/>
    <w:pPr>
      <w:numPr>
        <w:numId w:val="13"/>
      </w:numPr>
      <w:spacing w:before="120" w:after="120" w:line="240" w:lineRule="auto"/>
      <w:jc w:val="both"/>
    </w:pPr>
    <w:rPr>
      <w:rFonts w:ascii="Cambria Math" w:hAnsi="Cambria Math" w:cs="Cambria Math"/>
      <w:sz w:val="24"/>
    </w:rPr>
  </w:style>
  <w:style w:type="paragraph" w:customStyle="1" w:styleId="Bullet2">
    <w:name w:val="Bullet 2"/>
    <w:basedOn w:val="Normal"/>
    <w:pPr>
      <w:numPr>
        <w:numId w:val="14"/>
      </w:numPr>
      <w:spacing w:before="120" w:after="120" w:line="240" w:lineRule="auto"/>
      <w:jc w:val="both"/>
    </w:pPr>
    <w:rPr>
      <w:rFonts w:ascii="Cambria Math" w:hAnsi="Cambria Math" w:cs="Cambria Math"/>
      <w:sz w:val="24"/>
    </w:rPr>
  </w:style>
  <w:style w:type="paragraph" w:customStyle="1" w:styleId="Bullet3">
    <w:name w:val="Bullet 3"/>
    <w:basedOn w:val="Normal"/>
    <w:pPr>
      <w:numPr>
        <w:numId w:val="15"/>
      </w:numPr>
      <w:spacing w:before="120" w:after="120" w:line="240" w:lineRule="auto"/>
      <w:jc w:val="both"/>
    </w:pPr>
    <w:rPr>
      <w:rFonts w:ascii="Cambria Math" w:hAnsi="Cambria Math" w:cs="Cambria Math"/>
      <w:sz w:val="24"/>
    </w:rPr>
  </w:style>
  <w:style w:type="paragraph" w:customStyle="1" w:styleId="Bullet4">
    <w:name w:val="Bullet 4"/>
    <w:basedOn w:val="Normal"/>
    <w:pPr>
      <w:numPr>
        <w:numId w:val="16"/>
      </w:numPr>
      <w:spacing w:before="120" w:after="120" w:line="240" w:lineRule="auto"/>
      <w:jc w:val="both"/>
    </w:pPr>
    <w:rPr>
      <w:rFonts w:ascii="Cambria Math" w:hAnsi="Cambria Math" w:cs="Cambria Math"/>
      <w:sz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pPr>
      <w:spacing w:after="0" w:line="240" w:lineRule="auto"/>
    </w:pPr>
    <w:rPr>
      <w:rFonts w:ascii="Arial" w:hAnsi="Arial" w:cs="Arial"/>
      <w:sz w:val="24"/>
    </w:rPr>
  </w:style>
  <w:style w:type="paragraph" w:customStyle="1" w:styleId="Emission">
    <w:name w:val="Emission"/>
    <w:basedOn w:val="Normal"/>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pPr>
      <w:spacing w:after="240" w:line="240" w:lineRule="auto"/>
      <w:ind w:left="5103"/>
    </w:pPr>
    <w:rPr>
      <w:rFonts w:ascii="Times New Roman" w:hAnsi="Times New Roman" w:cs="Times New Roman"/>
      <w:sz w:val="24"/>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96FF0"/>
    <w:pPr>
      <w:spacing w:after="0"/>
      <w:ind w:left="5103"/>
    </w:pPr>
    <w:rPr>
      <w:rFonts w:ascii="Times New Roman" w:hAnsi="Times New Roman" w:cs="Times New Roman"/>
      <w:sz w:val="28"/>
      <w:szCs w:val="22"/>
    </w:rPr>
  </w:style>
  <w:style w:type="paragraph" w:customStyle="1" w:styleId="DateMarking">
    <w:name w:val="DateMarking"/>
    <w:basedOn w:val="Normal"/>
    <w:rsid w:val="00C96FF0"/>
    <w:pPr>
      <w:spacing w:after="0"/>
      <w:ind w:left="5103"/>
    </w:pPr>
    <w:rPr>
      <w:rFonts w:ascii="Times New Roman" w:hAnsi="Times New Roman" w:cs="Times New Roman"/>
      <w:i/>
      <w:sz w:val="28"/>
      <w:szCs w:val="22"/>
    </w:rPr>
  </w:style>
  <w:style w:type="paragraph" w:customStyle="1" w:styleId="ReleasableTo">
    <w:name w:val="ReleasableTo"/>
    <w:basedOn w:val="Normal"/>
    <w:rsid w:val="00C96FF0"/>
    <w:pPr>
      <w:spacing w:after="0"/>
      <w:ind w:left="5103"/>
    </w:pPr>
    <w:rPr>
      <w:rFonts w:ascii="Times New Roman" w:hAnsi="Times New Roman" w:cs="Times New Roman"/>
      <w:i/>
      <w:sz w:val="28"/>
      <w:szCs w:val="22"/>
    </w:rPr>
  </w:style>
  <w:style w:type="paragraph" w:customStyle="1" w:styleId="Annexetitreexpos">
    <w:name w:val="Annexe titre (exposé)"/>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pPr>
      <w:numPr>
        <w:numId w:val="17"/>
      </w:numPr>
      <w:spacing w:before="120" w:after="120" w:line="240" w:lineRule="auto"/>
      <w:jc w:val="both"/>
    </w:pPr>
    <w:rPr>
      <w:rFonts w:ascii="Cambria Math" w:hAnsi="Cambria Math" w:cs="Cambria Math"/>
      <w:sz w:val="24"/>
    </w:rPr>
  </w:style>
  <w:style w:type="paragraph" w:customStyle="1" w:styleId="Corrigendum">
    <w:name w:val="Corrigendum"/>
    <w:basedOn w:val="Normal"/>
    <w:next w:val="Normal"/>
    <w:pPr>
      <w:spacing w:after="240" w:line="240" w:lineRule="auto"/>
    </w:pPr>
    <w:rPr>
      <w:rFonts w:ascii="Times New Roman" w:hAnsi="Times New Roman" w:cs="Times New Roman"/>
      <w:sz w:val="24"/>
    </w:rPr>
  </w:style>
  <w:style w:type="paragraph" w:customStyle="1" w:styleId="Datedadoption">
    <w:name w:val="Date d'adoption"/>
    <w:basedOn w:val="Normal"/>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BC463F"/>
    <w:pPr>
      <w:spacing w:before="360" w:after="240" w:line="240" w:lineRule="auto"/>
      <w:jc w:val="center"/>
    </w:pPr>
    <w:rPr>
      <w:rFonts w:ascii="Times New Roman" w:hAnsi="Times New Roman" w:cs="Times New Roman"/>
      <w:sz w:val="24"/>
      <w:szCs w:val="22"/>
    </w:rPr>
  </w:style>
  <w:style w:type="paragraph" w:customStyle="1" w:styleId="Rfrencecroise">
    <w:name w:val="Référence croisée"/>
    <w:basedOn w:val="Normal"/>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BC463F"/>
    <w:pPr>
      <w:spacing w:after="0"/>
    </w:pPr>
  </w:style>
  <w:style w:type="paragraph" w:customStyle="1" w:styleId="Accompagnant">
    <w:name w:val="Accompagnant"/>
    <w:basedOn w:val="Normal"/>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BC463F"/>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BC463F"/>
    <w:pPr>
      <w:spacing w:before="360" w:after="240" w:line="240" w:lineRule="auto"/>
      <w:jc w:val="center"/>
    </w:pPr>
    <w:rPr>
      <w:rFonts w:ascii="Times New Roman" w:hAnsi="Times New Roman" w:cs="Times New Roman"/>
      <w:sz w:val="24"/>
      <w:szCs w:val="22"/>
    </w:rPr>
  </w:style>
  <w:style w:type="character" w:styleId="CommentReference">
    <w:name w:val="annotation reference"/>
    <w:basedOn w:val="DefaultParagraphFont"/>
    <w:uiPriority w:val="99"/>
    <w:unhideWhenUsed/>
    <w:rPr>
      <w:sz w:val="16"/>
    </w:rPr>
  </w:style>
  <w:style w:type="paragraph" w:styleId="CommentText">
    <w:name w:val="annotation text"/>
    <w:basedOn w:val="Normal"/>
    <w:link w:val="CommentTextChar"/>
    <w:uiPriority w:val="99"/>
    <w:unhideWhenUsed/>
    <w:pPr>
      <w:spacing w:before="120" w:after="120" w:line="240" w:lineRule="auto"/>
      <w:jc w:val="both"/>
    </w:pPr>
    <w:rPr>
      <w:rFonts w:ascii="Times New Roman" w:hAnsi="Times New Roman" w:cs="Times New Roman"/>
      <w:sz w:val="20"/>
    </w:rPr>
  </w:style>
  <w:style w:type="character" w:customStyle="1" w:styleId="CommentTextChar">
    <w:name w:val="Comment Text Char"/>
    <w:basedOn w:val="DefaultParagraphFont"/>
    <w:link w:val="CommentText"/>
    <w:uiPriority w:val="99"/>
    <w:rPr>
      <w:rFonts w:ascii="Times New Roman" w:hAnsi="Times New Roman" w:cs="Times New Roman"/>
      <w:sz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style>
  <w:style w:type="character" w:styleId="IntenseEmphasis">
    <w:name w:val="Intense Emphasis"/>
    <w:basedOn w:val="DefaultParagraphFont"/>
    <w:uiPriority w:val="21"/>
    <w:qFormat/>
    <w:rPr>
      <w:i/>
      <w:color w:val="4F81BD" w:themeColor="accent1"/>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styleId="ListBullet">
    <w:name w:val="List Bullet"/>
    <w:basedOn w:val="Normal"/>
    <w:uiPriority w:val="99"/>
    <w:semiHidden/>
    <w:unhideWhenUsed/>
    <w:pPr>
      <w:numPr>
        <w:numId w:val="18"/>
      </w:numPr>
      <w:spacing w:before="120" w:after="120" w:line="240" w:lineRule="auto"/>
      <w:contextualSpacing/>
      <w:jc w:val="both"/>
    </w:pPr>
    <w:rPr>
      <w:rFonts w:ascii="Cambria Math" w:hAnsi="Cambria Math" w:cs="Cambria Math"/>
      <w:sz w:val="24"/>
    </w:rPr>
  </w:style>
  <w:style w:type="paragraph" w:styleId="ListBullet2">
    <w:name w:val="List Bullet 2"/>
    <w:basedOn w:val="Normal"/>
    <w:uiPriority w:val="99"/>
    <w:semiHidden/>
    <w:unhideWhenUsed/>
    <w:pPr>
      <w:numPr>
        <w:numId w:val="19"/>
      </w:numPr>
      <w:spacing w:before="120" w:after="120" w:line="240" w:lineRule="auto"/>
      <w:contextualSpacing/>
      <w:jc w:val="both"/>
    </w:pPr>
    <w:rPr>
      <w:rFonts w:ascii="Cambria Math" w:hAnsi="Cambria Math" w:cs="Cambria Math"/>
      <w:sz w:val="24"/>
    </w:rPr>
  </w:style>
  <w:style w:type="paragraph" w:styleId="ListBullet3">
    <w:name w:val="List Bullet 3"/>
    <w:basedOn w:val="Normal"/>
    <w:uiPriority w:val="99"/>
    <w:semiHidden/>
    <w:unhideWhenUsed/>
    <w:pPr>
      <w:numPr>
        <w:numId w:val="20"/>
      </w:numPr>
      <w:spacing w:before="120" w:after="120" w:line="240" w:lineRule="auto"/>
      <w:contextualSpacing/>
      <w:jc w:val="both"/>
    </w:pPr>
    <w:rPr>
      <w:rFonts w:ascii="Cambria Math" w:hAnsi="Cambria Math" w:cs="Cambria Math"/>
      <w:sz w:val="24"/>
    </w:rPr>
  </w:style>
  <w:style w:type="paragraph" w:styleId="ListBullet4">
    <w:name w:val="List Bullet 4"/>
    <w:basedOn w:val="Normal"/>
    <w:uiPriority w:val="99"/>
    <w:semiHidden/>
    <w:unhideWhenUsed/>
    <w:pPr>
      <w:numPr>
        <w:numId w:val="21"/>
      </w:numPr>
      <w:spacing w:before="120" w:after="120" w:line="240" w:lineRule="auto"/>
      <w:contextualSpacing/>
      <w:jc w:val="both"/>
    </w:pPr>
    <w:rPr>
      <w:rFonts w:ascii="Cambria Math" w:hAnsi="Cambria Math" w:cs="Cambria Math"/>
      <w:sz w:val="24"/>
    </w:rPr>
  </w:style>
  <w:style w:type="paragraph" w:styleId="CommentSubject">
    <w:name w:val="annotation subject"/>
    <w:basedOn w:val="CommentText"/>
    <w:next w:val="CommentText"/>
    <w:link w:val="CommentSubjectChar"/>
    <w:uiPriority w:val="99"/>
    <w:semiHidden/>
    <w:unhideWhenUsed/>
    <w:rPr>
      <w:b/>
    </w:rPr>
  </w:style>
  <w:style w:type="character" w:customStyle="1" w:styleId="CommentSubjectChar">
    <w:name w:val="Comment Subject Char"/>
    <w:basedOn w:val="CommentTextChar"/>
    <w:link w:val="CommentSubject"/>
    <w:uiPriority w:val="99"/>
    <w:semiHidden/>
    <w:rPr>
      <w:rFonts w:ascii="Times New Roman" w:hAnsi="Times New Roman" w:cs="Times New Roman"/>
      <w:b/>
      <w:sz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rPr>
  </w:style>
  <w:style w:type="character" w:customStyle="1" w:styleId="normaltextrun">
    <w:name w:val="normaltextrun"/>
    <w:basedOn w:val="DefaultParagraphFont"/>
  </w:style>
  <w:style w:type="character" w:customStyle="1" w:styleId="eop">
    <w:name w:val="eop"/>
    <w:basedOn w:val="DefaultParagraphFont"/>
  </w:style>
  <w:style w:type="table" w:styleId="TableGrid">
    <w:name w:val="Table Grid"/>
    <w:basedOn w:val="TableNormal"/>
    <w:uiPriority w:val="59"/>
    <w:pPr>
      <w:spacing w:after="0" w:line="240" w:lineRule="auto"/>
    </w:pPr>
    <w:tblPr/>
  </w:style>
  <w:style w:type="character" w:customStyle="1" w:styleId="Mention1000">
    <w:name w:val="Mention1000"/>
    <w:basedOn w:val="DefaultParagraphFont"/>
    <w:uiPriority w:val="99"/>
    <w:unhideWhenUsed/>
    <w:rPr>
      <w:color w:val="2B579A"/>
      <w:shd w:val="clear" w:color="auto" w:fill="E6E6E6"/>
    </w:rPr>
  </w:style>
  <w:style w:type="character" w:styleId="Emphasis">
    <w:name w:val="Emphasis"/>
    <w:basedOn w:val="DefaultParagraphFont"/>
    <w:uiPriority w:val="20"/>
    <w:qFormat/>
    <w:rPr>
      <w:i/>
    </w:rPr>
  </w:style>
  <w:style w:type="character" w:styleId="Hyperlink">
    <w:name w:val="Hyperlink"/>
    <w:basedOn w:val="DefaultParagraphFont"/>
    <w:uiPriority w:val="99"/>
    <w:unhideWhenUsed/>
    <w:rPr>
      <w:color w:val="0000FF" w:themeColor="hyperlink"/>
      <w:u w:val="single"/>
    </w:rPr>
  </w:style>
  <w:style w:type="character" w:customStyle="1" w:styleId="phrase">
    <w:name w:val="phrase"/>
    <w:basedOn w:val="DefaultParagraphFont"/>
  </w:style>
  <w:style w:type="character" w:customStyle="1" w:styleId="word">
    <w:name w:val="word"/>
    <w:basedOn w:val="DefaultParagraphFont"/>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Caption">
    <w:name w:val="caption"/>
    <w:basedOn w:val="Normal"/>
    <w:next w:val="Normal"/>
    <w:uiPriority w:val="35"/>
    <w:semiHidden/>
    <w:unhideWhenUsed/>
    <w:qFormat/>
    <w:pPr>
      <w:spacing w:line="240" w:lineRule="auto"/>
      <w:jc w:val="both"/>
    </w:pPr>
    <w:rPr>
      <w:rFonts w:ascii="Times New Roman" w:hAnsi="Times New Roman" w:cs="Times New Roman"/>
      <w:i/>
      <w:color w:val="1F497D" w:themeColor="text2"/>
      <w:sz w:val="18"/>
    </w:rPr>
  </w:style>
  <w:style w:type="paragraph" w:styleId="TableofFigures">
    <w:name w:val="table of figures"/>
    <w:basedOn w:val="Normal"/>
    <w:next w:val="Normal"/>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
    <w:uiPriority w:val="99"/>
    <w:unhideWhenUsed/>
    <w:pPr>
      <w:numPr>
        <w:numId w:val="23"/>
      </w:numPr>
      <w:spacing w:before="120" w:after="120" w:line="240" w:lineRule="auto"/>
      <w:contextualSpacing/>
      <w:jc w:val="both"/>
    </w:pPr>
    <w:rPr>
      <w:rFonts w:ascii="Cambria Math" w:hAnsi="Cambria Math" w:cs="Cambria Math"/>
      <w:sz w:val="24"/>
    </w:rPr>
  </w:style>
  <w:style w:type="paragraph" w:styleId="ListNumber2">
    <w:name w:val="List Number 2"/>
    <w:basedOn w:val="Normal"/>
    <w:uiPriority w:val="99"/>
    <w:semiHidden/>
    <w:unhideWhenUsed/>
    <w:pPr>
      <w:numPr>
        <w:numId w:val="24"/>
      </w:numPr>
      <w:spacing w:before="120" w:after="120" w:line="240" w:lineRule="auto"/>
      <w:contextualSpacing/>
      <w:jc w:val="both"/>
    </w:pPr>
    <w:rPr>
      <w:rFonts w:ascii="Cambria Math" w:hAnsi="Cambria Math" w:cs="Cambria Math"/>
      <w:sz w:val="24"/>
    </w:rPr>
  </w:style>
  <w:style w:type="paragraph" w:styleId="ListNumber3">
    <w:name w:val="List Number 3"/>
    <w:basedOn w:val="Normal"/>
    <w:uiPriority w:val="99"/>
    <w:semiHidden/>
    <w:unhideWhenUsed/>
    <w:pPr>
      <w:numPr>
        <w:numId w:val="25"/>
      </w:numPr>
      <w:spacing w:before="120" w:after="120" w:line="240" w:lineRule="auto"/>
      <w:contextualSpacing/>
      <w:jc w:val="both"/>
    </w:pPr>
    <w:rPr>
      <w:rFonts w:ascii="Cambria Math" w:hAnsi="Cambria Math" w:cs="Cambria Math"/>
      <w:sz w:val="24"/>
    </w:rPr>
  </w:style>
  <w:style w:type="paragraph" w:styleId="ListNumber4">
    <w:name w:val="List Number 4"/>
    <w:basedOn w:val="Normal"/>
    <w:uiPriority w:val="99"/>
    <w:semiHidden/>
    <w:unhideWhenUsed/>
    <w:pPr>
      <w:numPr>
        <w:numId w:val="26"/>
      </w:numPr>
      <w:spacing w:before="120" w:after="120" w:line="240" w:lineRule="auto"/>
      <w:contextualSpacing/>
      <w:jc w:val="both"/>
    </w:pPr>
    <w:rPr>
      <w:rFonts w:ascii="Cambria Math" w:hAnsi="Cambria Math" w:cs="Cambria Math"/>
      <w:sz w:val="24"/>
    </w:rPr>
  </w:style>
  <w:style w:type="character" w:customStyle="1" w:styleId="findhit">
    <w:name w:val="findhit"/>
    <w:basedOn w:val="DefaultParagraphFont"/>
  </w:style>
  <w:style w:type="character" w:customStyle="1" w:styleId="Mention1">
    <w:name w:val="Mention1"/>
    <w:basedOn w:val="DefaultParagraphFont"/>
    <w:uiPriority w:val="99"/>
    <w:unhideWhenUsed/>
    <w:rPr>
      <w:color w:val="2B579A"/>
      <w:shd w:val="clear" w:color="auto" w:fill="E6E6E6"/>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rPr>
  </w:style>
  <w:style w:type="character" w:customStyle="1" w:styleId="y2iqfc">
    <w:name w:val="y2iqfc"/>
    <w:basedOn w:val="DefaultParagraphFont"/>
  </w:style>
  <w:style w:type="character" w:styleId="Strong">
    <w:name w:val="Strong"/>
    <w:basedOn w:val="DefaultParagraphFont"/>
    <w:uiPriority w:val="22"/>
    <w:qFormat/>
    <w:rPr>
      <w:b/>
    </w:rPr>
  </w:style>
  <w:style w:type="paragraph" w:customStyle="1" w:styleId="Default">
    <w:name w:val="Default"/>
    <w:pPr>
      <w:autoSpaceDE w:val="0"/>
      <w:autoSpaceDN w:val="0"/>
      <w:adjustRightInd w:val="0"/>
      <w:spacing w:after="0" w:line="240" w:lineRule="auto"/>
    </w:pPr>
    <w:rPr>
      <w:rFonts w:ascii="Times New Roman" w:hAnsi="Times New Roman" w:cs="Times New Roman"/>
      <w:sz w:val="24"/>
    </w:rPr>
  </w:style>
  <w:style w:type="character" w:customStyle="1" w:styleId="jlqj4b">
    <w:name w:val="jlqj4b"/>
    <w:basedOn w:val="DefaultParagraphFont"/>
  </w:style>
  <w:style w:type="character" w:customStyle="1" w:styleId="viiyi">
    <w:name w:val="viiyi"/>
    <w:basedOn w:val="DefaultParagraphFont"/>
  </w:style>
  <w:style w:type="character" w:customStyle="1" w:styleId="Mention2">
    <w:name w:val="Mention2"/>
    <w:basedOn w:val="DefaultParagraphFont"/>
    <w:uiPriority w:val="99"/>
    <w:unhideWhenUsed/>
    <w:rPr>
      <w:color w:val="2B579A"/>
      <w:shd w:val="clear" w:color="auto" w:fill="E6E6E6"/>
    </w:rPr>
  </w:style>
  <w:style w:type="character" w:customStyle="1" w:styleId="Mention10">
    <w:name w:val="Mention10"/>
    <w:basedOn w:val="DefaultParagraphFont"/>
    <w:uiPriority w:val="99"/>
    <w:unhideWhenUsed/>
    <w:rPr>
      <w:color w:val="2B579A"/>
      <w:shd w:val="clear" w:color="auto" w:fill="E6E6E6"/>
    </w:rPr>
  </w:style>
  <w:style w:type="character" w:customStyle="1" w:styleId="Mention100">
    <w:name w:val="Mention100"/>
    <w:basedOn w:val="DefaultParagraphFont"/>
    <w:uiPriority w:val="99"/>
    <w:unhideWhenUsed/>
    <w:rPr>
      <w:color w:val="2B579A"/>
      <w:shd w:val="clear" w:color="auto" w:fill="E6E6E6"/>
    </w:rPr>
  </w:style>
  <w:style w:type="character" w:customStyle="1" w:styleId="Mention10000">
    <w:name w:val="Mention10000"/>
    <w:basedOn w:val="DefaultParagraphFont"/>
    <w:uiPriority w:val="99"/>
    <w:unhideWhenUsed/>
    <w:rPr>
      <w:color w:val="2B579A"/>
      <w:shd w:val="clear" w:color="auto" w:fill="E6E6E6"/>
    </w:rPr>
  </w:style>
  <w:style w:type="character" w:customStyle="1" w:styleId="Mention100000">
    <w:name w:val="Mention100000"/>
    <w:basedOn w:val="DefaultParagraphFont"/>
    <w:uiPriority w:val="99"/>
    <w:unhideWhenUsed/>
    <w:rPr>
      <w:color w:val="2B579A"/>
      <w:shd w:val="clear" w:color="auto" w:fill="E6E6E6"/>
    </w:r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rPr>
      <w:tblPr/>
      <w:tcPr>
        <w:tcBorders>
          <w:bottom w:val="single" w:sz="12" w:space="0" w:color="95B3D7" w:themeColor="accent1" w:themeTint="99"/>
        </w:tcBorders>
      </w:tcPr>
    </w:tblStylePr>
    <w:tblStylePr w:type="lastRow">
      <w:rPr>
        <w:b/>
      </w:rPr>
      <w:tblPr/>
      <w:tcPr>
        <w:tcBorders>
          <w:top w:val="double" w:sz="2" w:space="0" w:color="95B3D7" w:themeColor="accent1" w:themeTint="99"/>
        </w:tcBorders>
      </w:tcPr>
    </w:tblStylePr>
    <w:tblStylePr w:type="firstCol">
      <w:rPr>
        <w:b/>
      </w:rPr>
    </w:tblStylePr>
    <w:tblStylePr w:type="lastCol">
      <w:rPr>
        <w:b/>
      </w:rPr>
    </w:tblStylePr>
  </w:style>
  <w:style w:type="character" w:styleId="SubtleEmphasis">
    <w:name w:val="Subtle Emphasis"/>
    <w:basedOn w:val="DefaultParagraphFont"/>
    <w:uiPriority w:val="19"/>
    <w:qFormat/>
    <w:rPr>
      <w:i/>
      <w:color w:val="404040" w:themeColor="text1" w:themeTint="BF"/>
    </w:rPr>
  </w:style>
  <w:style w:type="paragraph" w:styleId="EndnoteText">
    <w:name w:val="endnote text"/>
    <w:basedOn w:val="Normal"/>
    <w:link w:val="EndnoteTextChar"/>
    <w:uiPriority w:val="99"/>
    <w:semiHidden/>
    <w:unhideWhenUsed/>
    <w:rsid w:val="00D8757E"/>
    <w:pPr>
      <w:spacing w:after="0" w:line="240" w:lineRule="auto"/>
    </w:pPr>
    <w:rPr>
      <w:sz w:val="20"/>
    </w:rPr>
  </w:style>
  <w:style w:type="character" w:customStyle="1" w:styleId="EndnoteTextChar">
    <w:name w:val="Endnote Text Char"/>
    <w:basedOn w:val="DefaultParagraphFont"/>
    <w:link w:val="EndnoteText"/>
    <w:uiPriority w:val="99"/>
    <w:semiHidden/>
    <w:rsid w:val="00D8757E"/>
    <w:rPr>
      <w:sz w:val="20"/>
    </w:rPr>
  </w:style>
  <w:style w:type="character" w:styleId="EndnoteReference">
    <w:name w:val="endnote reference"/>
    <w:basedOn w:val="DefaultParagraphFont"/>
    <w:uiPriority w:val="99"/>
    <w:semiHidden/>
    <w:unhideWhenUsed/>
    <w:rsid w:val="00D8757E"/>
    <w:rPr>
      <w:vertAlign w:val="superscript"/>
    </w:rPr>
  </w:style>
  <w:style w:type="paragraph" w:customStyle="1" w:styleId="TechnicalBlock">
    <w:name w:val="Technical Block"/>
    <w:basedOn w:val="Normal"/>
    <w:link w:val="TechnicalBlockChar"/>
    <w:rsid w:val="00DE326D"/>
    <w:pPr>
      <w:spacing w:after="240" w:line="240" w:lineRule="auto"/>
      <w:jc w:val="center"/>
    </w:pPr>
  </w:style>
  <w:style w:type="character" w:customStyle="1" w:styleId="TechnicalBlockChar">
    <w:name w:val="Technical Block Char"/>
    <w:basedOn w:val="DefaultParagraphFont"/>
    <w:link w:val="TechnicalBlock"/>
    <w:rsid w:val="00DE326D"/>
  </w:style>
  <w:style w:type="paragraph" w:customStyle="1" w:styleId="EntText">
    <w:name w:val="EntText"/>
    <w:basedOn w:val="Normal"/>
    <w:rsid w:val="00EC3C7F"/>
    <w:pPr>
      <w:spacing w:before="120" w:after="120" w:line="360" w:lineRule="auto"/>
    </w:pPr>
    <w:rPr>
      <w:rFonts w:ascii="Times New Roman" w:hAnsi="Times New Roman" w:cs="Times New Roman"/>
      <w:sz w:val="24"/>
      <w:szCs w:val="22"/>
    </w:rPr>
  </w:style>
  <w:style w:type="paragraph" w:customStyle="1" w:styleId="Lignefinal">
    <w:name w:val="Ligne final"/>
    <w:basedOn w:val="Normal"/>
    <w:next w:val="Normal"/>
    <w:rsid w:val="00EC3C7F"/>
    <w:pPr>
      <w:pBdr>
        <w:bottom w:val="single" w:sz="4" w:space="0" w:color="000000"/>
      </w:pBdr>
      <w:spacing w:before="360" w:after="120" w:line="360" w:lineRule="auto"/>
      <w:ind w:left="3400" w:right="3400"/>
      <w:jc w:val="center"/>
    </w:pPr>
    <w:rPr>
      <w:rFonts w:ascii="Times New Roman" w:hAnsi="Times New Roman" w:cs="Times New Roman"/>
      <w:b/>
      <w:sz w:val="24"/>
      <w:szCs w:val="22"/>
    </w:rPr>
  </w:style>
  <w:style w:type="paragraph" w:customStyle="1" w:styleId="pj">
    <w:name w:val="p.j."/>
    <w:basedOn w:val="Normal"/>
    <w:link w:val="pjChar"/>
    <w:rsid w:val="00DE326D"/>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DE326D"/>
    <w:rPr>
      <w:rFonts w:ascii="Times New Roman" w:hAnsi="Times New Roman" w:cs="Times New Roman"/>
      <w:sz w:val="24"/>
    </w:rPr>
  </w:style>
  <w:style w:type="paragraph" w:customStyle="1" w:styleId="nbbordered">
    <w:name w:val="nb bordered"/>
    <w:basedOn w:val="Normal"/>
    <w:link w:val="nbborderedChar"/>
    <w:rsid w:val="00DE326D"/>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DE326D"/>
    <w:rPr>
      <w:rFonts w:ascii="Times New Roman" w:hAnsi="Times New Roman" w:cs="Times New Roman"/>
      <w:b/>
      <w:sz w:val="24"/>
    </w:rPr>
  </w:style>
  <w:style w:type="paragraph" w:customStyle="1" w:styleId="HeaderCouncil">
    <w:name w:val="Header Council"/>
    <w:basedOn w:val="Normal"/>
    <w:link w:val="HeaderCouncilChar"/>
    <w:rsid w:val="00DE326D"/>
    <w:pPr>
      <w:spacing w:after="0"/>
    </w:pPr>
    <w:rPr>
      <w:sz w:val="2"/>
    </w:rPr>
  </w:style>
  <w:style w:type="character" w:customStyle="1" w:styleId="HeaderCouncilChar">
    <w:name w:val="Header Council Char"/>
    <w:basedOn w:val="DefaultParagraphFont"/>
    <w:link w:val="HeaderCouncil"/>
    <w:rsid w:val="00DE326D"/>
    <w:rPr>
      <w:sz w:val="2"/>
    </w:rPr>
  </w:style>
  <w:style w:type="paragraph" w:customStyle="1" w:styleId="HeaderCouncilLarge">
    <w:name w:val="Header Council Large"/>
    <w:basedOn w:val="Normal"/>
    <w:link w:val="HeaderCouncilLargeChar"/>
    <w:rsid w:val="00DE326D"/>
    <w:pPr>
      <w:spacing w:after="440"/>
    </w:pPr>
    <w:rPr>
      <w:sz w:val="2"/>
    </w:rPr>
  </w:style>
  <w:style w:type="character" w:customStyle="1" w:styleId="HeaderCouncilLargeChar">
    <w:name w:val="Header Council Large Char"/>
    <w:basedOn w:val="DefaultParagraphFont"/>
    <w:link w:val="HeaderCouncilLarge"/>
    <w:rsid w:val="00DE326D"/>
    <w:rPr>
      <w:sz w:val="2"/>
    </w:rPr>
  </w:style>
  <w:style w:type="paragraph" w:customStyle="1" w:styleId="FooterCouncil">
    <w:name w:val="Footer Council"/>
    <w:basedOn w:val="Normal"/>
    <w:link w:val="FooterCouncilChar"/>
    <w:rsid w:val="00DE326D"/>
    <w:pPr>
      <w:spacing w:after="0"/>
    </w:pPr>
    <w:rPr>
      <w:sz w:val="2"/>
    </w:rPr>
  </w:style>
  <w:style w:type="character" w:customStyle="1" w:styleId="FooterCouncilChar">
    <w:name w:val="Footer Council Char"/>
    <w:basedOn w:val="DefaultParagraphFont"/>
    <w:link w:val="FooterCouncil"/>
    <w:rsid w:val="00DE326D"/>
    <w:rPr>
      <w:sz w:val="2"/>
    </w:rPr>
  </w:style>
  <w:style w:type="paragraph" w:customStyle="1" w:styleId="FooterText">
    <w:name w:val="Footer Text"/>
    <w:basedOn w:val="Normal"/>
    <w:rsid w:val="00DE326D"/>
    <w:pPr>
      <w:spacing w:after="0" w:line="240" w:lineRule="auto"/>
    </w:pPr>
    <w:rPr>
      <w:rFonts w:ascii="Times New Roman" w:eastAsia="Times New Roman" w:hAnsi="Times New Roman" w:cs="Times New Roman"/>
      <w:sz w:val="24"/>
    </w:rPr>
  </w:style>
  <w:style w:type="character" w:styleId="PlaceholderText">
    <w:name w:val="Placeholder Text"/>
    <w:basedOn w:val="DefaultParagraphFont"/>
    <w:uiPriority w:val="99"/>
    <w:semiHidden/>
    <w:rsid w:val="00DE326D"/>
    <w:rPr>
      <w:color w:val="808080"/>
    </w:rPr>
  </w:style>
  <w:style w:type="character" w:customStyle="1" w:styleId="tabchar">
    <w:name w:val="tabchar"/>
    <w:basedOn w:val="DefaultParagraphFont"/>
    <w:rsid w:val="004267C6"/>
  </w:style>
  <w:style w:type="character" w:customStyle="1" w:styleId="Paminjimas1">
    <w:name w:val="Paminėjimas1"/>
    <w:basedOn w:val="DefaultParagraphFont"/>
    <w:uiPriority w:val="99"/>
    <w:unhideWhenUsed/>
    <w:rsid w:val="008D34FB"/>
    <w:rPr>
      <w:color w:val="2B579A"/>
      <w:shd w:val="clear" w:color="auto" w:fill="E6E6E6"/>
    </w:rPr>
  </w:style>
  <w:style w:type="character" w:customStyle="1" w:styleId="scxw175276049">
    <w:name w:val="scxw175276049"/>
    <w:basedOn w:val="DefaultParagraphFont"/>
    <w:rsid w:val="00BF7B60"/>
  </w:style>
  <w:style w:type="paragraph" w:customStyle="1" w:styleId="P68B1DB1-prastasis16">
    <w:name w:val="P68B1DB1-prastasis16"/>
    <w:basedOn w:val="Normal"/>
    <w:uiPriority w:val="1"/>
    <w:rsid w:val="4D16553A"/>
    <w:pPr>
      <w:spacing w:after="160"/>
    </w:pPr>
    <w:rPr>
      <w:rFonts w:ascii="Times New Roman" w:eastAsiaTheme="minorEastAsia" w:hAnsi="Times New Roman" w:cs="Times New Roman"/>
      <w:i/>
      <w:sz w:val="20"/>
    </w:rPr>
  </w:style>
  <w:style w:type="character" w:customStyle="1" w:styleId="Neapdorotaspaminjimas1">
    <w:name w:val="Neapdorotas paminėjimas1"/>
    <w:basedOn w:val="DefaultParagraphFont"/>
    <w:uiPriority w:val="99"/>
    <w:unhideWhenUsed/>
    <w:rsid w:val="00182654"/>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qFormat/>
    <w:rsid w:val="002A0444"/>
    <w:pPr>
      <w:spacing w:after="0" w:line="240" w:lineRule="auto"/>
    </w:pPr>
    <w:rPr>
      <w:vertAlign w:val="superscript"/>
    </w:rPr>
  </w:style>
  <w:style w:type="paragraph" w:customStyle="1" w:styleId="P68B1DB1-prastasis5">
    <w:name w:val="P68B1DB1-prastasis5"/>
    <w:basedOn w:val="Normal"/>
    <w:rsid w:val="002A0444"/>
    <w:pPr>
      <w:widowControl w:val="0"/>
      <w:spacing w:after="0" w:line="240" w:lineRule="auto"/>
    </w:pPr>
    <w:rPr>
      <w:rFonts w:ascii="Arial" w:eastAsia="Times New Roman" w:hAnsi="Arial" w:cs="Arial"/>
    </w:rPr>
  </w:style>
  <w:style w:type="paragraph" w:customStyle="1" w:styleId="P68B1DB1-Antrat211">
    <w:name w:val="P68B1DB1-Antrat211"/>
    <w:basedOn w:val="Heading2"/>
    <w:rsid w:val="003D7A3A"/>
    <w:pPr>
      <w:keepLines/>
      <w:widowControl w:val="0"/>
      <w:numPr>
        <w:ilvl w:val="0"/>
        <w:numId w:val="0"/>
      </w:numPr>
      <w:ind w:left="720" w:hanging="360"/>
      <w:jc w:val="left"/>
    </w:pPr>
    <w:rPr>
      <w:rFonts w:ascii="MS Mincho" w:eastAsia="Wingdings" w:hAnsi="MS Mincho" w:cstheme="majorBidi"/>
      <w:b w:val="0"/>
      <w:color w:val="365F91" w:themeColor="accent1" w:themeShade="BF"/>
      <w:sz w:val="28"/>
    </w:rPr>
  </w:style>
  <w:style w:type="paragraph" w:customStyle="1" w:styleId="P68B1DB1-prastasis20">
    <w:name w:val="P68B1DB1-prastasis20"/>
    <w:basedOn w:val="Normal"/>
    <w:rsid w:val="002A0444"/>
    <w:pPr>
      <w:widowControl w:val="0"/>
      <w:spacing w:after="0" w:line="240" w:lineRule="auto"/>
    </w:pPr>
    <w:rPr>
      <w:rFonts w:ascii="Times New Roman" w:eastAsia="Times New Roman" w:hAnsi="Times New Roman" w:cs="Times New Roman"/>
      <w:color w:val="4F81BD" w:themeColor="accent1"/>
      <w:sz w:val="18"/>
    </w:rPr>
  </w:style>
  <w:style w:type="paragraph" w:customStyle="1" w:styleId="P68B1DB1-prastasis21">
    <w:name w:val="P68B1DB1-prastasis21"/>
    <w:basedOn w:val="Normal"/>
    <w:rsid w:val="002A0444"/>
    <w:pPr>
      <w:widowControl w:val="0"/>
      <w:spacing w:after="0" w:line="240" w:lineRule="auto"/>
    </w:pPr>
    <w:rPr>
      <w:rFonts w:ascii="Arial" w:eastAsia="Times New Roman" w:hAnsi="Arial" w:cs="Arial"/>
    </w:rPr>
  </w:style>
  <w:style w:type="paragraph" w:customStyle="1" w:styleId="P68B1DB1-prastasis12">
    <w:name w:val="P68B1DB1-prastasis12"/>
    <w:basedOn w:val="Normal"/>
    <w:rsid w:val="00D55078"/>
    <w:pPr>
      <w:widowControl w:val="0"/>
      <w:spacing w:after="0" w:line="240" w:lineRule="auto"/>
    </w:pPr>
    <w:rPr>
      <w:rFonts w:ascii="Arial" w:eastAsia="Calibri" w:hAnsi="Arial" w:cs="Arial"/>
    </w:rPr>
  </w:style>
  <w:style w:type="paragraph" w:customStyle="1" w:styleId="P68B1DB1-Headeriams24">
    <w:name w:val="P68B1DB1-Headeriams24"/>
    <w:basedOn w:val="Normal"/>
    <w:rsid w:val="00D55078"/>
    <w:pPr>
      <w:spacing w:after="0" w:line="240" w:lineRule="auto"/>
      <w:jc w:val="right"/>
    </w:pPr>
    <w:rPr>
      <w:rFonts w:asciiTheme="majorHAnsi" w:eastAsia="Calibri" w:hAnsiTheme="majorHAnsi" w:cs="Times New Roman"/>
      <w:color w:val="4181B6"/>
      <w:sz w:val="20"/>
    </w:rPr>
  </w:style>
  <w:style w:type="paragraph" w:customStyle="1" w:styleId="P68B1DB1-prastasis25">
    <w:name w:val="P68B1DB1-prastasis25"/>
    <w:basedOn w:val="Normal"/>
    <w:rsid w:val="00D55078"/>
    <w:pPr>
      <w:widowControl w:val="0"/>
      <w:spacing w:after="0" w:line="240" w:lineRule="auto"/>
    </w:pPr>
    <w:rPr>
      <w:rFonts w:ascii="Arial" w:eastAsia="Calibri" w:hAnsi="Arial" w:cs="Arial"/>
      <w:u w:val="single"/>
    </w:rPr>
  </w:style>
  <w:style w:type="paragraph" w:customStyle="1" w:styleId="P68B1DB1-Puslapioinaostekstas66">
    <w:name w:val="P68B1DB1-Puslapioinaostekstas66"/>
    <w:basedOn w:val="FootnoteText"/>
    <w:rsid w:val="00D55078"/>
    <w:pPr>
      <w:ind w:left="0" w:firstLine="0"/>
      <w:jc w:val="left"/>
    </w:pPr>
    <w:rPr>
      <w:rFonts w:ascii="Calibri" w:eastAsia="Calibri" w:hAnsi="Calibri"/>
      <w:sz w:val="18"/>
    </w:rPr>
  </w:style>
  <w:style w:type="character" w:styleId="FollowedHyperlink">
    <w:name w:val="FollowedHyperlink"/>
    <w:basedOn w:val="DefaultParagraphFont"/>
    <w:uiPriority w:val="99"/>
    <w:semiHidden/>
    <w:unhideWhenUsed/>
    <w:rsid w:val="00FA4368"/>
    <w:rPr>
      <w:color w:val="800080" w:themeColor="followedHyperlink"/>
      <w:u w:val="single"/>
    </w:rPr>
  </w:style>
  <w:style w:type="paragraph" w:customStyle="1" w:styleId="P68B1DB1-Antrat335">
    <w:name w:val="P68B1DB1-Antrat335"/>
    <w:basedOn w:val="Normal"/>
    <w:uiPriority w:val="1"/>
    <w:rsid w:val="00D46B16"/>
    <w:pPr>
      <w:keepNext/>
      <w:keepLines/>
      <w:widowControl w:val="0"/>
      <w:tabs>
        <w:tab w:val="num" w:pos="1417"/>
      </w:tabs>
      <w:spacing w:before="120" w:after="120"/>
      <w:ind w:left="1417" w:hanging="567"/>
      <w:outlineLvl w:val="2"/>
    </w:pPr>
    <w:rPr>
      <w:rFonts w:asciiTheme="majorHAnsi" w:eastAsia="Calibri" w:hAnsiTheme="majorHAnsi" w:cstheme="majorBidi"/>
      <w:color w:val="4472C4"/>
    </w:rPr>
  </w:style>
  <w:style w:type="paragraph" w:customStyle="1" w:styleId="P68B1DB1-Normal11">
    <w:name w:val="P68B1DB1-Normal11"/>
    <w:basedOn w:val="Normal"/>
    <w:rsid w:val="00CC6FFC"/>
    <w:pPr>
      <w:spacing w:after="0" w:line="240" w:lineRule="auto"/>
    </w:pPr>
    <w:rPr>
      <w:rFonts w:ascii="Times New Roman" w:eastAsia="Times New Roman" w:hAnsi="Times New Roman" w:cs="Times New Roman"/>
      <w:sz w:val="20"/>
      <w:highlight w:val="yellow"/>
    </w:rPr>
  </w:style>
  <w:style w:type="paragraph" w:customStyle="1" w:styleId="LegalNumPar">
    <w:name w:val="LegalNumPar"/>
    <w:basedOn w:val="Normal"/>
    <w:rsid w:val="00D31B38"/>
    <w:pPr>
      <w:spacing w:after="160" w:line="259" w:lineRule="auto"/>
      <w:ind w:left="476" w:hanging="476"/>
    </w:pPr>
  </w:style>
  <w:style w:type="paragraph" w:customStyle="1" w:styleId="LegalNumPar2">
    <w:name w:val="LegalNumPar2"/>
    <w:basedOn w:val="Normal"/>
    <w:rsid w:val="00D31B38"/>
    <w:pPr>
      <w:spacing w:after="160" w:line="259" w:lineRule="auto"/>
      <w:ind w:left="953" w:hanging="477"/>
    </w:pPr>
  </w:style>
  <w:style w:type="paragraph" w:customStyle="1" w:styleId="LegalNumPar3">
    <w:name w:val="LegalNumPar3"/>
    <w:basedOn w:val="Normal"/>
    <w:rsid w:val="00D31B38"/>
    <w:pPr>
      <w:spacing w:after="160" w:line="259" w:lineRule="auto"/>
      <w:ind w:left="1429" w:hanging="476"/>
    </w:pPr>
  </w:style>
  <w:style w:type="character" w:customStyle="1" w:styleId="CommentTextChar1">
    <w:name w:val="Comment Text Char1"/>
    <w:basedOn w:val="DefaultParagraphFont"/>
    <w:uiPriority w:val="99"/>
    <w:rsid w:val="00957A1F"/>
    <w:rPr>
      <w:sz w:val="20"/>
    </w:rPr>
  </w:style>
  <w:style w:type="character" w:customStyle="1" w:styleId="Mention3">
    <w:name w:val="Mention3"/>
    <w:basedOn w:val="DefaultParagraphFont"/>
    <w:uiPriority w:val="99"/>
    <w:unhideWhenUsed/>
    <w:rsid w:val="0074378B"/>
    <w:rPr>
      <w:color w:val="2B579A"/>
      <w:shd w:val="clear" w:color="auto" w:fill="E1DFDD"/>
    </w:rPr>
  </w:style>
  <w:style w:type="character" w:customStyle="1" w:styleId="cf01">
    <w:name w:val="cf01"/>
    <w:basedOn w:val="DefaultParagraphFont"/>
    <w:rsid w:val="008C0840"/>
    <w:rPr>
      <w:rFonts w:ascii="Segoe UI" w:hAnsi="Segoe UI" w:cs="Segoe UI" w:hint="default"/>
      <w:sz w:val="18"/>
    </w:rPr>
  </w:style>
  <w:style w:type="paragraph" w:customStyle="1" w:styleId="msonormal0">
    <w:name w:val="msonormal"/>
    <w:basedOn w:val="Normal"/>
    <w:rsid w:val="001770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1770BA"/>
  </w:style>
  <w:style w:type="character" w:customStyle="1" w:styleId="linebreakblob">
    <w:name w:val="linebreakblob"/>
    <w:basedOn w:val="DefaultParagraphFont"/>
    <w:rsid w:val="001770BA"/>
  </w:style>
  <w:style w:type="character" w:customStyle="1" w:styleId="scxw115188795">
    <w:name w:val="scxw115188795"/>
    <w:basedOn w:val="DefaultParagraphFont"/>
    <w:rsid w:val="001770BA"/>
  </w:style>
  <w:style w:type="character" w:customStyle="1" w:styleId="trackchangetextdeletionmarker">
    <w:name w:val="trackchangetextdeletionmarker"/>
    <w:basedOn w:val="DefaultParagraphFont"/>
    <w:rsid w:val="001770BA"/>
  </w:style>
  <w:style w:type="character" w:customStyle="1" w:styleId="superscript">
    <w:name w:val="superscript"/>
    <w:basedOn w:val="DefaultParagraphFont"/>
    <w:rsid w:val="00DA4A7E"/>
  </w:style>
  <w:style w:type="paragraph" w:customStyle="1" w:styleId="outlineelement">
    <w:name w:val="outlineelement"/>
    <w:basedOn w:val="Normal"/>
    <w:rsid w:val="002022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xw85986454">
    <w:name w:val="scxw85986454"/>
    <w:basedOn w:val="DefaultParagraphFont"/>
    <w:rsid w:val="0020225C"/>
  </w:style>
  <w:style w:type="character" w:customStyle="1" w:styleId="Mention4">
    <w:name w:val="Mention4"/>
    <w:basedOn w:val="DefaultParagraphFont"/>
    <w:uiPriority w:val="99"/>
    <w:unhideWhenUsed/>
    <w:rsid w:val="00AD107C"/>
    <w:rPr>
      <w:color w:val="2B579A"/>
      <w:shd w:val="clear" w:color="auto" w:fill="E1DFDD"/>
    </w:rPr>
  </w:style>
  <w:style w:type="character" w:customStyle="1" w:styleId="Mention">
    <w:name w:val="Mention"/>
    <w:basedOn w:val="DefaultParagraphFont"/>
    <w:uiPriority w:val="99"/>
    <w:unhideWhenUsed/>
    <w:rsid w:val="00381B92"/>
    <w:rPr>
      <w:color w:val="2B579A"/>
      <w:shd w:val="clear" w:color="auto" w:fill="E1DFDD"/>
    </w:rPr>
  </w:style>
  <w:style w:type="character" w:customStyle="1" w:styleId="UnresolvedMention">
    <w:name w:val="Unresolved Mention"/>
    <w:basedOn w:val="DefaultParagraphFont"/>
    <w:uiPriority w:val="99"/>
    <w:semiHidden/>
    <w:unhideWhenUsed/>
    <w:rsid w:val="00BD42AF"/>
    <w:rPr>
      <w:color w:val="605E5C"/>
      <w:shd w:val="clear" w:color="auto" w:fill="E1DFDD"/>
    </w:rPr>
  </w:style>
  <w:style w:type="character" w:customStyle="1" w:styleId="Mention5">
    <w:name w:val="Mention5"/>
    <w:basedOn w:val="DefaultParagraphFont"/>
    <w:uiPriority w:val="99"/>
    <w:unhideWhenUsed/>
    <w:rsid w:val="000519E2"/>
    <w:rPr>
      <w:color w:val="2B579A"/>
      <w:shd w:val="clear" w:color="auto" w:fill="E1DFDD"/>
    </w:rPr>
  </w:style>
  <w:style w:type="character" w:customStyle="1" w:styleId="UnresolvedMention1">
    <w:name w:val="Unresolved Mention1"/>
    <w:basedOn w:val="DefaultParagraphFont"/>
    <w:uiPriority w:val="99"/>
    <w:semiHidden/>
    <w:unhideWhenUsed/>
    <w:rsid w:val="000519E2"/>
    <w:rPr>
      <w:color w:val="605E5C"/>
      <w:shd w:val="clear" w:color="auto" w:fill="E1DFDD"/>
    </w:rPr>
  </w:style>
  <w:style w:type="paragraph" w:customStyle="1" w:styleId="P68B1DB1-Normal1">
    <w:name w:val="P68B1DB1-Normal1"/>
    <w:basedOn w:val="Normal"/>
    <w:rPr>
      <w:rFonts w:ascii="Times New Roman" w:hAnsi="Times New Roman"/>
      <w:b/>
      <w:color w:val="000000" w:themeColor="text1"/>
      <w:sz w:val="24"/>
    </w:rPr>
  </w:style>
  <w:style w:type="paragraph" w:customStyle="1" w:styleId="P68B1DB1-Heading12">
    <w:name w:val="P68B1DB1-Heading12"/>
    <w:basedOn w:val="Heading1"/>
    <w:rPr>
      <w:rFonts w:ascii="Times New Roman" w:hAnsi="Times New Roman"/>
    </w:rPr>
  </w:style>
  <w:style w:type="paragraph" w:customStyle="1" w:styleId="P68B1DB1-NumPar13">
    <w:name w:val="P68B1DB1-NumPar13"/>
    <w:basedOn w:val="NumPar1"/>
    <w:rPr>
      <w:rFonts w:ascii="Times New Roman" w:hAnsi="Times New Roman"/>
      <w:b/>
    </w:rPr>
  </w:style>
  <w:style w:type="paragraph" w:customStyle="1" w:styleId="P68B1DB1-Normal4">
    <w:name w:val="P68B1DB1-Normal4"/>
    <w:basedOn w:val="Normal"/>
    <w:rPr>
      <w:rFonts w:ascii="Times New Roman" w:hAnsi="Times New Roman"/>
      <w:sz w:val="24"/>
    </w:rPr>
  </w:style>
  <w:style w:type="paragraph" w:customStyle="1" w:styleId="P68B1DB1-Text15">
    <w:name w:val="P68B1DB1-Text15"/>
    <w:basedOn w:val="Text1"/>
    <w:rPr>
      <w:b/>
      <w:u w:val="single"/>
    </w:rPr>
  </w:style>
  <w:style w:type="paragraph" w:customStyle="1" w:styleId="P68B1DB1-Normal6">
    <w:name w:val="P68B1DB1-Normal6"/>
    <w:basedOn w:val="Normal"/>
    <w:rPr>
      <w:rFonts w:ascii="Times New Roman" w:hAnsi="Times New Roman"/>
      <w:sz w:val="24"/>
      <w:u w:val="single"/>
    </w:rPr>
  </w:style>
  <w:style w:type="paragraph" w:customStyle="1" w:styleId="P68B1DB1-Normal7">
    <w:name w:val="P68B1DB1-Normal7"/>
    <w:basedOn w:val="Normal"/>
    <w:rPr>
      <w:rFonts w:ascii="Times New Roman" w:eastAsia="Calibri" w:hAnsi="Times New Roman" w:cs="Arial"/>
      <w:sz w:val="24"/>
    </w:rPr>
  </w:style>
  <w:style w:type="paragraph" w:customStyle="1" w:styleId="P68B1DB1-Normal8">
    <w:name w:val="P68B1DB1-Normal8"/>
    <w:basedOn w:val="Normal"/>
    <w:rPr>
      <w:sz w:val="24"/>
    </w:rPr>
  </w:style>
  <w:style w:type="paragraph" w:customStyle="1" w:styleId="P68B1DB1-Normal9">
    <w:name w:val="P68B1DB1-Normal9"/>
    <w:basedOn w:val="Normal"/>
    <w:rPr>
      <w:rFonts w:ascii="Times New Roman" w:hAnsi="Times New Roman"/>
      <w:b/>
      <w:sz w:val="20"/>
    </w:rPr>
  </w:style>
  <w:style w:type="paragraph" w:customStyle="1" w:styleId="P68B1DB1-Normal10">
    <w:name w:val="P68B1DB1-Normal10"/>
    <w:basedOn w:val="Normal"/>
    <w:rPr>
      <w:sz w:val="20"/>
    </w:rPr>
  </w:style>
  <w:style w:type="paragraph" w:customStyle="1" w:styleId="P68B1DB1-Normal12">
    <w:name w:val="P68B1DB1-Normal12"/>
    <w:basedOn w:val="Normal"/>
    <w:rPr>
      <w:rFonts w:ascii="Times New Roman" w:hAnsi="Times New Roman"/>
      <w:sz w:val="20"/>
    </w:rPr>
  </w:style>
  <w:style w:type="paragraph" w:customStyle="1" w:styleId="P68B1DB1-Normal13">
    <w:name w:val="P68B1DB1-Normal13"/>
    <w:basedOn w:val="Normal"/>
    <w:rPr>
      <w:rFonts w:ascii="Times New Roman" w:eastAsia="Times New Roman" w:hAnsi="Times New Roman" w:cs="Times New Roman"/>
      <w:sz w:val="20"/>
    </w:rPr>
  </w:style>
  <w:style w:type="paragraph" w:customStyle="1" w:styleId="P68B1DB1-Normal14">
    <w:name w:val="P68B1DB1-Normal14"/>
    <w:basedOn w:val="Normal"/>
    <w:rPr>
      <w:rFonts w:ascii="Times New Roman" w:eastAsia="Times New Roman" w:hAnsi="Times New Roman" w:cs="Times New Roman"/>
      <w:color w:val="000000" w:themeColor="text1"/>
      <w:sz w:val="20"/>
    </w:rPr>
  </w:style>
  <w:style w:type="paragraph" w:customStyle="1" w:styleId="P68B1DB1-Normal15">
    <w:name w:val="P68B1DB1-Normal15"/>
    <w:basedOn w:val="Normal"/>
    <w:rPr>
      <w:rFonts w:ascii="Times New Roman" w:eastAsia="Calibri" w:hAnsi="Times New Roman" w:cs="Arial"/>
      <w:sz w:val="20"/>
    </w:rPr>
  </w:style>
  <w:style w:type="paragraph" w:customStyle="1" w:styleId="P68B1DB1-ListParagraph16">
    <w:name w:val="P68B1DB1-ListParagraph16"/>
    <w:basedOn w:val="ListParagraph"/>
    <w:rPr>
      <w:rFonts w:ascii="Times New Roman" w:hAnsi="Times New Roman"/>
      <w:sz w:val="24"/>
    </w:rPr>
  </w:style>
  <w:style w:type="paragraph" w:customStyle="1" w:styleId="P68B1DB1-Normal17">
    <w:name w:val="P68B1DB1-Normal17"/>
    <w:basedOn w:val="Normal"/>
    <w:rPr>
      <w:rFonts w:ascii="Times New Roman" w:eastAsia="Times New Roman" w:hAnsi="Times New Roman" w:cs="Times New Roman"/>
      <w:b/>
      <w:color w:val="000000" w:themeColor="text1"/>
      <w:sz w:val="24"/>
    </w:rPr>
  </w:style>
  <w:style w:type="paragraph" w:customStyle="1" w:styleId="P68B1DB1-Normal18">
    <w:name w:val="P68B1DB1-Normal18"/>
    <w:basedOn w:val="Normal"/>
    <w:rPr>
      <w:rFonts w:ascii="Times New Roman" w:eastAsia="Times New Roman" w:hAnsi="Times New Roman" w:cs="Times New Roman"/>
      <w:color w:val="000000" w:themeColor="text1"/>
      <w:sz w:val="24"/>
    </w:rPr>
  </w:style>
  <w:style w:type="paragraph" w:customStyle="1" w:styleId="P68B1DB1-Normal19">
    <w:name w:val="P68B1DB1-Normal19"/>
    <w:basedOn w:val="Normal"/>
    <w:rPr>
      <w:rFonts w:ascii="Times New Roman" w:eastAsia="Times New Roman" w:hAnsi="Times New Roman" w:cs="Times New Roman"/>
      <w:sz w:val="24"/>
    </w:rPr>
  </w:style>
  <w:style w:type="paragraph" w:customStyle="1" w:styleId="P68B1DB1-ListParagraph20">
    <w:name w:val="P68B1DB1-ListParagraph20"/>
    <w:basedOn w:val="ListParagraph"/>
    <w:rPr>
      <w:rFonts w:ascii="Times New Roman" w:eastAsia="Times New Roman" w:hAnsi="Times New Roman" w:cs="Times New Roman"/>
      <w:sz w:val="20"/>
    </w:rPr>
  </w:style>
  <w:style w:type="paragraph" w:customStyle="1" w:styleId="P68B1DB1-Normal21">
    <w:name w:val="P68B1DB1-Normal21"/>
    <w:basedOn w:val="Normal"/>
    <w:rPr>
      <w:rFonts w:ascii="Times New Roman" w:eastAsia="Times New Roman" w:hAnsi="Times New Roman"/>
      <w:sz w:val="20"/>
    </w:rPr>
  </w:style>
  <w:style w:type="paragraph" w:customStyle="1" w:styleId="P68B1DB1-ListParagraph22">
    <w:name w:val="P68B1DB1-ListParagraph22"/>
    <w:basedOn w:val="ListParagraph"/>
    <w:rPr>
      <w:rFonts w:ascii="Times New Roman" w:hAnsi="Times New Roman"/>
      <w:sz w:val="20"/>
    </w:rPr>
  </w:style>
  <w:style w:type="paragraph" w:customStyle="1" w:styleId="P68B1DB1-paragraph23">
    <w:name w:val="P68B1DB1-paragraph23"/>
    <w:basedOn w:val="paragraph"/>
    <w:rPr>
      <w:sz w:val="20"/>
    </w:rPr>
  </w:style>
  <w:style w:type="paragraph" w:customStyle="1" w:styleId="P68B1DB1-Normal24">
    <w:name w:val="P68B1DB1-Normal24"/>
    <w:basedOn w:val="Normal"/>
    <w:rPr>
      <w:rFonts w:ascii="Times New Roman" w:hAnsi="Times New Roman"/>
      <w:sz w:val="18"/>
    </w:rPr>
  </w:style>
  <w:style w:type="paragraph" w:customStyle="1" w:styleId="P68B1DB1-Normal25">
    <w:name w:val="P68B1DB1-Normal25"/>
    <w:basedOn w:val="Normal"/>
    <w:rPr>
      <w:rFonts w:ascii="Times New Roman" w:hAnsi="Times New Roman"/>
    </w:rPr>
  </w:style>
  <w:style w:type="paragraph" w:customStyle="1" w:styleId="P68B1DB1-Text126">
    <w:name w:val="P68B1DB1-Text126"/>
    <w:basedOn w:val="Text1"/>
    <w:rPr>
      <w:u w:val="single"/>
    </w:rPr>
  </w:style>
  <w:style w:type="paragraph" w:customStyle="1" w:styleId="P68B1DB1-Text127">
    <w:name w:val="P68B1DB1-Text127"/>
    <w:basedOn w:val="Text1"/>
    <w:rPr>
      <w:sz w:val="20"/>
    </w:rPr>
  </w:style>
  <w:style w:type="paragraph" w:customStyle="1" w:styleId="P68B1DB1-Normal28">
    <w:name w:val="P68B1DB1-Normal28"/>
    <w:basedOn w:val="Normal"/>
    <w:rPr>
      <w:rFonts w:ascii="Times New Roman" w:hAnsi="Times New Roman" w:cs="Times New Roman"/>
      <w:sz w:val="20"/>
    </w:rPr>
  </w:style>
  <w:style w:type="paragraph" w:customStyle="1" w:styleId="P68B1DB1-paragraph29">
    <w:name w:val="P68B1DB1-paragraph29"/>
    <w:basedOn w:val="paragraph"/>
    <w:rPr>
      <w:u w:val="single"/>
    </w:rPr>
  </w:style>
  <w:style w:type="paragraph" w:customStyle="1" w:styleId="P68B1DB1-ListParagraph30">
    <w:name w:val="P68B1DB1-ListParagraph30"/>
    <w:basedOn w:val="ListParagraph"/>
    <w:rPr>
      <w:rFonts w:ascii="Times New Roman" w:eastAsia="Times New Roman" w:hAnsi="Times New Roman" w:cs="Times New Roman"/>
      <w:sz w:val="24"/>
    </w:rPr>
  </w:style>
  <w:style w:type="paragraph" w:customStyle="1" w:styleId="P68B1DB1-paragraph31">
    <w:name w:val="P68B1DB1-paragraph31"/>
    <w:basedOn w:val="paragraph"/>
    <w:rPr>
      <w:color w:val="000000" w:themeColor="text1"/>
    </w:rPr>
  </w:style>
  <w:style w:type="paragraph" w:customStyle="1" w:styleId="P68B1DB1-Normal32">
    <w:name w:val="P68B1DB1-Normal32"/>
    <w:basedOn w:val="Normal"/>
    <w:rPr>
      <w:rFonts w:ascii="Times New Roman" w:hAnsi="Times New Roman"/>
      <w:sz w:val="19"/>
    </w:rPr>
  </w:style>
  <w:style w:type="paragraph" w:customStyle="1" w:styleId="P68B1DB1-P68B1DB1-prastasis1233">
    <w:name w:val="P68B1DB1-P68B1DB1-prastasis1233"/>
    <w:basedOn w:val="P68B1DB1-prastasis12"/>
    <w:rPr>
      <w:rFonts w:ascii="Times New Roman" w:hAnsi="Times New Roman"/>
      <w:sz w:val="20"/>
    </w:rPr>
  </w:style>
  <w:style w:type="paragraph" w:customStyle="1" w:styleId="P68B1DB1-Normal34">
    <w:name w:val="P68B1DB1-Normal34"/>
    <w:basedOn w:val="Normal"/>
    <w:rPr>
      <w:rFonts w:ascii="Times New Roman" w:hAnsi="Times New Roman" w:cs="Cambria Math"/>
      <w:b/>
      <w:sz w:val="24"/>
    </w:rPr>
  </w:style>
  <w:style w:type="paragraph" w:customStyle="1" w:styleId="P68B1DB1-Normal35">
    <w:name w:val="P68B1DB1-Normal35"/>
    <w:basedOn w:val="Normal"/>
    <w:rPr>
      <w:rFonts w:ascii="Times New Roman" w:hAnsi="Times New Roman" w:cs="Times New Roman"/>
      <w:sz w:val="24"/>
    </w:rPr>
  </w:style>
  <w:style w:type="paragraph" w:customStyle="1" w:styleId="P68B1DB1-ListParagraph36">
    <w:name w:val="P68B1DB1-ListParagraph36"/>
    <w:basedOn w:val="ListParagraph"/>
    <w:rPr>
      <w:rFonts w:ascii="Times New Roman" w:hAnsi="Times New Roman" w:cs="Times New Roman"/>
      <w:sz w:val="24"/>
    </w:rPr>
  </w:style>
  <w:style w:type="paragraph" w:customStyle="1" w:styleId="P68B1DB1-Normal37">
    <w:name w:val="P68B1DB1-Normal37"/>
    <w:basedOn w:val="Normal"/>
    <w:rPr>
      <w:rFonts w:ascii="Times New Roman" w:eastAsia="Times New Roman" w:hAnsi="Times New Roman" w:cs="Times New Roman"/>
      <w:b/>
      <w:color w:val="000000"/>
    </w:rPr>
  </w:style>
  <w:style w:type="paragraph" w:customStyle="1" w:styleId="P68B1DB1-Normal38">
    <w:name w:val="P68B1DB1-Normal38"/>
    <w:basedOn w:val="Normal"/>
    <w:rPr>
      <w:rFonts w:ascii="Times New Roman" w:eastAsia="Times New Roman" w:hAnsi="Times New Roman" w:cs="Times New Roman"/>
      <w:color w:val="000000"/>
    </w:rPr>
  </w:style>
  <w:style w:type="paragraph" w:customStyle="1" w:styleId="P68B1DB1-Normal39">
    <w:name w:val="P68B1DB1-Normal39"/>
    <w:basedOn w:val="Normal"/>
    <w:rPr>
      <w:rFonts w:ascii="Times New Roman" w:eastAsia="Times New Roman" w:hAnsi="Times New Roman" w:cs="Times New Roman"/>
    </w:rPr>
  </w:style>
  <w:style w:type="paragraph" w:customStyle="1" w:styleId="P68B1DB1-Normal40">
    <w:name w:val="P68B1DB1-Normal40"/>
    <w:basedOn w:val="Normal"/>
    <w:rPr>
      <w:rFonts w:eastAsiaTheme="minorEastAsia"/>
      <w:color w:val="000000" w:themeColor="text1"/>
    </w:rPr>
  </w:style>
  <w:style w:type="paragraph" w:customStyle="1" w:styleId="P68B1DB1-Normal41">
    <w:name w:val="P68B1DB1-Normal41"/>
    <w:basedOn w:val="Normal"/>
    <w:rPr>
      <w:rFonts w:ascii="Times New Roman" w:eastAsiaTheme="minorEastAsia" w:hAnsi="Times New Roman" w:cs="Times New Roman"/>
      <w:color w:val="000000" w:themeColor="text1"/>
    </w:rPr>
  </w:style>
  <w:style w:type="paragraph" w:customStyle="1" w:styleId="P68B1DB1-Normal42">
    <w:name w:val="P68B1DB1-Normal42"/>
    <w:basedOn w:val="Normal"/>
    <w:rPr>
      <w:rFonts w:ascii="Times New Roman" w:eastAsia="Calibri" w:hAnsi="Times New Roman" w:cs="Arial"/>
    </w:rPr>
  </w:style>
  <w:style w:type="paragraph" w:customStyle="1" w:styleId="P68B1DB1-Normal43">
    <w:name w:val="P68B1DB1-Normal43"/>
    <w:basedOn w:val="Normal"/>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4943">
      <w:bodyDiv w:val="1"/>
      <w:marLeft w:val="0"/>
      <w:marRight w:val="0"/>
      <w:marTop w:val="0"/>
      <w:marBottom w:val="0"/>
      <w:divBdr>
        <w:top w:val="none" w:sz="0" w:space="0" w:color="auto"/>
        <w:left w:val="none" w:sz="0" w:space="0" w:color="auto"/>
        <w:bottom w:val="none" w:sz="0" w:space="0" w:color="auto"/>
        <w:right w:val="none" w:sz="0" w:space="0" w:color="auto"/>
      </w:divBdr>
      <w:divsChild>
        <w:div w:id="36709277">
          <w:marLeft w:val="0"/>
          <w:marRight w:val="0"/>
          <w:marTop w:val="0"/>
          <w:marBottom w:val="0"/>
          <w:divBdr>
            <w:top w:val="none" w:sz="0" w:space="0" w:color="auto"/>
            <w:left w:val="none" w:sz="0" w:space="0" w:color="auto"/>
            <w:bottom w:val="none" w:sz="0" w:space="0" w:color="auto"/>
            <w:right w:val="none" w:sz="0" w:space="0" w:color="auto"/>
          </w:divBdr>
        </w:div>
        <w:div w:id="885607000">
          <w:marLeft w:val="0"/>
          <w:marRight w:val="0"/>
          <w:marTop w:val="0"/>
          <w:marBottom w:val="0"/>
          <w:divBdr>
            <w:top w:val="none" w:sz="0" w:space="0" w:color="auto"/>
            <w:left w:val="none" w:sz="0" w:space="0" w:color="auto"/>
            <w:bottom w:val="none" w:sz="0" w:space="0" w:color="auto"/>
            <w:right w:val="none" w:sz="0" w:space="0" w:color="auto"/>
          </w:divBdr>
        </w:div>
        <w:div w:id="1091200009">
          <w:marLeft w:val="0"/>
          <w:marRight w:val="0"/>
          <w:marTop w:val="0"/>
          <w:marBottom w:val="0"/>
          <w:divBdr>
            <w:top w:val="none" w:sz="0" w:space="0" w:color="auto"/>
            <w:left w:val="none" w:sz="0" w:space="0" w:color="auto"/>
            <w:bottom w:val="none" w:sz="0" w:space="0" w:color="auto"/>
            <w:right w:val="none" w:sz="0" w:space="0" w:color="auto"/>
          </w:divBdr>
        </w:div>
        <w:div w:id="1143431111">
          <w:marLeft w:val="0"/>
          <w:marRight w:val="0"/>
          <w:marTop w:val="0"/>
          <w:marBottom w:val="0"/>
          <w:divBdr>
            <w:top w:val="none" w:sz="0" w:space="0" w:color="auto"/>
            <w:left w:val="none" w:sz="0" w:space="0" w:color="auto"/>
            <w:bottom w:val="none" w:sz="0" w:space="0" w:color="auto"/>
            <w:right w:val="none" w:sz="0" w:space="0" w:color="auto"/>
          </w:divBdr>
        </w:div>
        <w:div w:id="1190220550">
          <w:marLeft w:val="0"/>
          <w:marRight w:val="0"/>
          <w:marTop w:val="0"/>
          <w:marBottom w:val="0"/>
          <w:divBdr>
            <w:top w:val="none" w:sz="0" w:space="0" w:color="auto"/>
            <w:left w:val="none" w:sz="0" w:space="0" w:color="auto"/>
            <w:bottom w:val="none" w:sz="0" w:space="0" w:color="auto"/>
            <w:right w:val="none" w:sz="0" w:space="0" w:color="auto"/>
          </w:divBdr>
        </w:div>
      </w:divsChild>
    </w:div>
    <w:div w:id="31851238">
      <w:bodyDiv w:val="1"/>
      <w:marLeft w:val="0"/>
      <w:marRight w:val="0"/>
      <w:marTop w:val="0"/>
      <w:marBottom w:val="0"/>
      <w:divBdr>
        <w:top w:val="none" w:sz="0" w:space="0" w:color="auto"/>
        <w:left w:val="none" w:sz="0" w:space="0" w:color="auto"/>
        <w:bottom w:val="none" w:sz="0" w:space="0" w:color="auto"/>
        <w:right w:val="none" w:sz="0" w:space="0" w:color="auto"/>
      </w:divBdr>
    </w:div>
    <w:div w:id="31852813">
      <w:bodyDiv w:val="1"/>
      <w:marLeft w:val="0"/>
      <w:marRight w:val="0"/>
      <w:marTop w:val="0"/>
      <w:marBottom w:val="0"/>
      <w:divBdr>
        <w:top w:val="none" w:sz="0" w:space="0" w:color="auto"/>
        <w:left w:val="none" w:sz="0" w:space="0" w:color="auto"/>
        <w:bottom w:val="none" w:sz="0" w:space="0" w:color="auto"/>
        <w:right w:val="none" w:sz="0" w:space="0" w:color="auto"/>
      </w:divBdr>
    </w:div>
    <w:div w:id="95954381">
      <w:bodyDiv w:val="1"/>
      <w:marLeft w:val="0"/>
      <w:marRight w:val="0"/>
      <w:marTop w:val="0"/>
      <w:marBottom w:val="0"/>
      <w:divBdr>
        <w:top w:val="none" w:sz="0" w:space="0" w:color="auto"/>
        <w:left w:val="none" w:sz="0" w:space="0" w:color="auto"/>
        <w:bottom w:val="none" w:sz="0" w:space="0" w:color="auto"/>
        <w:right w:val="none" w:sz="0" w:space="0" w:color="auto"/>
      </w:divBdr>
      <w:divsChild>
        <w:div w:id="54090433">
          <w:marLeft w:val="0"/>
          <w:marRight w:val="0"/>
          <w:marTop w:val="0"/>
          <w:marBottom w:val="0"/>
          <w:divBdr>
            <w:top w:val="none" w:sz="0" w:space="0" w:color="auto"/>
            <w:left w:val="none" w:sz="0" w:space="0" w:color="auto"/>
            <w:bottom w:val="none" w:sz="0" w:space="0" w:color="auto"/>
            <w:right w:val="none" w:sz="0" w:space="0" w:color="auto"/>
          </w:divBdr>
          <w:divsChild>
            <w:div w:id="994339641">
              <w:marLeft w:val="0"/>
              <w:marRight w:val="0"/>
              <w:marTop w:val="0"/>
              <w:marBottom w:val="0"/>
              <w:divBdr>
                <w:top w:val="none" w:sz="0" w:space="0" w:color="auto"/>
                <w:left w:val="none" w:sz="0" w:space="0" w:color="auto"/>
                <w:bottom w:val="none" w:sz="0" w:space="0" w:color="auto"/>
                <w:right w:val="none" w:sz="0" w:space="0" w:color="auto"/>
              </w:divBdr>
            </w:div>
          </w:divsChild>
        </w:div>
        <w:div w:id="91248257">
          <w:marLeft w:val="0"/>
          <w:marRight w:val="0"/>
          <w:marTop w:val="0"/>
          <w:marBottom w:val="0"/>
          <w:divBdr>
            <w:top w:val="none" w:sz="0" w:space="0" w:color="auto"/>
            <w:left w:val="none" w:sz="0" w:space="0" w:color="auto"/>
            <w:bottom w:val="none" w:sz="0" w:space="0" w:color="auto"/>
            <w:right w:val="none" w:sz="0" w:space="0" w:color="auto"/>
          </w:divBdr>
          <w:divsChild>
            <w:div w:id="384136394">
              <w:marLeft w:val="0"/>
              <w:marRight w:val="0"/>
              <w:marTop w:val="0"/>
              <w:marBottom w:val="0"/>
              <w:divBdr>
                <w:top w:val="none" w:sz="0" w:space="0" w:color="auto"/>
                <w:left w:val="none" w:sz="0" w:space="0" w:color="auto"/>
                <w:bottom w:val="none" w:sz="0" w:space="0" w:color="auto"/>
                <w:right w:val="none" w:sz="0" w:space="0" w:color="auto"/>
              </w:divBdr>
            </w:div>
          </w:divsChild>
        </w:div>
        <w:div w:id="100338898">
          <w:marLeft w:val="0"/>
          <w:marRight w:val="0"/>
          <w:marTop w:val="0"/>
          <w:marBottom w:val="0"/>
          <w:divBdr>
            <w:top w:val="none" w:sz="0" w:space="0" w:color="auto"/>
            <w:left w:val="none" w:sz="0" w:space="0" w:color="auto"/>
            <w:bottom w:val="none" w:sz="0" w:space="0" w:color="auto"/>
            <w:right w:val="none" w:sz="0" w:space="0" w:color="auto"/>
          </w:divBdr>
          <w:divsChild>
            <w:div w:id="1824857917">
              <w:marLeft w:val="0"/>
              <w:marRight w:val="0"/>
              <w:marTop w:val="0"/>
              <w:marBottom w:val="0"/>
              <w:divBdr>
                <w:top w:val="none" w:sz="0" w:space="0" w:color="auto"/>
                <w:left w:val="none" w:sz="0" w:space="0" w:color="auto"/>
                <w:bottom w:val="none" w:sz="0" w:space="0" w:color="auto"/>
                <w:right w:val="none" w:sz="0" w:space="0" w:color="auto"/>
              </w:divBdr>
            </w:div>
          </w:divsChild>
        </w:div>
        <w:div w:id="129058844">
          <w:marLeft w:val="0"/>
          <w:marRight w:val="0"/>
          <w:marTop w:val="0"/>
          <w:marBottom w:val="0"/>
          <w:divBdr>
            <w:top w:val="none" w:sz="0" w:space="0" w:color="auto"/>
            <w:left w:val="none" w:sz="0" w:space="0" w:color="auto"/>
            <w:bottom w:val="none" w:sz="0" w:space="0" w:color="auto"/>
            <w:right w:val="none" w:sz="0" w:space="0" w:color="auto"/>
          </w:divBdr>
          <w:divsChild>
            <w:div w:id="680007962">
              <w:marLeft w:val="0"/>
              <w:marRight w:val="0"/>
              <w:marTop w:val="0"/>
              <w:marBottom w:val="0"/>
              <w:divBdr>
                <w:top w:val="none" w:sz="0" w:space="0" w:color="auto"/>
                <w:left w:val="none" w:sz="0" w:space="0" w:color="auto"/>
                <w:bottom w:val="none" w:sz="0" w:space="0" w:color="auto"/>
                <w:right w:val="none" w:sz="0" w:space="0" w:color="auto"/>
              </w:divBdr>
            </w:div>
            <w:div w:id="1957060432">
              <w:marLeft w:val="0"/>
              <w:marRight w:val="0"/>
              <w:marTop w:val="0"/>
              <w:marBottom w:val="0"/>
              <w:divBdr>
                <w:top w:val="none" w:sz="0" w:space="0" w:color="auto"/>
                <w:left w:val="none" w:sz="0" w:space="0" w:color="auto"/>
                <w:bottom w:val="none" w:sz="0" w:space="0" w:color="auto"/>
                <w:right w:val="none" w:sz="0" w:space="0" w:color="auto"/>
              </w:divBdr>
            </w:div>
          </w:divsChild>
        </w:div>
        <w:div w:id="179053224">
          <w:marLeft w:val="0"/>
          <w:marRight w:val="0"/>
          <w:marTop w:val="0"/>
          <w:marBottom w:val="0"/>
          <w:divBdr>
            <w:top w:val="none" w:sz="0" w:space="0" w:color="auto"/>
            <w:left w:val="none" w:sz="0" w:space="0" w:color="auto"/>
            <w:bottom w:val="none" w:sz="0" w:space="0" w:color="auto"/>
            <w:right w:val="none" w:sz="0" w:space="0" w:color="auto"/>
          </w:divBdr>
          <w:divsChild>
            <w:div w:id="444542773">
              <w:marLeft w:val="0"/>
              <w:marRight w:val="0"/>
              <w:marTop w:val="0"/>
              <w:marBottom w:val="0"/>
              <w:divBdr>
                <w:top w:val="none" w:sz="0" w:space="0" w:color="auto"/>
                <w:left w:val="none" w:sz="0" w:space="0" w:color="auto"/>
                <w:bottom w:val="none" w:sz="0" w:space="0" w:color="auto"/>
                <w:right w:val="none" w:sz="0" w:space="0" w:color="auto"/>
              </w:divBdr>
            </w:div>
          </w:divsChild>
        </w:div>
        <w:div w:id="179587828">
          <w:marLeft w:val="0"/>
          <w:marRight w:val="0"/>
          <w:marTop w:val="0"/>
          <w:marBottom w:val="0"/>
          <w:divBdr>
            <w:top w:val="none" w:sz="0" w:space="0" w:color="auto"/>
            <w:left w:val="none" w:sz="0" w:space="0" w:color="auto"/>
            <w:bottom w:val="none" w:sz="0" w:space="0" w:color="auto"/>
            <w:right w:val="none" w:sz="0" w:space="0" w:color="auto"/>
          </w:divBdr>
          <w:divsChild>
            <w:div w:id="1942371432">
              <w:marLeft w:val="0"/>
              <w:marRight w:val="0"/>
              <w:marTop w:val="0"/>
              <w:marBottom w:val="0"/>
              <w:divBdr>
                <w:top w:val="none" w:sz="0" w:space="0" w:color="auto"/>
                <w:left w:val="none" w:sz="0" w:space="0" w:color="auto"/>
                <w:bottom w:val="none" w:sz="0" w:space="0" w:color="auto"/>
                <w:right w:val="none" w:sz="0" w:space="0" w:color="auto"/>
              </w:divBdr>
            </w:div>
          </w:divsChild>
        </w:div>
        <w:div w:id="187792883">
          <w:marLeft w:val="0"/>
          <w:marRight w:val="0"/>
          <w:marTop w:val="0"/>
          <w:marBottom w:val="0"/>
          <w:divBdr>
            <w:top w:val="none" w:sz="0" w:space="0" w:color="auto"/>
            <w:left w:val="none" w:sz="0" w:space="0" w:color="auto"/>
            <w:bottom w:val="none" w:sz="0" w:space="0" w:color="auto"/>
            <w:right w:val="none" w:sz="0" w:space="0" w:color="auto"/>
          </w:divBdr>
          <w:divsChild>
            <w:div w:id="65543627">
              <w:marLeft w:val="0"/>
              <w:marRight w:val="0"/>
              <w:marTop w:val="0"/>
              <w:marBottom w:val="0"/>
              <w:divBdr>
                <w:top w:val="none" w:sz="0" w:space="0" w:color="auto"/>
                <w:left w:val="none" w:sz="0" w:space="0" w:color="auto"/>
                <w:bottom w:val="none" w:sz="0" w:space="0" w:color="auto"/>
                <w:right w:val="none" w:sz="0" w:space="0" w:color="auto"/>
              </w:divBdr>
            </w:div>
          </w:divsChild>
        </w:div>
        <w:div w:id="197548889">
          <w:marLeft w:val="0"/>
          <w:marRight w:val="0"/>
          <w:marTop w:val="0"/>
          <w:marBottom w:val="0"/>
          <w:divBdr>
            <w:top w:val="none" w:sz="0" w:space="0" w:color="auto"/>
            <w:left w:val="none" w:sz="0" w:space="0" w:color="auto"/>
            <w:bottom w:val="none" w:sz="0" w:space="0" w:color="auto"/>
            <w:right w:val="none" w:sz="0" w:space="0" w:color="auto"/>
          </w:divBdr>
          <w:divsChild>
            <w:div w:id="737289736">
              <w:marLeft w:val="0"/>
              <w:marRight w:val="0"/>
              <w:marTop w:val="0"/>
              <w:marBottom w:val="0"/>
              <w:divBdr>
                <w:top w:val="none" w:sz="0" w:space="0" w:color="auto"/>
                <w:left w:val="none" w:sz="0" w:space="0" w:color="auto"/>
                <w:bottom w:val="none" w:sz="0" w:space="0" w:color="auto"/>
                <w:right w:val="none" w:sz="0" w:space="0" w:color="auto"/>
              </w:divBdr>
            </w:div>
          </w:divsChild>
        </w:div>
        <w:div w:id="237788643">
          <w:marLeft w:val="0"/>
          <w:marRight w:val="0"/>
          <w:marTop w:val="0"/>
          <w:marBottom w:val="0"/>
          <w:divBdr>
            <w:top w:val="none" w:sz="0" w:space="0" w:color="auto"/>
            <w:left w:val="none" w:sz="0" w:space="0" w:color="auto"/>
            <w:bottom w:val="none" w:sz="0" w:space="0" w:color="auto"/>
            <w:right w:val="none" w:sz="0" w:space="0" w:color="auto"/>
          </w:divBdr>
          <w:divsChild>
            <w:div w:id="2110805722">
              <w:marLeft w:val="0"/>
              <w:marRight w:val="0"/>
              <w:marTop w:val="0"/>
              <w:marBottom w:val="0"/>
              <w:divBdr>
                <w:top w:val="none" w:sz="0" w:space="0" w:color="auto"/>
                <w:left w:val="none" w:sz="0" w:space="0" w:color="auto"/>
                <w:bottom w:val="none" w:sz="0" w:space="0" w:color="auto"/>
                <w:right w:val="none" w:sz="0" w:space="0" w:color="auto"/>
              </w:divBdr>
            </w:div>
          </w:divsChild>
        </w:div>
        <w:div w:id="278997191">
          <w:marLeft w:val="0"/>
          <w:marRight w:val="0"/>
          <w:marTop w:val="0"/>
          <w:marBottom w:val="0"/>
          <w:divBdr>
            <w:top w:val="none" w:sz="0" w:space="0" w:color="auto"/>
            <w:left w:val="none" w:sz="0" w:space="0" w:color="auto"/>
            <w:bottom w:val="none" w:sz="0" w:space="0" w:color="auto"/>
            <w:right w:val="none" w:sz="0" w:space="0" w:color="auto"/>
          </w:divBdr>
          <w:divsChild>
            <w:div w:id="523638949">
              <w:marLeft w:val="0"/>
              <w:marRight w:val="0"/>
              <w:marTop w:val="0"/>
              <w:marBottom w:val="0"/>
              <w:divBdr>
                <w:top w:val="none" w:sz="0" w:space="0" w:color="auto"/>
                <w:left w:val="none" w:sz="0" w:space="0" w:color="auto"/>
                <w:bottom w:val="none" w:sz="0" w:space="0" w:color="auto"/>
                <w:right w:val="none" w:sz="0" w:space="0" w:color="auto"/>
              </w:divBdr>
            </w:div>
            <w:div w:id="988217373">
              <w:marLeft w:val="0"/>
              <w:marRight w:val="0"/>
              <w:marTop w:val="0"/>
              <w:marBottom w:val="0"/>
              <w:divBdr>
                <w:top w:val="none" w:sz="0" w:space="0" w:color="auto"/>
                <w:left w:val="none" w:sz="0" w:space="0" w:color="auto"/>
                <w:bottom w:val="none" w:sz="0" w:space="0" w:color="auto"/>
                <w:right w:val="none" w:sz="0" w:space="0" w:color="auto"/>
              </w:divBdr>
            </w:div>
            <w:div w:id="1332946069">
              <w:marLeft w:val="0"/>
              <w:marRight w:val="0"/>
              <w:marTop w:val="0"/>
              <w:marBottom w:val="0"/>
              <w:divBdr>
                <w:top w:val="none" w:sz="0" w:space="0" w:color="auto"/>
                <w:left w:val="none" w:sz="0" w:space="0" w:color="auto"/>
                <w:bottom w:val="none" w:sz="0" w:space="0" w:color="auto"/>
                <w:right w:val="none" w:sz="0" w:space="0" w:color="auto"/>
              </w:divBdr>
            </w:div>
            <w:div w:id="1777283333">
              <w:marLeft w:val="0"/>
              <w:marRight w:val="0"/>
              <w:marTop w:val="0"/>
              <w:marBottom w:val="0"/>
              <w:divBdr>
                <w:top w:val="none" w:sz="0" w:space="0" w:color="auto"/>
                <w:left w:val="none" w:sz="0" w:space="0" w:color="auto"/>
                <w:bottom w:val="none" w:sz="0" w:space="0" w:color="auto"/>
                <w:right w:val="none" w:sz="0" w:space="0" w:color="auto"/>
              </w:divBdr>
            </w:div>
          </w:divsChild>
        </w:div>
        <w:div w:id="307788012">
          <w:marLeft w:val="0"/>
          <w:marRight w:val="0"/>
          <w:marTop w:val="0"/>
          <w:marBottom w:val="0"/>
          <w:divBdr>
            <w:top w:val="none" w:sz="0" w:space="0" w:color="auto"/>
            <w:left w:val="none" w:sz="0" w:space="0" w:color="auto"/>
            <w:bottom w:val="none" w:sz="0" w:space="0" w:color="auto"/>
            <w:right w:val="none" w:sz="0" w:space="0" w:color="auto"/>
          </w:divBdr>
          <w:divsChild>
            <w:div w:id="1512178568">
              <w:marLeft w:val="0"/>
              <w:marRight w:val="0"/>
              <w:marTop w:val="0"/>
              <w:marBottom w:val="0"/>
              <w:divBdr>
                <w:top w:val="none" w:sz="0" w:space="0" w:color="auto"/>
                <w:left w:val="none" w:sz="0" w:space="0" w:color="auto"/>
                <w:bottom w:val="none" w:sz="0" w:space="0" w:color="auto"/>
                <w:right w:val="none" w:sz="0" w:space="0" w:color="auto"/>
              </w:divBdr>
            </w:div>
          </w:divsChild>
        </w:div>
        <w:div w:id="346298261">
          <w:marLeft w:val="0"/>
          <w:marRight w:val="0"/>
          <w:marTop w:val="0"/>
          <w:marBottom w:val="0"/>
          <w:divBdr>
            <w:top w:val="none" w:sz="0" w:space="0" w:color="auto"/>
            <w:left w:val="none" w:sz="0" w:space="0" w:color="auto"/>
            <w:bottom w:val="none" w:sz="0" w:space="0" w:color="auto"/>
            <w:right w:val="none" w:sz="0" w:space="0" w:color="auto"/>
          </w:divBdr>
          <w:divsChild>
            <w:div w:id="1410419464">
              <w:marLeft w:val="0"/>
              <w:marRight w:val="0"/>
              <w:marTop w:val="0"/>
              <w:marBottom w:val="0"/>
              <w:divBdr>
                <w:top w:val="none" w:sz="0" w:space="0" w:color="auto"/>
                <w:left w:val="none" w:sz="0" w:space="0" w:color="auto"/>
                <w:bottom w:val="none" w:sz="0" w:space="0" w:color="auto"/>
                <w:right w:val="none" w:sz="0" w:space="0" w:color="auto"/>
              </w:divBdr>
            </w:div>
          </w:divsChild>
        </w:div>
        <w:div w:id="401413801">
          <w:marLeft w:val="0"/>
          <w:marRight w:val="0"/>
          <w:marTop w:val="0"/>
          <w:marBottom w:val="0"/>
          <w:divBdr>
            <w:top w:val="none" w:sz="0" w:space="0" w:color="auto"/>
            <w:left w:val="none" w:sz="0" w:space="0" w:color="auto"/>
            <w:bottom w:val="none" w:sz="0" w:space="0" w:color="auto"/>
            <w:right w:val="none" w:sz="0" w:space="0" w:color="auto"/>
          </w:divBdr>
          <w:divsChild>
            <w:div w:id="239339364">
              <w:marLeft w:val="0"/>
              <w:marRight w:val="0"/>
              <w:marTop w:val="0"/>
              <w:marBottom w:val="0"/>
              <w:divBdr>
                <w:top w:val="none" w:sz="0" w:space="0" w:color="auto"/>
                <w:left w:val="none" w:sz="0" w:space="0" w:color="auto"/>
                <w:bottom w:val="none" w:sz="0" w:space="0" w:color="auto"/>
                <w:right w:val="none" w:sz="0" w:space="0" w:color="auto"/>
              </w:divBdr>
            </w:div>
          </w:divsChild>
        </w:div>
        <w:div w:id="418675209">
          <w:marLeft w:val="0"/>
          <w:marRight w:val="0"/>
          <w:marTop w:val="0"/>
          <w:marBottom w:val="0"/>
          <w:divBdr>
            <w:top w:val="none" w:sz="0" w:space="0" w:color="auto"/>
            <w:left w:val="none" w:sz="0" w:space="0" w:color="auto"/>
            <w:bottom w:val="none" w:sz="0" w:space="0" w:color="auto"/>
            <w:right w:val="none" w:sz="0" w:space="0" w:color="auto"/>
          </w:divBdr>
          <w:divsChild>
            <w:div w:id="1618366460">
              <w:marLeft w:val="0"/>
              <w:marRight w:val="0"/>
              <w:marTop w:val="0"/>
              <w:marBottom w:val="0"/>
              <w:divBdr>
                <w:top w:val="none" w:sz="0" w:space="0" w:color="auto"/>
                <w:left w:val="none" w:sz="0" w:space="0" w:color="auto"/>
                <w:bottom w:val="none" w:sz="0" w:space="0" w:color="auto"/>
                <w:right w:val="none" w:sz="0" w:space="0" w:color="auto"/>
              </w:divBdr>
            </w:div>
          </w:divsChild>
        </w:div>
        <w:div w:id="460851997">
          <w:marLeft w:val="0"/>
          <w:marRight w:val="0"/>
          <w:marTop w:val="0"/>
          <w:marBottom w:val="0"/>
          <w:divBdr>
            <w:top w:val="none" w:sz="0" w:space="0" w:color="auto"/>
            <w:left w:val="none" w:sz="0" w:space="0" w:color="auto"/>
            <w:bottom w:val="none" w:sz="0" w:space="0" w:color="auto"/>
            <w:right w:val="none" w:sz="0" w:space="0" w:color="auto"/>
          </w:divBdr>
          <w:divsChild>
            <w:div w:id="345979759">
              <w:marLeft w:val="0"/>
              <w:marRight w:val="0"/>
              <w:marTop w:val="0"/>
              <w:marBottom w:val="0"/>
              <w:divBdr>
                <w:top w:val="none" w:sz="0" w:space="0" w:color="auto"/>
                <w:left w:val="none" w:sz="0" w:space="0" w:color="auto"/>
                <w:bottom w:val="none" w:sz="0" w:space="0" w:color="auto"/>
                <w:right w:val="none" w:sz="0" w:space="0" w:color="auto"/>
              </w:divBdr>
            </w:div>
          </w:divsChild>
        </w:div>
        <w:div w:id="467207904">
          <w:marLeft w:val="0"/>
          <w:marRight w:val="0"/>
          <w:marTop w:val="0"/>
          <w:marBottom w:val="0"/>
          <w:divBdr>
            <w:top w:val="none" w:sz="0" w:space="0" w:color="auto"/>
            <w:left w:val="none" w:sz="0" w:space="0" w:color="auto"/>
            <w:bottom w:val="none" w:sz="0" w:space="0" w:color="auto"/>
            <w:right w:val="none" w:sz="0" w:space="0" w:color="auto"/>
          </w:divBdr>
          <w:divsChild>
            <w:div w:id="1754282262">
              <w:marLeft w:val="0"/>
              <w:marRight w:val="0"/>
              <w:marTop w:val="0"/>
              <w:marBottom w:val="0"/>
              <w:divBdr>
                <w:top w:val="none" w:sz="0" w:space="0" w:color="auto"/>
                <w:left w:val="none" w:sz="0" w:space="0" w:color="auto"/>
                <w:bottom w:val="none" w:sz="0" w:space="0" w:color="auto"/>
                <w:right w:val="none" w:sz="0" w:space="0" w:color="auto"/>
              </w:divBdr>
            </w:div>
          </w:divsChild>
        </w:div>
        <w:div w:id="495076352">
          <w:marLeft w:val="0"/>
          <w:marRight w:val="0"/>
          <w:marTop w:val="0"/>
          <w:marBottom w:val="0"/>
          <w:divBdr>
            <w:top w:val="none" w:sz="0" w:space="0" w:color="auto"/>
            <w:left w:val="none" w:sz="0" w:space="0" w:color="auto"/>
            <w:bottom w:val="none" w:sz="0" w:space="0" w:color="auto"/>
            <w:right w:val="none" w:sz="0" w:space="0" w:color="auto"/>
          </w:divBdr>
          <w:divsChild>
            <w:div w:id="1409695062">
              <w:marLeft w:val="0"/>
              <w:marRight w:val="0"/>
              <w:marTop w:val="0"/>
              <w:marBottom w:val="0"/>
              <w:divBdr>
                <w:top w:val="none" w:sz="0" w:space="0" w:color="auto"/>
                <w:left w:val="none" w:sz="0" w:space="0" w:color="auto"/>
                <w:bottom w:val="none" w:sz="0" w:space="0" w:color="auto"/>
                <w:right w:val="none" w:sz="0" w:space="0" w:color="auto"/>
              </w:divBdr>
            </w:div>
          </w:divsChild>
        </w:div>
        <w:div w:id="520706124">
          <w:marLeft w:val="0"/>
          <w:marRight w:val="0"/>
          <w:marTop w:val="0"/>
          <w:marBottom w:val="0"/>
          <w:divBdr>
            <w:top w:val="none" w:sz="0" w:space="0" w:color="auto"/>
            <w:left w:val="none" w:sz="0" w:space="0" w:color="auto"/>
            <w:bottom w:val="none" w:sz="0" w:space="0" w:color="auto"/>
            <w:right w:val="none" w:sz="0" w:space="0" w:color="auto"/>
          </w:divBdr>
          <w:divsChild>
            <w:div w:id="2085376010">
              <w:marLeft w:val="0"/>
              <w:marRight w:val="0"/>
              <w:marTop w:val="0"/>
              <w:marBottom w:val="0"/>
              <w:divBdr>
                <w:top w:val="none" w:sz="0" w:space="0" w:color="auto"/>
                <w:left w:val="none" w:sz="0" w:space="0" w:color="auto"/>
                <w:bottom w:val="none" w:sz="0" w:space="0" w:color="auto"/>
                <w:right w:val="none" w:sz="0" w:space="0" w:color="auto"/>
              </w:divBdr>
            </w:div>
          </w:divsChild>
        </w:div>
        <w:div w:id="652679469">
          <w:marLeft w:val="0"/>
          <w:marRight w:val="0"/>
          <w:marTop w:val="0"/>
          <w:marBottom w:val="0"/>
          <w:divBdr>
            <w:top w:val="none" w:sz="0" w:space="0" w:color="auto"/>
            <w:left w:val="none" w:sz="0" w:space="0" w:color="auto"/>
            <w:bottom w:val="none" w:sz="0" w:space="0" w:color="auto"/>
            <w:right w:val="none" w:sz="0" w:space="0" w:color="auto"/>
          </w:divBdr>
          <w:divsChild>
            <w:div w:id="1756245667">
              <w:marLeft w:val="0"/>
              <w:marRight w:val="0"/>
              <w:marTop w:val="0"/>
              <w:marBottom w:val="0"/>
              <w:divBdr>
                <w:top w:val="none" w:sz="0" w:space="0" w:color="auto"/>
                <w:left w:val="none" w:sz="0" w:space="0" w:color="auto"/>
                <w:bottom w:val="none" w:sz="0" w:space="0" w:color="auto"/>
                <w:right w:val="none" w:sz="0" w:space="0" w:color="auto"/>
              </w:divBdr>
            </w:div>
          </w:divsChild>
        </w:div>
        <w:div w:id="660233788">
          <w:marLeft w:val="0"/>
          <w:marRight w:val="0"/>
          <w:marTop w:val="0"/>
          <w:marBottom w:val="0"/>
          <w:divBdr>
            <w:top w:val="none" w:sz="0" w:space="0" w:color="auto"/>
            <w:left w:val="none" w:sz="0" w:space="0" w:color="auto"/>
            <w:bottom w:val="none" w:sz="0" w:space="0" w:color="auto"/>
            <w:right w:val="none" w:sz="0" w:space="0" w:color="auto"/>
          </w:divBdr>
          <w:divsChild>
            <w:div w:id="1146049343">
              <w:marLeft w:val="0"/>
              <w:marRight w:val="0"/>
              <w:marTop w:val="0"/>
              <w:marBottom w:val="0"/>
              <w:divBdr>
                <w:top w:val="none" w:sz="0" w:space="0" w:color="auto"/>
                <w:left w:val="none" w:sz="0" w:space="0" w:color="auto"/>
                <w:bottom w:val="none" w:sz="0" w:space="0" w:color="auto"/>
                <w:right w:val="none" w:sz="0" w:space="0" w:color="auto"/>
              </w:divBdr>
            </w:div>
          </w:divsChild>
        </w:div>
        <w:div w:id="670641735">
          <w:marLeft w:val="0"/>
          <w:marRight w:val="0"/>
          <w:marTop w:val="0"/>
          <w:marBottom w:val="0"/>
          <w:divBdr>
            <w:top w:val="none" w:sz="0" w:space="0" w:color="auto"/>
            <w:left w:val="none" w:sz="0" w:space="0" w:color="auto"/>
            <w:bottom w:val="none" w:sz="0" w:space="0" w:color="auto"/>
            <w:right w:val="none" w:sz="0" w:space="0" w:color="auto"/>
          </w:divBdr>
          <w:divsChild>
            <w:div w:id="1579825807">
              <w:marLeft w:val="0"/>
              <w:marRight w:val="0"/>
              <w:marTop w:val="0"/>
              <w:marBottom w:val="0"/>
              <w:divBdr>
                <w:top w:val="none" w:sz="0" w:space="0" w:color="auto"/>
                <w:left w:val="none" w:sz="0" w:space="0" w:color="auto"/>
                <w:bottom w:val="none" w:sz="0" w:space="0" w:color="auto"/>
                <w:right w:val="none" w:sz="0" w:space="0" w:color="auto"/>
              </w:divBdr>
            </w:div>
          </w:divsChild>
        </w:div>
        <w:div w:id="672033127">
          <w:marLeft w:val="0"/>
          <w:marRight w:val="0"/>
          <w:marTop w:val="0"/>
          <w:marBottom w:val="0"/>
          <w:divBdr>
            <w:top w:val="none" w:sz="0" w:space="0" w:color="auto"/>
            <w:left w:val="none" w:sz="0" w:space="0" w:color="auto"/>
            <w:bottom w:val="none" w:sz="0" w:space="0" w:color="auto"/>
            <w:right w:val="none" w:sz="0" w:space="0" w:color="auto"/>
          </w:divBdr>
          <w:divsChild>
            <w:div w:id="582222439">
              <w:marLeft w:val="0"/>
              <w:marRight w:val="0"/>
              <w:marTop w:val="0"/>
              <w:marBottom w:val="0"/>
              <w:divBdr>
                <w:top w:val="none" w:sz="0" w:space="0" w:color="auto"/>
                <w:left w:val="none" w:sz="0" w:space="0" w:color="auto"/>
                <w:bottom w:val="none" w:sz="0" w:space="0" w:color="auto"/>
                <w:right w:val="none" w:sz="0" w:space="0" w:color="auto"/>
              </w:divBdr>
            </w:div>
          </w:divsChild>
        </w:div>
        <w:div w:id="672491153">
          <w:marLeft w:val="0"/>
          <w:marRight w:val="0"/>
          <w:marTop w:val="0"/>
          <w:marBottom w:val="0"/>
          <w:divBdr>
            <w:top w:val="none" w:sz="0" w:space="0" w:color="auto"/>
            <w:left w:val="none" w:sz="0" w:space="0" w:color="auto"/>
            <w:bottom w:val="none" w:sz="0" w:space="0" w:color="auto"/>
            <w:right w:val="none" w:sz="0" w:space="0" w:color="auto"/>
          </w:divBdr>
          <w:divsChild>
            <w:div w:id="789275669">
              <w:marLeft w:val="0"/>
              <w:marRight w:val="0"/>
              <w:marTop w:val="0"/>
              <w:marBottom w:val="0"/>
              <w:divBdr>
                <w:top w:val="none" w:sz="0" w:space="0" w:color="auto"/>
                <w:left w:val="none" w:sz="0" w:space="0" w:color="auto"/>
                <w:bottom w:val="none" w:sz="0" w:space="0" w:color="auto"/>
                <w:right w:val="none" w:sz="0" w:space="0" w:color="auto"/>
              </w:divBdr>
            </w:div>
          </w:divsChild>
        </w:div>
        <w:div w:id="738215915">
          <w:marLeft w:val="0"/>
          <w:marRight w:val="0"/>
          <w:marTop w:val="0"/>
          <w:marBottom w:val="0"/>
          <w:divBdr>
            <w:top w:val="none" w:sz="0" w:space="0" w:color="auto"/>
            <w:left w:val="none" w:sz="0" w:space="0" w:color="auto"/>
            <w:bottom w:val="none" w:sz="0" w:space="0" w:color="auto"/>
            <w:right w:val="none" w:sz="0" w:space="0" w:color="auto"/>
          </w:divBdr>
          <w:divsChild>
            <w:div w:id="1204949027">
              <w:marLeft w:val="0"/>
              <w:marRight w:val="0"/>
              <w:marTop w:val="0"/>
              <w:marBottom w:val="0"/>
              <w:divBdr>
                <w:top w:val="none" w:sz="0" w:space="0" w:color="auto"/>
                <w:left w:val="none" w:sz="0" w:space="0" w:color="auto"/>
                <w:bottom w:val="none" w:sz="0" w:space="0" w:color="auto"/>
                <w:right w:val="none" w:sz="0" w:space="0" w:color="auto"/>
              </w:divBdr>
            </w:div>
            <w:div w:id="1757822565">
              <w:marLeft w:val="0"/>
              <w:marRight w:val="0"/>
              <w:marTop w:val="0"/>
              <w:marBottom w:val="0"/>
              <w:divBdr>
                <w:top w:val="none" w:sz="0" w:space="0" w:color="auto"/>
                <w:left w:val="none" w:sz="0" w:space="0" w:color="auto"/>
                <w:bottom w:val="none" w:sz="0" w:space="0" w:color="auto"/>
                <w:right w:val="none" w:sz="0" w:space="0" w:color="auto"/>
              </w:divBdr>
            </w:div>
          </w:divsChild>
        </w:div>
        <w:div w:id="767896892">
          <w:marLeft w:val="0"/>
          <w:marRight w:val="0"/>
          <w:marTop w:val="0"/>
          <w:marBottom w:val="0"/>
          <w:divBdr>
            <w:top w:val="none" w:sz="0" w:space="0" w:color="auto"/>
            <w:left w:val="none" w:sz="0" w:space="0" w:color="auto"/>
            <w:bottom w:val="none" w:sz="0" w:space="0" w:color="auto"/>
            <w:right w:val="none" w:sz="0" w:space="0" w:color="auto"/>
          </w:divBdr>
          <w:divsChild>
            <w:div w:id="1257254423">
              <w:marLeft w:val="0"/>
              <w:marRight w:val="0"/>
              <w:marTop w:val="0"/>
              <w:marBottom w:val="0"/>
              <w:divBdr>
                <w:top w:val="none" w:sz="0" w:space="0" w:color="auto"/>
                <w:left w:val="none" w:sz="0" w:space="0" w:color="auto"/>
                <w:bottom w:val="none" w:sz="0" w:space="0" w:color="auto"/>
                <w:right w:val="none" w:sz="0" w:space="0" w:color="auto"/>
              </w:divBdr>
            </w:div>
          </w:divsChild>
        </w:div>
        <w:div w:id="906259672">
          <w:marLeft w:val="0"/>
          <w:marRight w:val="0"/>
          <w:marTop w:val="0"/>
          <w:marBottom w:val="0"/>
          <w:divBdr>
            <w:top w:val="none" w:sz="0" w:space="0" w:color="auto"/>
            <w:left w:val="none" w:sz="0" w:space="0" w:color="auto"/>
            <w:bottom w:val="none" w:sz="0" w:space="0" w:color="auto"/>
            <w:right w:val="none" w:sz="0" w:space="0" w:color="auto"/>
          </w:divBdr>
          <w:divsChild>
            <w:div w:id="2019578493">
              <w:marLeft w:val="0"/>
              <w:marRight w:val="0"/>
              <w:marTop w:val="0"/>
              <w:marBottom w:val="0"/>
              <w:divBdr>
                <w:top w:val="none" w:sz="0" w:space="0" w:color="auto"/>
                <w:left w:val="none" w:sz="0" w:space="0" w:color="auto"/>
                <w:bottom w:val="none" w:sz="0" w:space="0" w:color="auto"/>
                <w:right w:val="none" w:sz="0" w:space="0" w:color="auto"/>
              </w:divBdr>
            </w:div>
          </w:divsChild>
        </w:div>
        <w:div w:id="921765581">
          <w:marLeft w:val="0"/>
          <w:marRight w:val="0"/>
          <w:marTop w:val="0"/>
          <w:marBottom w:val="0"/>
          <w:divBdr>
            <w:top w:val="none" w:sz="0" w:space="0" w:color="auto"/>
            <w:left w:val="none" w:sz="0" w:space="0" w:color="auto"/>
            <w:bottom w:val="none" w:sz="0" w:space="0" w:color="auto"/>
            <w:right w:val="none" w:sz="0" w:space="0" w:color="auto"/>
          </w:divBdr>
          <w:divsChild>
            <w:div w:id="295991067">
              <w:marLeft w:val="0"/>
              <w:marRight w:val="0"/>
              <w:marTop w:val="0"/>
              <w:marBottom w:val="0"/>
              <w:divBdr>
                <w:top w:val="none" w:sz="0" w:space="0" w:color="auto"/>
                <w:left w:val="none" w:sz="0" w:space="0" w:color="auto"/>
                <w:bottom w:val="none" w:sz="0" w:space="0" w:color="auto"/>
                <w:right w:val="none" w:sz="0" w:space="0" w:color="auto"/>
              </w:divBdr>
            </w:div>
            <w:div w:id="659114049">
              <w:marLeft w:val="0"/>
              <w:marRight w:val="0"/>
              <w:marTop w:val="0"/>
              <w:marBottom w:val="0"/>
              <w:divBdr>
                <w:top w:val="none" w:sz="0" w:space="0" w:color="auto"/>
                <w:left w:val="none" w:sz="0" w:space="0" w:color="auto"/>
                <w:bottom w:val="none" w:sz="0" w:space="0" w:color="auto"/>
                <w:right w:val="none" w:sz="0" w:space="0" w:color="auto"/>
              </w:divBdr>
            </w:div>
            <w:div w:id="1022707386">
              <w:marLeft w:val="0"/>
              <w:marRight w:val="0"/>
              <w:marTop w:val="0"/>
              <w:marBottom w:val="0"/>
              <w:divBdr>
                <w:top w:val="none" w:sz="0" w:space="0" w:color="auto"/>
                <w:left w:val="none" w:sz="0" w:space="0" w:color="auto"/>
                <w:bottom w:val="none" w:sz="0" w:space="0" w:color="auto"/>
                <w:right w:val="none" w:sz="0" w:space="0" w:color="auto"/>
              </w:divBdr>
            </w:div>
            <w:div w:id="1446650987">
              <w:marLeft w:val="0"/>
              <w:marRight w:val="0"/>
              <w:marTop w:val="0"/>
              <w:marBottom w:val="0"/>
              <w:divBdr>
                <w:top w:val="none" w:sz="0" w:space="0" w:color="auto"/>
                <w:left w:val="none" w:sz="0" w:space="0" w:color="auto"/>
                <w:bottom w:val="none" w:sz="0" w:space="0" w:color="auto"/>
                <w:right w:val="none" w:sz="0" w:space="0" w:color="auto"/>
              </w:divBdr>
            </w:div>
            <w:div w:id="1657762134">
              <w:marLeft w:val="0"/>
              <w:marRight w:val="0"/>
              <w:marTop w:val="0"/>
              <w:marBottom w:val="0"/>
              <w:divBdr>
                <w:top w:val="none" w:sz="0" w:space="0" w:color="auto"/>
                <w:left w:val="none" w:sz="0" w:space="0" w:color="auto"/>
                <w:bottom w:val="none" w:sz="0" w:space="0" w:color="auto"/>
                <w:right w:val="none" w:sz="0" w:space="0" w:color="auto"/>
              </w:divBdr>
            </w:div>
            <w:div w:id="1728340443">
              <w:marLeft w:val="0"/>
              <w:marRight w:val="0"/>
              <w:marTop w:val="0"/>
              <w:marBottom w:val="0"/>
              <w:divBdr>
                <w:top w:val="none" w:sz="0" w:space="0" w:color="auto"/>
                <w:left w:val="none" w:sz="0" w:space="0" w:color="auto"/>
                <w:bottom w:val="none" w:sz="0" w:space="0" w:color="auto"/>
                <w:right w:val="none" w:sz="0" w:space="0" w:color="auto"/>
              </w:divBdr>
            </w:div>
            <w:div w:id="2024090689">
              <w:marLeft w:val="0"/>
              <w:marRight w:val="0"/>
              <w:marTop w:val="0"/>
              <w:marBottom w:val="0"/>
              <w:divBdr>
                <w:top w:val="none" w:sz="0" w:space="0" w:color="auto"/>
                <w:left w:val="none" w:sz="0" w:space="0" w:color="auto"/>
                <w:bottom w:val="none" w:sz="0" w:space="0" w:color="auto"/>
                <w:right w:val="none" w:sz="0" w:space="0" w:color="auto"/>
              </w:divBdr>
            </w:div>
            <w:div w:id="2100325546">
              <w:marLeft w:val="0"/>
              <w:marRight w:val="0"/>
              <w:marTop w:val="0"/>
              <w:marBottom w:val="0"/>
              <w:divBdr>
                <w:top w:val="none" w:sz="0" w:space="0" w:color="auto"/>
                <w:left w:val="none" w:sz="0" w:space="0" w:color="auto"/>
                <w:bottom w:val="none" w:sz="0" w:space="0" w:color="auto"/>
                <w:right w:val="none" w:sz="0" w:space="0" w:color="auto"/>
              </w:divBdr>
            </w:div>
          </w:divsChild>
        </w:div>
        <w:div w:id="939485613">
          <w:marLeft w:val="0"/>
          <w:marRight w:val="0"/>
          <w:marTop w:val="0"/>
          <w:marBottom w:val="0"/>
          <w:divBdr>
            <w:top w:val="none" w:sz="0" w:space="0" w:color="auto"/>
            <w:left w:val="none" w:sz="0" w:space="0" w:color="auto"/>
            <w:bottom w:val="none" w:sz="0" w:space="0" w:color="auto"/>
            <w:right w:val="none" w:sz="0" w:space="0" w:color="auto"/>
          </w:divBdr>
          <w:divsChild>
            <w:div w:id="864755422">
              <w:marLeft w:val="0"/>
              <w:marRight w:val="0"/>
              <w:marTop w:val="0"/>
              <w:marBottom w:val="0"/>
              <w:divBdr>
                <w:top w:val="none" w:sz="0" w:space="0" w:color="auto"/>
                <w:left w:val="none" w:sz="0" w:space="0" w:color="auto"/>
                <w:bottom w:val="none" w:sz="0" w:space="0" w:color="auto"/>
                <w:right w:val="none" w:sz="0" w:space="0" w:color="auto"/>
              </w:divBdr>
            </w:div>
          </w:divsChild>
        </w:div>
        <w:div w:id="946540493">
          <w:marLeft w:val="0"/>
          <w:marRight w:val="0"/>
          <w:marTop w:val="0"/>
          <w:marBottom w:val="0"/>
          <w:divBdr>
            <w:top w:val="none" w:sz="0" w:space="0" w:color="auto"/>
            <w:left w:val="none" w:sz="0" w:space="0" w:color="auto"/>
            <w:bottom w:val="none" w:sz="0" w:space="0" w:color="auto"/>
            <w:right w:val="none" w:sz="0" w:space="0" w:color="auto"/>
          </w:divBdr>
          <w:divsChild>
            <w:div w:id="615907930">
              <w:marLeft w:val="0"/>
              <w:marRight w:val="0"/>
              <w:marTop w:val="0"/>
              <w:marBottom w:val="0"/>
              <w:divBdr>
                <w:top w:val="none" w:sz="0" w:space="0" w:color="auto"/>
                <w:left w:val="none" w:sz="0" w:space="0" w:color="auto"/>
                <w:bottom w:val="none" w:sz="0" w:space="0" w:color="auto"/>
                <w:right w:val="none" w:sz="0" w:space="0" w:color="auto"/>
              </w:divBdr>
            </w:div>
          </w:divsChild>
        </w:div>
        <w:div w:id="949312167">
          <w:marLeft w:val="0"/>
          <w:marRight w:val="0"/>
          <w:marTop w:val="0"/>
          <w:marBottom w:val="0"/>
          <w:divBdr>
            <w:top w:val="none" w:sz="0" w:space="0" w:color="auto"/>
            <w:left w:val="none" w:sz="0" w:space="0" w:color="auto"/>
            <w:bottom w:val="none" w:sz="0" w:space="0" w:color="auto"/>
            <w:right w:val="none" w:sz="0" w:space="0" w:color="auto"/>
          </w:divBdr>
          <w:divsChild>
            <w:div w:id="1251501875">
              <w:marLeft w:val="0"/>
              <w:marRight w:val="0"/>
              <w:marTop w:val="0"/>
              <w:marBottom w:val="0"/>
              <w:divBdr>
                <w:top w:val="none" w:sz="0" w:space="0" w:color="auto"/>
                <w:left w:val="none" w:sz="0" w:space="0" w:color="auto"/>
                <w:bottom w:val="none" w:sz="0" w:space="0" w:color="auto"/>
                <w:right w:val="none" w:sz="0" w:space="0" w:color="auto"/>
              </w:divBdr>
            </w:div>
          </w:divsChild>
        </w:div>
        <w:div w:id="1044016595">
          <w:marLeft w:val="0"/>
          <w:marRight w:val="0"/>
          <w:marTop w:val="0"/>
          <w:marBottom w:val="0"/>
          <w:divBdr>
            <w:top w:val="none" w:sz="0" w:space="0" w:color="auto"/>
            <w:left w:val="none" w:sz="0" w:space="0" w:color="auto"/>
            <w:bottom w:val="none" w:sz="0" w:space="0" w:color="auto"/>
            <w:right w:val="none" w:sz="0" w:space="0" w:color="auto"/>
          </w:divBdr>
          <w:divsChild>
            <w:div w:id="2041316697">
              <w:marLeft w:val="0"/>
              <w:marRight w:val="0"/>
              <w:marTop w:val="0"/>
              <w:marBottom w:val="0"/>
              <w:divBdr>
                <w:top w:val="none" w:sz="0" w:space="0" w:color="auto"/>
                <w:left w:val="none" w:sz="0" w:space="0" w:color="auto"/>
                <w:bottom w:val="none" w:sz="0" w:space="0" w:color="auto"/>
                <w:right w:val="none" w:sz="0" w:space="0" w:color="auto"/>
              </w:divBdr>
            </w:div>
          </w:divsChild>
        </w:div>
        <w:div w:id="1157260364">
          <w:marLeft w:val="0"/>
          <w:marRight w:val="0"/>
          <w:marTop w:val="0"/>
          <w:marBottom w:val="0"/>
          <w:divBdr>
            <w:top w:val="none" w:sz="0" w:space="0" w:color="auto"/>
            <w:left w:val="none" w:sz="0" w:space="0" w:color="auto"/>
            <w:bottom w:val="none" w:sz="0" w:space="0" w:color="auto"/>
            <w:right w:val="none" w:sz="0" w:space="0" w:color="auto"/>
          </w:divBdr>
          <w:divsChild>
            <w:div w:id="1220288125">
              <w:marLeft w:val="0"/>
              <w:marRight w:val="0"/>
              <w:marTop w:val="0"/>
              <w:marBottom w:val="0"/>
              <w:divBdr>
                <w:top w:val="none" w:sz="0" w:space="0" w:color="auto"/>
                <w:left w:val="none" w:sz="0" w:space="0" w:color="auto"/>
                <w:bottom w:val="none" w:sz="0" w:space="0" w:color="auto"/>
                <w:right w:val="none" w:sz="0" w:space="0" w:color="auto"/>
              </w:divBdr>
            </w:div>
          </w:divsChild>
        </w:div>
        <w:div w:id="1223129223">
          <w:marLeft w:val="0"/>
          <w:marRight w:val="0"/>
          <w:marTop w:val="0"/>
          <w:marBottom w:val="0"/>
          <w:divBdr>
            <w:top w:val="none" w:sz="0" w:space="0" w:color="auto"/>
            <w:left w:val="none" w:sz="0" w:space="0" w:color="auto"/>
            <w:bottom w:val="none" w:sz="0" w:space="0" w:color="auto"/>
            <w:right w:val="none" w:sz="0" w:space="0" w:color="auto"/>
          </w:divBdr>
          <w:divsChild>
            <w:div w:id="1718699732">
              <w:marLeft w:val="0"/>
              <w:marRight w:val="0"/>
              <w:marTop w:val="0"/>
              <w:marBottom w:val="0"/>
              <w:divBdr>
                <w:top w:val="none" w:sz="0" w:space="0" w:color="auto"/>
                <w:left w:val="none" w:sz="0" w:space="0" w:color="auto"/>
                <w:bottom w:val="none" w:sz="0" w:space="0" w:color="auto"/>
                <w:right w:val="none" w:sz="0" w:space="0" w:color="auto"/>
              </w:divBdr>
            </w:div>
          </w:divsChild>
        </w:div>
        <w:div w:id="1283265125">
          <w:marLeft w:val="0"/>
          <w:marRight w:val="0"/>
          <w:marTop w:val="0"/>
          <w:marBottom w:val="0"/>
          <w:divBdr>
            <w:top w:val="none" w:sz="0" w:space="0" w:color="auto"/>
            <w:left w:val="none" w:sz="0" w:space="0" w:color="auto"/>
            <w:bottom w:val="none" w:sz="0" w:space="0" w:color="auto"/>
            <w:right w:val="none" w:sz="0" w:space="0" w:color="auto"/>
          </w:divBdr>
          <w:divsChild>
            <w:div w:id="1813869698">
              <w:marLeft w:val="0"/>
              <w:marRight w:val="0"/>
              <w:marTop w:val="0"/>
              <w:marBottom w:val="0"/>
              <w:divBdr>
                <w:top w:val="none" w:sz="0" w:space="0" w:color="auto"/>
                <w:left w:val="none" w:sz="0" w:space="0" w:color="auto"/>
                <w:bottom w:val="none" w:sz="0" w:space="0" w:color="auto"/>
                <w:right w:val="none" w:sz="0" w:space="0" w:color="auto"/>
              </w:divBdr>
            </w:div>
          </w:divsChild>
        </w:div>
        <w:div w:id="1370453126">
          <w:marLeft w:val="0"/>
          <w:marRight w:val="0"/>
          <w:marTop w:val="0"/>
          <w:marBottom w:val="0"/>
          <w:divBdr>
            <w:top w:val="none" w:sz="0" w:space="0" w:color="auto"/>
            <w:left w:val="none" w:sz="0" w:space="0" w:color="auto"/>
            <w:bottom w:val="none" w:sz="0" w:space="0" w:color="auto"/>
            <w:right w:val="none" w:sz="0" w:space="0" w:color="auto"/>
          </w:divBdr>
          <w:divsChild>
            <w:div w:id="828210877">
              <w:marLeft w:val="0"/>
              <w:marRight w:val="0"/>
              <w:marTop w:val="0"/>
              <w:marBottom w:val="0"/>
              <w:divBdr>
                <w:top w:val="none" w:sz="0" w:space="0" w:color="auto"/>
                <w:left w:val="none" w:sz="0" w:space="0" w:color="auto"/>
                <w:bottom w:val="none" w:sz="0" w:space="0" w:color="auto"/>
                <w:right w:val="none" w:sz="0" w:space="0" w:color="auto"/>
              </w:divBdr>
            </w:div>
          </w:divsChild>
        </w:div>
        <w:div w:id="1371227450">
          <w:marLeft w:val="0"/>
          <w:marRight w:val="0"/>
          <w:marTop w:val="0"/>
          <w:marBottom w:val="0"/>
          <w:divBdr>
            <w:top w:val="none" w:sz="0" w:space="0" w:color="auto"/>
            <w:left w:val="none" w:sz="0" w:space="0" w:color="auto"/>
            <w:bottom w:val="none" w:sz="0" w:space="0" w:color="auto"/>
            <w:right w:val="none" w:sz="0" w:space="0" w:color="auto"/>
          </w:divBdr>
          <w:divsChild>
            <w:div w:id="900362457">
              <w:marLeft w:val="0"/>
              <w:marRight w:val="0"/>
              <w:marTop w:val="0"/>
              <w:marBottom w:val="0"/>
              <w:divBdr>
                <w:top w:val="none" w:sz="0" w:space="0" w:color="auto"/>
                <w:left w:val="none" w:sz="0" w:space="0" w:color="auto"/>
                <w:bottom w:val="none" w:sz="0" w:space="0" w:color="auto"/>
                <w:right w:val="none" w:sz="0" w:space="0" w:color="auto"/>
              </w:divBdr>
            </w:div>
          </w:divsChild>
        </w:div>
        <w:div w:id="1395273421">
          <w:marLeft w:val="0"/>
          <w:marRight w:val="0"/>
          <w:marTop w:val="0"/>
          <w:marBottom w:val="0"/>
          <w:divBdr>
            <w:top w:val="none" w:sz="0" w:space="0" w:color="auto"/>
            <w:left w:val="none" w:sz="0" w:space="0" w:color="auto"/>
            <w:bottom w:val="none" w:sz="0" w:space="0" w:color="auto"/>
            <w:right w:val="none" w:sz="0" w:space="0" w:color="auto"/>
          </w:divBdr>
          <w:divsChild>
            <w:div w:id="1753165963">
              <w:marLeft w:val="0"/>
              <w:marRight w:val="0"/>
              <w:marTop w:val="0"/>
              <w:marBottom w:val="0"/>
              <w:divBdr>
                <w:top w:val="none" w:sz="0" w:space="0" w:color="auto"/>
                <w:left w:val="none" w:sz="0" w:space="0" w:color="auto"/>
                <w:bottom w:val="none" w:sz="0" w:space="0" w:color="auto"/>
                <w:right w:val="none" w:sz="0" w:space="0" w:color="auto"/>
              </w:divBdr>
            </w:div>
          </w:divsChild>
        </w:div>
        <w:div w:id="1443302986">
          <w:marLeft w:val="0"/>
          <w:marRight w:val="0"/>
          <w:marTop w:val="0"/>
          <w:marBottom w:val="0"/>
          <w:divBdr>
            <w:top w:val="none" w:sz="0" w:space="0" w:color="auto"/>
            <w:left w:val="none" w:sz="0" w:space="0" w:color="auto"/>
            <w:bottom w:val="none" w:sz="0" w:space="0" w:color="auto"/>
            <w:right w:val="none" w:sz="0" w:space="0" w:color="auto"/>
          </w:divBdr>
          <w:divsChild>
            <w:div w:id="1309168772">
              <w:marLeft w:val="0"/>
              <w:marRight w:val="0"/>
              <w:marTop w:val="0"/>
              <w:marBottom w:val="0"/>
              <w:divBdr>
                <w:top w:val="none" w:sz="0" w:space="0" w:color="auto"/>
                <w:left w:val="none" w:sz="0" w:space="0" w:color="auto"/>
                <w:bottom w:val="none" w:sz="0" w:space="0" w:color="auto"/>
                <w:right w:val="none" w:sz="0" w:space="0" w:color="auto"/>
              </w:divBdr>
            </w:div>
            <w:div w:id="2096856775">
              <w:marLeft w:val="0"/>
              <w:marRight w:val="0"/>
              <w:marTop w:val="0"/>
              <w:marBottom w:val="0"/>
              <w:divBdr>
                <w:top w:val="none" w:sz="0" w:space="0" w:color="auto"/>
                <w:left w:val="none" w:sz="0" w:space="0" w:color="auto"/>
                <w:bottom w:val="none" w:sz="0" w:space="0" w:color="auto"/>
                <w:right w:val="none" w:sz="0" w:space="0" w:color="auto"/>
              </w:divBdr>
            </w:div>
          </w:divsChild>
        </w:div>
        <w:div w:id="1452242009">
          <w:marLeft w:val="0"/>
          <w:marRight w:val="0"/>
          <w:marTop w:val="0"/>
          <w:marBottom w:val="0"/>
          <w:divBdr>
            <w:top w:val="none" w:sz="0" w:space="0" w:color="auto"/>
            <w:left w:val="none" w:sz="0" w:space="0" w:color="auto"/>
            <w:bottom w:val="none" w:sz="0" w:space="0" w:color="auto"/>
            <w:right w:val="none" w:sz="0" w:space="0" w:color="auto"/>
          </w:divBdr>
          <w:divsChild>
            <w:div w:id="1377007680">
              <w:marLeft w:val="0"/>
              <w:marRight w:val="0"/>
              <w:marTop w:val="0"/>
              <w:marBottom w:val="0"/>
              <w:divBdr>
                <w:top w:val="none" w:sz="0" w:space="0" w:color="auto"/>
                <w:left w:val="none" w:sz="0" w:space="0" w:color="auto"/>
                <w:bottom w:val="none" w:sz="0" w:space="0" w:color="auto"/>
                <w:right w:val="none" w:sz="0" w:space="0" w:color="auto"/>
              </w:divBdr>
            </w:div>
          </w:divsChild>
        </w:div>
        <w:div w:id="1495143208">
          <w:marLeft w:val="0"/>
          <w:marRight w:val="0"/>
          <w:marTop w:val="0"/>
          <w:marBottom w:val="0"/>
          <w:divBdr>
            <w:top w:val="none" w:sz="0" w:space="0" w:color="auto"/>
            <w:left w:val="none" w:sz="0" w:space="0" w:color="auto"/>
            <w:bottom w:val="none" w:sz="0" w:space="0" w:color="auto"/>
            <w:right w:val="none" w:sz="0" w:space="0" w:color="auto"/>
          </w:divBdr>
          <w:divsChild>
            <w:div w:id="1968655698">
              <w:marLeft w:val="0"/>
              <w:marRight w:val="0"/>
              <w:marTop w:val="0"/>
              <w:marBottom w:val="0"/>
              <w:divBdr>
                <w:top w:val="none" w:sz="0" w:space="0" w:color="auto"/>
                <w:left w:val="none" w:sz="0" w:space="0" w:color="auto"/>
                <w:bottom w:val="none" w:sz="0" w:space="0" w:color="auto"/>
                <w:right w:val="none" w:sz="0" w:space="0" w:color="auto"/>
              </w:divBdr>
            </w:div>
          </w:divsChild>
        </w:div>
        <w:div w:id="1523781168">
          <w:marLeft w:val="0"/>
          <w:marRight w:val="0"/>
          <w:marTop w:val="0"/>
          <w:marBottom w:val="0"/>
          <w:divBdr>
            <w:top w:val="none" w:sz="0" w:space="0" w:color="auto"/>
            <w:left w:val="none" w:sz="0" w:space="0" w:color="auto"/>
            <w:bottom w:val="none" w:sz="0" w:space="0" w:color="auto"/>
            <w:right w:val="none" w:sz="0" w:space="0" w:color="auto"/>
          </w:divBdr>
          <w:divsChild>
            <w:div w:id="1050032147">
              <w:marLeft w:val="0"/>
              <w:marRight w:val="0"/>
              <w:marTop w:val="0"/>
              <w:marBottom w:val="0"/>
              <w:divBdr>
                <w:top w:val="none" w:sz="0" w:space="0" w:color="auto"/>
                <w:left w:val="none" w:sz="0" w:space="0" w:color="auto"/>
                <w:bottom w:val="none" w:sz="0" w:space="0" w:color="auto"/>
                <w:right w:val="none" w:sz="0" w:space="0" w:color="auto"/>
              </w:divBdr>
            </w:div>
          </w:divsChild>
        </w:div>
        <w:div w:id="1540507324">
          <w:marLeft w:val="0"/>
          <w:marRight w:val="0"/>
          <w:marTop w:val="0"/>
          <w:marBottom w:val="0"/>
          <w:divBdr>
            <w:top w:val="none" w:sz="0" w:space="0" w:color="auto"/>
            <w:left w:val="none" w:sz="0" w:space="0" w:color="auto"/>
            <w:bottom w:val="none" w:sz="0" w:space="0" w:color="auto"/>
            <w:right w:val="none" w:sz="0" w:space="0" w:color="auto"/>
          </w:divBdr>
          <w:divsChild>
            <w:div w:id="681131592">
              <w:marLeft w:val="0"/>
              <w:marRight w:val="0"/>
              <w:marTop w:val="0"/>
              <w:marBottom w:val="0"/>
              <w:divBdr>
                <w:top w:val="none" w:sz="0" w:space="0" w:color="auto"/>
                <w:left w:val="none" w:sz="0" w:space="0" w:color="auto"/>
                <w:bottom w:val="none" w:sz="0" w:space="0" w:color="auto"/>
                <w:right w:val="none" w:sz="0" w:space="0" w:color="auto"/>
              </w:divBdr>
            </w:div>
          </w:divsChild>
        </w:div>
        <w:div w:id="1590889114">
          <w:marLeft w:val="0"/>
          <w:marRight w:val="0"/>
          <w:marTop w:val="0"/>
          <w:marBottom w:val="0"/>
          <w:divBdr>
            <w:top w:val="none" w:sz="0" w:space="0" w:color="auto"/>
            <w:left w:val="none" w:sz="0" w:space="0" w:color="auto"/>
            <w:bottom w:val="none" w:sz="0" w:space="0" w:color="auto"/>
            <w:right w:val="none" w:sz="0" w:space="0" w:color="auto"/>
          </w:divBdr>
          <w:divsChild>
            <w:div w:id="1932930500">
              <w:marLeft w:val="0"/>
              <w:marRight w:val="0"/>
              <w:marTop w:val="0"/>
              <w:marBottom w:val="0"/>
              <w:divBdr>
                <w:top w:val="none" w:sz="0" w:space="0" w:color="auto"/>
                <w:left w:val="none" w:sz="0" w:space="0" w:color="auto"/>
                <w:bottom w:val="none" w:sz="0" w:space="0" w:color="auto"/>
                <w:right w:val="none" w:sz="0" w:space="0" w:color="auto"/>
              </w:divBdr>
            </w:div>
          </w:divsChild>
        </w:div>
        <w:div w:id="1609312740">
          <w:marLeft w:val="0"/>
          <w:marRight w:val="0"/>
          <w:marTop w:val="0"/>
          <w:marBottom w:val="0"/>
          <w:divBdr>
            <w:top w:val="none" w:sz="0" w:space="0" w:color="auto"/>
            <w:left w:val="none" w:sz="0" w:space="0" w:color="auto"/>
            <w:bottom w:val="none" w:sz="0" w:space="0" w:color="auto"/>
            <w:right w:val="none" w:sz="0" w:space="0" w:color="auto"/>
          </w:divBdr>
          <w:divsChild>
            <w:div w:id="1375041473">
              <w:marLeft w:val="0"/>
              <w:marRight w:val="0"/>
              <w:marTop w:val="0"/>
              <w:marBottom w:val="0"/>
              <w:divBdr>
                <w:top w:val="none" w:sz="0" w:space="0" w:color="auto"/>
                <w:left w:val="none" w:sz="0" w:space="0" w:color="auto"/>
                <w:bottom w:val="none" w:sz="0" w:space="0" w:color="auto"/>
                <w:right w:val="none" w:sz="0" w:space="0" w:color="auto"/>
              </w:divBdr>
            </w:div>
          </w:divsChild>
        </w:div>
        <w:div w:id="1658535163">
          <w:marLeft w:val="0"/>
          <w:marRight w:val="0"/>
          <w:marTop w:val="0"/>
          <w:marBottom w:val="0"/>
          <w:divBdr>
            <w:top w:val="none" w:sz="0" w:space="0" w:color="auto"/>
            <w:left w:val="none" w:sz="0" w:space="0" w:color="auto"/>
            <w:bottom w:val="none" w:sz="0" w:space="0" w:color="auto"/>
            <w:right w:val="none" w:sz="0" w:space="0" w:color="auto"/>
          </w:divBdr>
          <w:divsChild>
            <w:div w:id="1880193382">
              <w:marLeft w:val="0"/>
              <w:marRight w:val="0"/>
              <w:marTop w:val="0"/>
              <w:marBottom w:val="0"/>
              <w:divBdr>
                <w:top w:val="none" w:sz="0" w:space="0" w:color="auto"/>
                <w:left w:val="none" w:sz="0" w:space="0" w:color="auto"/>
                <w:bottom w:val="none" w:sz="0" w:space="0" w:color="auto"/>
                <w:right w:val="none" w:sz="0" w:space="0" w:color="auto"/>
              </w:divBdr>
            </w:div>
          </w:divsChild>
        </w:div>
        <w:div w:id="1710254104">
          <w:marLeft w:val="0"/>
          <w:marRight w:val="0"/>
          <w:marTop w:val="0"/>
          <w:marBottom w:val="0"/>
          <w:divBdr>
            <w:top w:val="none" w:sz="0" w:space="0" w:color="auto"/>
            <w:left w:val="none" w:sz="0" w:space="0" w:color="auto"/>
            <w:bottom w:val="none" w:sz="0" w:space="0" w:color="auto"/>
            <w:right w:val="none" w:sz="0" w:space="0" w:color="auto"/>
          </w:divBdr>
          <w:divsChild>
            <w:div w:id="1181163294">
              <w:marLeft w:val="0"/>
              <w:marRight w:val="0"/>
              <w:marTop w:val="0"/>
              <w:marBottom w:val="0"/>
              <w:divBdr>
                <w:top w:val="none" w:sz="0" w:space="0" w:color="auto"/>
                <w:left w:val="none" w:sz="0" w:space="0" w:color="auto"/>
                <w:bottom w:val="none" w:sz="0" w:space="0" w:color="auto"/>
                <w:right w:val="none" w:sz="0" w:space="0" w:color="auto"/>
              </w:divBdr>
            </w:div>
          </w:divsChild>
        </w:div>
        <w:div w:id="1745027999">
          <w:marLeft w:val="0"/>
          <w:marRight w:val="0"/>
          <w:marTop w:val="0"/>
          <w:marBottom w:val="0"/>
          <w:divBdr>
            <w:top w:val="none" w:sz="0" w:space="0" w:color="auto"/>
            <w:left w:val="none" w:sz="0" w:space="0" w:color="auto"/>
            <w:bottom w:val="none" w:sz="0" w:space="0" w:color="auto"/>
            <w:right w:val="none" w:sz="0" w:space="0" w:color="auto"/>
          </w:divBdr>
          <w:divsChild>
            <w:div w:id="1944801358">
              <w:marLeft w:val="0"/>
              <w:marRight w:val="0"/>
              <w:marTop w:val="0"/>
              <w:marBottom w:val="0"/>
              <w:divBdr>
                <w:top w:val="none" w:sz="0" w:space="0" w:color="auto"/>
                <w:left w:val="none" w:sz="0" w:space="0" w:color="auto"/>
                <w:bottom w:val="none" w:sz="0" w:space="0" w:color="auto"/>
                <w:right w:val="none" w:sz="0" w:space="0" w:color="auto"/>
              </w:divBdr>
            </w:div>
          </w:divsChild>
        </w:div>
        <w:div w:id="1750806954">
          <w:marLeft w:val="0"/>
          <w:marRight w:val="0"/>
          <w:marTop w:val="0"/>
          <w:marBottom w:val="0"/>
          <w:divBdr>
            <w:top w:val="none" w:sz="0" w:space="0" w:color="auto"/>
            <w:left w:val="none" w:sz="0" w:space="0" w:color="auto"/>
            <w:bottom w:val="none" w:sz="0" w:space="0" w:color="auto"/>
            <w:right w:val="none" w:sz="0" w:space="0" w:color="auto"/>
          </w:divBdr>
          <w:divsChild>
            <w:div w:id="1718778101">
              <w:marLeft w:val="0"/>
              <w:marRight w:val="0"/>
              <w:marTop w:val="0"/>
              <w:marBottom w:val="0"/>
              <w:divBdr>
                <w:top w:val="none" w:sz="0" w:space="0" w:color="auto"/>
                <w:left w:val="none" w:sz="0" w:space="0" w:color="auto"/>
                <w:bottom w:val="none" w:sz="0" w:space="0" w:color="auto"/>
                <w:right w:val="none" w:sz="0" w:space="0" w:color="auto"/>
              </w:divBdr>
            </w:div>
          </w:divsChild>
        </w:div>
        <w:div w:id="1757747301">
          <w:marLeft w:val="0"/>
          <w:marRight w:val="0"/>
          <w:marTop w:val="0"/>
          <w:marBottom w:val="0"/>
          <w:divBdr>
            <w:top w:val="none" w:sz="0" w:space="0" w:color="auto"/>
            <w:left w:val="none" w:sz="0" w:space="0" w:color="auto"/>
            <w:bottom w:val="none" w:sz="0" w:space="0" w:color="auto"/>
            <w:right w:val="none" w:sz="0" w:space="0" w:color="auto"/>
          </w:divBdr>
          <w:divsChild>
            <w:div w:id="86508180">
              <w:marLeft w:val="0"/>
              <w:marRight w:val="0"/>
              <w:marTop w:val="0"/>
              <w:marBottom w:val="0"/>
              <w:divBdr>
                <w:top w:val="none" w:sz="0" w:space="0" w:color="auto"/>
                <w:left w:val="none" w:sz="0" w:space="0" w:color="auto"/>
                <w:bottom w:val="none" w:sz="0" w:space="0" w:color="auto"/>
                <w:right w:val="none" w:sz="0" w:space="0" w:color="auto"/>
              </w:divBdr>
            </w:div>
          </w:divsChild>
        </w:div>
        <w:div w:id="1803964691">
          <w:marLeft w:val="0"/>
          <w:marRight w:val="0"/>
          <w:marTop w:val="0"/>
          <w:marBottom w:val="0"/>
          <w:divBdr>
            <w:top w:val="none" w:sz="0" w:space="0" w:color="auto"/>
            <w:left w:val="none" w:sz="0" w:space="0" w:color="auto"/>
            <w:bottom w:val="none" w:sz="0" w:space="0" w:color="auto"/>
            <w:right w:val="none" w:sz="0" w:space="0" w:color="auto"/>
          </w:divBdr>
          <w:divsChild>
            <w:div w:id="1971979037">
              <w:marLeft w:val="0"/>
              <w:marRight w:val="0"/>
              <w:marTop w:val="0"/>
              <w:marBottom w:val="0"/>
              <w:divBdr>
                <w:top w:val="none" w:sz="0" w:space="0" w:color="auto"/>
                <w:left w:val="none" w:sz="0" w:space="0" w:color="auto"/>
                <w:bottom w:val="none" w:sz="0" w:space="0" w:color="auto"/>
                <w:right w:val="none" w:sz="0" w:space="0" w:color="auto"/>
              </w:divBdr>
            </w:div>
          </w:divsChild>
        </w:div>
        <w:div w:id="1860705018">
          <w:marLeft w:val="0"/>
          <w:marRight w:val="0"/>
          <w:marTop w:val="0"/>
          <w:marBottom w:val="0"/>
          <w:divBdr>
            <w:top w:val="none" w:sz="0" w:space="0" w:color="auto"/>
            <w:left w:val="none" w:sz="0" w:space="0" w:color="auto"/>
            <w:bottom w:val="none" w:sz="0" w:space="0" w:color="auto"/>
            <w:right w:val="none" w:sz="0" w:space="0" w:color="auto"/>
          </w:divBdr>
          <w:divsChild>
            <w:div w:id="161168591">
              <w:marLeft w:val="0"/>
              <w:marRight w:val="0"/>
              <w:marTop w:val="0"/>
              <w:marBottom w:val="0"/>
              <w:divBdr>
                <w:top w:val="none" w:sz="0" w:space="0" w:color="auto"/>
                <w:left w:val="none" w:sz="0" w:space="0" w:color="auto"/>
                <w:bottom w:val="none" w:sz="0" w:space="0" w:color="auto"/>
                <w:right w:val="none" w:sz="0" w:space="0" w:color="auto"/>
              </w:divBdr>
            </w:div>
          </w:divsChild>
        </w:div>
        <w:div w:id="1877886322">
          <w:marLeft w:val="0"/>
          <w:marRight w:val="0"/>
          <w:marTop w:val="0"/>
          <w:marBottom w:val="0"/>
          <w:divBdr>
            <w:top w:val="none" w:sz="0" w:space="0" w:color="auto"/>
            <w:left w:val="none" w:sz="0" w:space="0" w:color="auto"/>
            <w:bottom w:val="none" w:sz="0" w:space="0" w:color="auto"/>
            <w:right w:val="none" w:sz="0" w:space="0" w:color="auto"/>
          </w:divBdr>
          <w:divsChild>
            <w:div w:id="1781753893">
              <w:marLeft w:val="0"/>
              <w:marRight w:val="0"/>
              <w:marTop w:val="0"/>
              <w:marBottom w:val="0"/>
              <w:divBdr>
                <w:top w:val="none" w:sz="0" w:space="0" w:color="auto"/>
                <w:left w:val="none" w:sz="0" w:space="0" w:color="auto"/>
                <w:bottom w:val="none" w:sz="0" w:space="0" w:color="auto"/>
                <w:right w:val="none" w:sz="0" w:space="0" w:color="auto"/>
              </w:divBdr>
            </w:div>
          </w:divsChild>
        </w:div>
        <w:div w:id="1944610290">
          <w:marLeft w:val="0"/>
          <w:marRight w:val="0"/>
          <w:marTop w:val="0"/>
          <w:marBottom w:val="0"/>
          <w:divBdr>
            <w:top w:val="none" w:sz="0" w:space="0" w:color="auto"/>
            <w:left w:val="none" w:sz="0" w:space="0" w:color="auto"/>
            <w:bottom w:val="none" w:sz="0" w:space="0" w:color="auto"/>
            <w:right w:val="none" w:sz="0" w:space="0" w:color="auto"/>
          </w:divBdr>
          <w:divsChild>
            <w:div w:id="2021154986">
              <w:marLeft w:val="0"/>
              <w:marRight w:val="0"/>
              <w:marTop w:val="0"/>
              <w:marBottom w:val="0"/>
              <w:divBdr>
                <w:top w:val="none" w:sz="0" w:space="0" w:color="auto"/>
                <w:left w:val="none" w:sz="0" w:space="0" w:color="auto"/>
                <w:bottom w:val="none" w:sz="0" w:space="0" w:color="auto"/>
                <w:right w:val="none" w:sz="0" w:space="0" w:color="auto"/>
              </w:divBdr>
            </w:div>
          </w:divsChild>
        </w:div>
        <w:div w:id="1995796647">
          <w:marLeft w:val="0"/>
          <w:marRight w:val="0"/>
          <w:marTop w:val="0"/>
          <w:marBottom w:val="0"/>
          <w:divBdr>
            <w:top w:val="none" w:sz="0" w:space="0" w:color="auto"/>
            <w:left w:val="none" w:sz="0" w:space="0" w:color="auto"/>
            <w:bottom w:val="none" w:sz="0" w:space="0" w:color="auto"/>
            <w:right w:val="none" w:sz="0" w:space="0" w:color="auto"/>
          </w:divBdr>
          <w:divsChild>
            <w:div w:id="1782796740">
              <w:marLeft w:val="0"/>
              <w:marRight w:val="0"/>
              <w:marTop w:val="0"/>
              <w:marBottom w:val="0"/>
              <w:divBdr>
                <w:top w:val="none" w:sz="0" w:space="0" w:color="auto"/>
                <w:left w:val="none" w:sz="0" w:space="0" w:color="auto"/>
                <w:bottom w:val="none" w:sz="0" w:space="0" w:color="auto"/>
                <w:right w:val="none" w:sz="0" w:space="0" w:color="auto"/>
              </w:divBdr>
            </w:div>
          </w:divsChild>
        </w:div>
        <w:div w:id="2016493263">
          <w:marLeft w:val="0"/>
          <w:marRight w:val="0"/>
          <w:marTop w:val="0"/>
          <w:marBottom w:val="0"/>
          <w:divBdr>
            <w:top w:val="none" w:sz="0" w:space="0" w:color="auto"/>
            <w:left w:val="none" w:sz="0" w:space="0" w:color="auto"/>
            <w:bottom w:val="none" w:sz="0" w:space="0" w:color="auto"/>
            <w:right w:val="none" w:sz="0" w:space="0" w:color="auto"/>
          </w:divBdr>
          <w:divsChild>
            <w:div w:id="1699967461">
              <w:marLeft w:val="0"/>
              <w:marRight w:val="0"/>
              <w:marTop w:val="0"/>
              <w:marBottom w:val="0"/>
              <w:divBdr>
                <w:top w:val="none" w:sz="0" w:space="0" w:color="auto"/>
                <w:left w:val="none" w:sz="0" w:space="0" w:color="auto"/>
                <w:bottom w:val="none" w:sz="0" w:space="0" w:color="auto"/>
                <w:right w:val="none" w:sz="0" w:space="0" w:color="auto"/>
              </w:divBdr>
            </w:div>
          </w:divsChild>
        </w:div>
        <w:div w:id="2044206066">
          <w:marLeft w:val="0"/>
          <w:marRight w:val="0"/>
          <w:marTop w:val="0"/>
          <w:marBottom w:val="0"/>
          <w:divBdr>
            <w:top w:val="none" w:sz="0" w:space="0" w:color="auto"/>
            <w:left w:val="none" w:sz="0" w:space="0" w:color="auto"/>
            <w:bottom w:val="none" w:sz="0" w:space="0" w:color="auto"/>
            <w:right w:val="none" w:sz="0" w:space="0" w:color="auto"/>
          </w:divBdr>
          <w:divsChild>
            <w:div w:id="937369685">
              <w:marLeft w:val="0"/>
              <w:marRight w:val="0"/>
              <w:marTop w:val="0"/>
              <w:marBottom w:val="0"/>
              <w:divBdr>
                <w:top w:val="none" w:sz="0" w:space="0" w:color="auto"/>
                <w:left w:val="none" w:sz="0" w:space="0" w:color="auto"/>
                <w:bottom w:val="none" w:sz="0" w:space="0" w:color="auto"/>
                <w:right w:val="none" w:sz="0" w:space="0" w:color="auto"/>
              </w:divBdr>
            </w:div>
          </w:divsChild>
        </w:div>
        <w:div w:id="2065787230">
          <w:marLeft w:val="0"/>
          <w:marRight w:val="0"/>
          <w:marTop w:val="0"/>
          <w:marBottom w:val="0"/>
          <w:divBdr>
            <w:top w:val="none" w:sz="0" w:space="0" w:color="auto"/>
            <w:left w:val="none" w:sz="0" w:space="0" w:color="auto"/>
            <w:bottom w:val="none" w:sz="0" w:space="0" w:color="auto"/>
            <w:right w:val="none" w:sz="0" w:space="0" w:color="auto"/>
          </w:divBdr>
          <w:divsChild>
            <w:div w:id="15088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0061">
      <w:bodyDiv w:val="1"/>
      <w:marLeft w:val="0"/>
      <w:marRight w:val="0"/>
      <w:marTop w:val="0"/>
      <w:marBottom w:val="0"/>
      <w:divBdr>
        <w:top w:val="none" w:sz="0" w:space="0" w:color="auto"/>
        <w:left w:val="none" w:sz="0" w:space="0" w:color="auto"/>
        <w:bottom w:val="none" w:sz="0" w:space="0" w:color="auto"/>
        <w:right w:val="none" w:sz="0" w:space="0" w:color="auto"/>
      </w:divBdr>
    </w:div>
    <w:div w:id="106193564">
      <w:bodyDiv w:val="1"/>
      <w:marLeft w:val="0"/>
      <w:marRight w:val="0"/>
      <w:marTop w:val="0"/>
      <w:marBottom w:val="0"/>
      <w:divBdr>
        <w:top w:val="none" w:sz="0" w:space="0" w:color="auto"/>
        <w:left w:val="none" w:sz="0" w:space="0" w:color="auto"/>
        <w:bottom w:val="none" w:sz="0" w:space="0" w:color="auto"/>
        <w:right w:val="none" w:sz="0" w:space="0" w:color="auto"/>
      </w:divBdr>
    </w:div>
    <w:div w:id="111629643">
      <w:bodyDiv w:val="1"/>
      <w:marLeft w:val="0"/>
      <w:marRight w:val="0"/>
      <w:marTop w:val="0"/>
      <w:marBottom w:val="0"/>
      <w:divBdr>
        <w:top w:val="none" w:sz="0" w:space="0" w:color="auto"/>
        <w:left w:val="none" w:sz="0" w:space="0" w:color="auto"/>
        <w:bottom w:val="none" w:sz="0" w:space="0" w:color="auto"/>
        <w:right w:val="none" w:sz="0" w:space="0" w:color="auto"/>
      </w:divBdr>
      <w:divsChild>
        <w:div w:id="86924455">
          <w:marLeft w:val="-75"/>
          <w:marRight w:val="0"/>
          <w:marTop w:val="30"/>
          <w:marBottom w:val="30"/>
          <w:divBdr>
            <w:top w:val="none" w:sz="0" w:space="0" w:color="auto"/>
            <w:left w:val="none" w:sz="0" w:space="0" w:color="auto"/>
            <w:bottom w:val="none" w:sz="0" w:space="0" w:color="auto"/>
            <w:right w:val="none" w:sz="0" w:space="0" w:color="auto"/>
          </w:divBdr>
          <w:divsChild>
            <w:div w:id="289091644">
              <w:marLeft w:val="0"/>
              <w:marRight w:val="0"/>
              <w:marTop w:val="0"/>
              <w:marBottom w:val="0"/>
              <w:divBdr>
                <w:top w:val="none" w:sz="0" w:space="0" w:color="auto"/>
                <w:left w:val="none" w:sz="0" w:space="0" w:color="auto"/>
                <w:bottom w:val="none" w:sz="0" w:space="0" w:color="auto"/>
                <w:right w:val="none" w:sz="0" w:space="0" w:color="auto"/>
              </w:divBdr>
              <w:divsChild>
                <w:div w:id="858202718">
                  <w:marLeft w:val="0"/>
                  <w:marRight w:val="0"/>
                  <w:marTop w:val="0"/>
                  <w:marBottom w:val="0"/>
                  <w:divBdr>
                    <w:top w:val="none" w:sz="0" w:space="0" w:color="auto"/>
                    <w:left w:val="none" w:sz="0" w:space="0" w:color="auto"/>
                    <w:bottom w:val="none" w:sz="0" w:space="0" w:color="auto"/>
                    <w:right w:val="none" w:sz="0" w:space="0" w:color="auto"/>
                  </w:divBdr>
                </w:div>
              </w:divsChild>
            </w:div>
            <w:div w:id="362483621">
              <w:marLeft w:val="0"/>
              <w:marRight w:val="0"/>
              <w:marTop w:val="0"/>
              <w:marBottom w:val="0"/>
              <w:divBdr>
                <w:top w:val="none" w:sz="0" w:space="0" w:color="auto"/>
                <w:left w:val="none" w:sz="0" w:space="0" w:color="auto"/>
                <w:bottom w:val="none" w:sz="0" w:space="0" w:color="auto"/>
                <w:right w:val="none" w:sz="0" w:space="0" w:color="auto"/>
              </w:divBdr>
              <w:divsChild>
                <w:div w:id="760561639">
                  <w:marLeft w:val="0"/>
                  <w:marRight w:val="0"/>
                  <w:marTop w:val="0"/>
                  <w:marBottom w:val="0"/>
                  <w:divBdr>
                    <w:top w:val="none" w:sz="0" w:space="0" w:color="auto"/>
                    <w:left w:val="none" w:sz="0" w:space="0" w:color="auto"/>
                    <w:bottom w:val="none" w:sz="0" w:space="0" w:color="auto"/>
                    <w:right w:val="none" w:sz="0" w:space="0" w:color="auto"/>
                  </w:divBdr>
                </w:div>
              </w:divsChild>
            </w:div>
            <w:div w:id="396823186">
              <w:marLeft w:val="0"/>
              <w:marRight w:val="0"/>
              <w:marTop w:val="0"/>
              <w:marBottom w:val="0"/>
              <w:divBdr>
                <w:top w:val="none" w:sz="0" w:space="0" w:color="auto"/>
                <w:left w:val="none" w:sz="0" w:space="0" w:color="auto"/>
                <w:bottom w:val="none" w:sz="0" w:space="0" w:color="auto"/>
                <w:right w:val="none" w:sz="0" w:space="0" w:color="auto"/>
              </w:divBdr>
              <w:divsChild>
                <w:div w:id="1887720778">
                  <w:marLeft w:val="0"/>
                  <w:marRight w:val="0"/>
                  <w:marTop w:val="0"/>
                  <w:marBottom w:val="0"/>
                  <w:divBdr>
                    <w:top w:val="none" w:sz="0" w:space="0" w:color="auto"/>
                    <w:left w:val="none" w:sz="0" w:space="0" w:color="auto"/>
                    <w:bottom w:val="none" w:sz="0" w:space="0" w:color="auto"/>
                    <w:right w:val="none" w:sz="0" w:space="0" w:color="auto"/>
                  </w:divBdr>
                </w:div>
              </w:divsChild>
            </w:div>
            <w:div w:id="497186859">
              <w:marLeft w:val="0"/>
              <w:marRight w:val="0"/>
              <w:marTop w:val="0"/>
              <w:marBottom w:val="0"/>
              <w:divBdr>
                <w:top w:val="none" w:sz="0" w:space="0" w:color="auto"/>
                <w:left w:val="none" w:sz="0" w:space="0" w:color="auto"/>
                <w:bottom w:val="none" w:sz="0" w:space="0" w:color="auto"/>
                <w:right w:val="none" w:sz="0" w:space="0" w:color="auto"/>
              </w:divBdr>
              <w:divsChild>
                <w:div w:id="1553153292">
                  <w:marLeft w:val="0"/>
                  <w:marRight w:val="0"/>
                  <w:marTop w:val="0"/>
                  <w:marBottom w:val="0"/>
                  <w:divBdr>
                    <w:top w:val="none" w:sz="0" w:space="0" w:color="auto"/>
                    <w:left w:val="none" w:sz="0" w:space="0" w:color="auto"/>
                    <w:bottom w:val="none" w:sz="0" w:space="0" w:color="auto"/>
                    <w:right w:val="none" w:sz="0" w:space="0" w:color="auto"/>
                  </w:divBdr>
                </w:div>
              </w:divsChild>
            </w:div>
            <w:div w:id="655958030">
              <w:marLeft w:val="0"/>
              <w:marRight w:val="0"/>
              <w:marTop w:val="0"/>
              <w:marBottom w:val="0"/>
              <w:divBdr>
                <w:top w:val="none" w:sz="0" w:space="0" w:color="auto"/>
                <w:left w:val="none" w:sz="0" w:space="0" w:color="auto"/>
                <w:bottom w:val="none" w:sz="0" w:space="0" w:color="auto"/>
                <w:right w:val="none" w:sz="0" w:space="0" w:color="auto"/>
              </w:divBdr>
              <w:divsChild>
                <w:div w:id="307175971">
                  <w:marLeft w:val="0"/>
                  <w:marRight w:val="0"/>
                  <w:marTop w:val="0"/>
                  <w:marBottom w:val="0"/>
                  <w:divBdr>
                    <w:top w:val="none" w:sz="0" w:space="0" w:color="auto"/>
                    <w:left w:val="none" w:sz="0" w:space="0" w:color="auto"/>
                    <w:bottom w:val="none" w:sz="0" w:space="0" w:color="auto"/>
                    <w:right w:val="none" w:sz="0" w:space="0" w:color="auto"/>
                  </w:divBdr>
                </w:div>
              </w:divsChild>
            </w:div>
            <w:div w:id="1003628356">
              <w:marLeft w:val="0"/>
              <w:marRight w:val="0"/>
              <w:marTop w:val="0"/>
              <w:marBottom w:val="0"/>
              <w:divBdr>
                <w:top w:val="none" w:sz="0" w:space="0" w:color="auto"/>
                <w:left w:val="none" w:sz="0" w:space="0" w:color="auto"/>
                <w:bottom w:val="none" w:sz="0" w:space="0" w:color="auto"/>
                <w:right w:val="none" w:sz="0" w:space="0" w:color="auto"/>
              </w:divBdr>
              <w:divsChild>
                <w:div w:id="324820807">
                  <w:marLeft w:val="0"/>
                  <w:marRight w:val="0"/>
                  <w:marTop w:val="0"/>
                  <w:marBottom w:val="0"/>
                  <w:divBdr>
                    <w:top w:val="none" w:sz="0" w:space="0" w:color="auto"/>
                    <w:left w:val="none" w:sz="0" w:space="0" w:color="auto"/>
                    <w:bottom w:val="none" w:sz="0" w:space="0" w:color="auto"/>
                    <w:right w:val="none" w:sz="0" w:space="0" w:color="auto"/>
                  </w:divBdr>
                </w:div>
              </w:divsChild>
            </w:div>
            <w:div w:id="1162165569">
              <w:marLeft w:val="0"/>
              <w:marRight w:val="0"/>
              <w:marTop w:val="0"/>
              <w:marBottom w:val="0"/>
              <w:divBdr>
                <w:top w:val="none" w:sz="0" w:space="0" w:color="auto"/>
                <w:left w:val="none" w:sz="0" w:space="0" w:color="auto"/>
                <w:bottom w:val="none" w:sz="0" w:space="0" w:color="auto"/>
                <w:right w:val="none" w:sz="0" w:space="0" w:color="auto"/>
              </w:divBdr>
              <w:divsChild>
                <w:div w:id="98568468">
                  <w:marLeft w:val="0"/>
                  <w:marRight w:val="0"/>
                  <w:marTop w:val="0"/>
                  <w:marBottom w:val="0"/>
                  <w:divBdr>
                    <w:top w:val="none" w:sz="0" w:space="0" w:color="auto"/>
                    <w:left w:val="none" w:sz="0" w:space="0" w:color="auto"/>
                    <w:bottom w:val="none" w:sz="0" w:space="0" w:color="auto"/>
                    <w:right w:val="none" w:sz="0" w:space="0" w:color="auto"/>
                  </w:divBdr>
                </w:div>
              </w:divsChild>
            </w:div>
            <w:div w:id="1203328574">
              <w:marLeft w:val="0"/>
              <w:marRight w:val="0"/>
              <w:marTop w:val="0"/>
              <w:marBottom w:val="0"/>
              <w:divBdr>
                <w:top w:val="none" w:sz="0" w:space="0" w:color="auto"/>
                <w:left w:val="none" w:sz="0" w:space="0" w:color="auto"/>
                <w:bottom w:val="none" w:sz="0" w:space="0" w:color="auto"/>
                <w:right w:val="none" w:sz="0" w:space="0" w:color="auto"/>
              </w:divBdr>
              <w:divsChild>
                <w:div w:id="709764487">
                  <w:marLeft w:val="0"/>
                  <w:marRight w:val="0"/>
                  <w:marTop w:val="0"/>
                  <w:marBottom w:val="0"/>
                  <w:divBdr>
                    <w:top w:val="none" w:sz="0" w:space="0" w:color="auto"/>
                    <w:left w:val="none" w:sz="0" w:space="0" w:color="auto"/>
                    <w:bottom w:val="none" w:sz="0" w:space="0" w:color="auto"/>
                    <w:right w:val="none" w:sz="0" w:space="0" w:color="auto"/>
                  </w:divBdr>
                </w:div>
              </w:divsChild>
            </w:div>
            <w:div w:id="1290824017">
              <w:marLeft w:val="0"/>
              <w:marRight w:val="0"/>
              <w:marTop w:val="0"/>
              <w:marBottom w:val="0"/>
              <w:divBdr>
                <w:top w:val="none" w:sz="0" w:space="0" w:color="auto"/>
                <w:left w:val="none" w:sz="0" w:space="0" w:color="auto"/>
                <w:bottom w:val="none" w:sz="0" w:space="0" w:color="auto"/>
                <w:right w:val="none" w:sz="0" w:space="0" w:color="auto"/>
              </w:divBdr>
              <w:divsChild>
                <w:div w:id="723022151">
                  <w:marLeft w:val="0"/>
                  <w:marRight w:val="0"/>
                  <w:marTop w:val="0"/>
                  <w:marBottom w:val="0"/>
                  <w:divBdr>
                    <w:top w:val="none" w:sz="0" w:space="0" w:color="auto"/>
                    <w:left w:val="none" w:sz="0" w:space="0" w:color="auto"/>
                    <w:bottom w:val="none" w:sz="0" w:space="0" w:color="auto"/>
                    <w:right w:val="none" w:sz="0" w:space="0" w:color="auto"/>
                  </w:divBdr>
                </w:div>
              </w:divsChild>
            </w:div>
            <w:div w:id="1418136139">
              <w:marLeft w:val="0"/>
              <w:marRight w:val="0"/>
              <w:marTop w:val="0"/>
              <w:marBottom w:val="0"/>
              <w:divBdr>
                <w:top w:val="none" w:sz="0" w:space="0" w:color="auto"/>
                <w:left w:val="none" w:sz="0" w:space="0" w:color="auto"/>
                <w:bottom w:val="none" w:sz="0" w:space="0" w:color="auto"/>
                <w:right w:val="none" w:sz="0" w:space="0" w:color="auto"/>
              </w:divBdr>
              <w:divsChild>
                <w:div w:id="679937220">
                  <w:marLeft w:val="0"/>
                  <w:marRight w:val="0"/>
                  <w:marTop w:val="0"/>
                  <w:marBottom w:val="0"/>
                  <w:divBdr>
                    <w:top w:val="none" w:sz="0" w:space="0" w:color="auto"/>
                    <w:left w:val="none" w:sz="0" w:space="0" w:color="auto"/>
                    <w:bottom w:val="none" w:sz="0" w:space="0" w:color="auto"/>
                    <w:right w:val="none" w:sz="0" w:space="0" w:color="auto"/>
                  </w:divBdr>
                </w:div>
              </w:divsChild>
            </w:div>
            <w:div w:id="1478689570">
              <w:marLeft w:val="0"/>
              <w:marRight w:val="0"/>
              <w:marTop w:val="0"/>
              <w:marBottom w:val="0"/>
              <w:divBdr>
                <w:top w:val="none" w:sz="0" w:space="0" w:color="auto"/>
                <w:left w:val="none" w:sz="0" w:space="0" w:color="auto"/>
                <w:bottom w:val="none" w:sz="0" w:space="0" w:color="auto"/>
                <w:right w:val="none" w:sz="0" w:space="0" w:color="auto"/>
              </w:divBdr>
              <w:divsChild>
                <w:div w:id="970550352">
                  <w:marLeft w:val="0"/>
                  <w:marRight w:val="0"/>
                  <w:marTop w:val="0"/>
                  <w:marBottom w:val="0"/>
                  <w:divBdr>
                    <w:top w:val="none" w:sz="0" w:space="0" w:color="auto"/>
                    <w:left w:val="none" w:sz="0" w:space="0" w:color="auto"/>
                    <w:bottom w:val="none" w:sz="0" w:space="0" w:color="auto"/>
                    <w:right w:val="none" w:sz="0" w:space="0" w:color="auto"/>
                  </w:divBdr>
                </w:div>
              </w:divsChild>
            </w:div>
            <w:div w:id="1515150179">
              <w:marLeft w:val="0"/>
              <w:marRight w:val="0"/>
              <w:marTop w:val="0"/>
              <w:marBottom w:val="0"/>
              <w:divBdr>
                <w:top w:val="none" w:sz="0" w:space="0" w:color="auto"/>
                <w:left w:val="none" w:sz="0" w:space="0" w:color="auto"/>
                <w:bottom w:val="none" w:sz="0" w:space="0" w:color="auto"/>
                <w:right w:val="none" w:sz="0" w:space="0" w:color="auto"/>
              </w:divBdr>
              <w:divsChild>
                <w:div w:id="1954899113">
                  <w:marLeft w:val="0"/>
                  <w:marRight w:val="0"/>
                  <w:marTop w:val="0"/>
                  <w:marBottom w:val="0"/>
                  <w:divBdr>
                    <w:top w:val="none" w:sz="0" w:space="0" w:color="auto"/>
                    <w:left w:val="none" w:sz="0" w:space="0" w:color="auto"/>
                    <w:bottom w:val="none" w:sz="0" w:space="0" w:color="auto"/>
                    <w:right w:val="none" w:sz="0" w:space="0" w:color="auto"/>
                  </w:divBdr>
                </w:div>
              </w:divsChild>
            </w:div>
            <w:div w:id="1554804876">
              <w:marLeft w:val="0"/>
              <w:marRight w:val="0"/>
              <w:marTop w:val="0"/>
              <w:marBottom w:val="0"/>
              <w:divBdr>
                <w:top w:val="none" w:sz="0" w:space="0" w:color="auto"/>
                <w:left w:val="none" w:sz="0" w:space="0" w:color="auto"/>
                <w:bottom w:val="none" w:sz="0" w:space="0" w:color="auto"/>
                <w:right w:val="none" w:sz="0" w:space="0" w:color="auto"/>
              </w:divBdr>
              <w:divsChild>
                <w:div w:id="1629585116">
                  <w:marLeft w:val="0"/>
                  <w:marRight w:val="0"/>
                  <w:marTop w:val="0"/>
                  <w:marBottom w:val="0"/>
                  <w:divBdr>
                    <w:top w:val="none" w:sz="0" w:space="0" w:color="auto"/>
                    <w:left w:val="none" w:sz="0" w:space="0" w:color="auto"/>
                    <w:bottom w:val="none" w:sz="0" w:space="0" w:color="auto"/>
                    <w:right w:val="none" w:sz="0" w:space="0" w:color="auto"/>
                  </w:divBdr>
                </w:div>
              </w:divsChild>
            </w:div>
            <w:div w:id="1574271263">
              <w:marLeft w:val="0"/>
              <w:marRight w:val="0"/>
              <w:marTop w:val="0"/>
              <w:marBottom w:val="0"/>
              <w:divBdr>
                <w:top w:val="none" w:sz="0" w:space="0" w:color="auto"/>
                <w:left w:val="none" w:sz="0" w:space="0" w:color="auto"/>
                <w:bottom w:val="none" w:sz="0" w:space="0" w:color="auto"/>
                <w:right w:val="none" w:sz="0" w:space="0" w:color="auto"/>
              </w:divBdr>
              <w:divsChild>
                <w:div w:id="1524587225">
                  <w:marLeft w:val="0"/>
                  <w:marRight w:val="0"/>
                  <w:marTop w:val="0"/>
                  <w:marBottom w:val="0"/>
                  <w:divBdr>
                    <w:top w:val="none" w:sz="0" w:space="0" w:color="auto"/>
                    <w:left w:val="none" w:sz="0" w:space="0" w:color="auto"/>
                    <w:bottom w:val="none" w:sz="0" w:space="0" w:color="auto"/>
                    <w:right w:val="none" w:sz="0" w:space="0" w:color="auto"/>
                  </w:divBdr>
                </w:div>
              </w:divsChild>
            </w:div>
            <w:div w:id="1657609289">
              <w:marLeft w:val="0"/>
              <w:marRight w:val="0"/>
              <w:marTop w:val="0"/>
              <w:marBottom w:val="0"/>
              <w:divBdr>
                <w:top w:val="none" w:sz="0" w:space="0" w:color="auto"/>
                <w:left w:val="none" w:sz="0" w:space="0" w:color="auto"/>
                <w:bottom w:val="none" w:sz="0" w:space="0" w:color="auto"/>
                <w:right w:val="none" w:sz="0" w:space="0" w:color="auto"/>
              </w:divBdr>
              <w:divsChild>
                <w:div w:id="2131582815">
                  <w:marLeft w:val="0"/>
                  <w:marRight w:val="0"/>
                  <w:marTop w:val="0"/>
                  <w:marBottom w:val="0"/>
                  <w:divBdr>
                    <w:top w:val="none" w:sz="0" w:space="0" w:color="auto"/>
                    <w:left w:val="none" w:sz="0" w:space="0" w:color="auto"/>
                    <w:bottom w:val="none" w:sz="0" w:space="0" w:color="auto"/>
                    <w:right w:val="none" w:sz="0" w:space="0" w:color="auto"/>
                  </w:divBdr>
                </w:div>
              </w:divsChild>
            </w:div>
            <w:div w:id="1671828559">
              <w:marLeft w:val="0"/>
              <w:marRight w:val="0"/>
              <w:marTop w:val="0"/>
              <w:marBottom w:val="0"/>
              <w:divBdr>
                <w:top w:val="none" w:sz="0" w:space="0" w:color="auto"/>
                <w:left w:val="none" w:sz="0" w:space="0" w:color="auto"/>
                <w:bottom w:val="none" w:sz="0" w:space="0" w:color="auto"/>
                <w:right w:val="none" w:sz="0" w:space="0" w:color="auto"/>
              </w:divBdr>
              <w:divsChild>
                <w:div w:id="840586408">
                  <w:marLeft w:val="0"/>
                  <w:marRight w:val="0"/>
                  <w:marTop w:val="0"/>
                  <w:marBottom w:val="0"/>
                  <w:divBdr>
                    <w:top w:val="none" w:sz="0" w:space="0" w:color="auto"/>
                    <w:left w:val="none" w:sz="0" w:space="0" w:color="auto"/>
                    <w:bottom w:val="none" w:sz="0" w:space="0" w:color="auto"/>
                    <w:right w:val="none" w:sz="0" w:space="0" w:color="auto"/>
                  </w:divBdr>
                </w:div>
              </w:divsChild>
            </w:div>
            <w:div w:id="1691837894">
              <w:marLeft w:val="0"/>
              <w:marRight w:val="0"/>
              <w:marTop w:val="0"/>
              <w:marBottom w:val="0"/>
              <w:divBdr>
                <w:top w:val="none" w:sz="0" w:space="0" w:color="auto"/>
                <w:left w:val="none" w:sz="0" w:space="0" w:color="auto"/>
                <w:bottom w:val="none" w:sz="0" w:space="0" w:color="auto"/>
                <w:right w:val="none" w:sz="0" w:space="0" w:color="auto"/>
              </w:divBdr>
              <w:divsChild>
                <w:div w:id="174922746">
                  <w:marLeft w:val="0"/>
                  <w:marRight w:val="0"/>
                  <w:marTop w:val="0"/>
                  <w:marBottom w:val="0"/>
                  <w:divBdr>
                    <w:top w:val="none" w:sz="0" w:space="0" w:color="auto"/>
                    <w:left w:val="none" w:sz="0" w:space="0" w:color="auto"/>
                    <w:bottom w:val="none" w:sz="0" w:space="0" w:color="auto"/>
                    <w:right w:val="none" w:sz="0" w:space="0" w:color="auto"/>
                  </w:divBdr>
                </w:div>
              </w:divsChild>
            </w:div>
            <w:div w:id="1695299313">
              <w:marLeft w:val="0"/>
              <w:marRight w:val="0"/>
              <w:marTop w:val="0"/>
              <w:marBottom w:val="0"/>
              <w:divBdr>
                <w:top w:val="none" w:sz="0" w:space="0" w:color="auto"/>
                <w:left w:val="none" w:sz="0" w:space="0" w:color="auto"/>
                <w:bottom w:val="none" w:sz="0" w:space="0" w:color="auto"/>
                <w:right w:val="none" w:sz="0" w:space="0" w:color="auto"/>
              </w:divBdr>
              <w:divsChild>
                <w:div w:id="1185948116">
                  <w:marLeft w:val="0"/>
                  <w:marRight w:val="0"/>
                  <w:marTop w:val="0"/>
                  <w:marBottom w:val="0"/>
                  <w:divBdr>
                    <w:top w:val="none" w:sz="0" w:space="0" w:color="auto"/>
                    <w:left w:val="none" w:sz="0" w:space="0" w:color="auto"/>
                    <w:bottom w:val="none" w:sz="0" w:space="0" w:color="auto"/>
                    <w:right w:val="none" w:sz="0" w:space="0" w:color="auto"/>
                  </w:divBdr>
                </w:div>
              </w:divsChild>
            </w:div>
            <w:div w:id="1842307822">
              <w:marLeft w:val="0"/>
              <w:marRight w:val="0"/>
              <w:marTop w:val="0"/>
              <w:marBottom w:val="0"/>
              <w:divBdr>
                <w:top w:val="none" w:sz="0" w:space="0" w:color="auto"/>
                <w:left w:val="none" w:sz="0" w:space="0" w:color="auto"/>
                <w:bottom w:val="none" w:sz="0" w:space="0" w:color="auto"/>
                <w:right w:val="none" w:sz="0" w:space="0" w:color="auto"/>
              </w:divBdr>
              <w:divsChild>
                <w:div w:id="1863088456">
                  <w:marLeft w:val="0"/>
                  <w:marRight w:val="0"/>
                  <w:marTop w:val="0"/>
                  <w:marBottom w:val="0"/>
                  <w:divBdr>
                    <w:top w:val="none" w:sz="0" w:space="0" w:color="auto"/>
                    <w:left w:val="none" w:sz="0" w:space="0" w:color="auto"/>
                    <w:bottom w:val="none" w:sz="0" w:space="0" w:color="auto"/>
                    <w:right w:val="none" w:sz="0" w:space="0" w:color="auto"/>
                  </w:divBdr>
                </w:div>
              </w:divsChild>
            </w:div>
            <w:div w:id="1888176415">
              <w:marLeft w:val="0"/>
              <w:marRight w:val="0"/>
              <w:marTop w:val="0"/>
              <w:marBottom w:val="0"/>
              <w:divBdr>
                <w:top w:val="none" w:sz="0" w:space="0" w:color="auto"/>
                <w:left w:val="none" w:sz="0" w:space="0" w:color="auto"/>
                <w:bottom w:val="none" w:sz="0" w:space="0" w:color="auto"/>
                <w:right w:val="none" w:sz="0" w:space="0" w:color="auto"/>
              </w:divBdr>
              <w:divsChild>
                <w:div w:id="12434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8152">
          <w:marLeft w:val="0"/>
          <w:marRight w:val="0"/>
          <w:marTop w:val="0"/>
          <w:marBottom w:val="0"/>
          <w:divBdr>
            <w:top w:val="none" w:sz="0" w:space="0" w:color="auto"/>
            <w:left w:val="none" w:sz="0" w:space="0" w:color="auto"/>
            <w:bottom w:val="none" w:sz="0" w:space="0" w:color="auto"/>
            <w:right w:val="none" w:sz="0" w:space="0" w:color="auto"/>
          </w:divBdr>
        </w:div>
        <w:div w:id="396559956">
          <w:marLeft w:val="0"/>
          <w:marRight w:val="0"/>
          <w:marTop w:val="0"/>
          <w:marBottom w:val="0"/>
          <w:divBdr>
            <w:top w:val="none" w:sz="0" w:space="0" w:color="auto"/>
            <w:left w:val="none" w:sz="0" w:space="0" w:color="auto"/>
            <w:bottom w:val="none" w:sz="0" w:space="0" w:color="auto"/>
            <w:right w:val="none" w:sz="0" w:space="0" w:color="auto"/>
          </w:divBdr>
        </w:div>
        <w:div w:id="459344369">
          <w:marLeft w:val="-75"/>
          <w:marRight w:val="0"/>
          <w:marTop w:val="30"/>
          <w:marBottom w:val="30"/>
          <w:divBdr>
            <w:top w:val="none" w:sz="0" w:space="0" w:color="auto"/>
            <w:left w:val="none" w:sz="0" w:space="0" w:color="auto"/>
            <w:bottom w:val="none" w:sz="0" w:space="0" w:color="auto"/>
            <w:right w:val="none" w:sz="0" w:space="0" w:color="auto"/>
          </w:divBdr>
          <w:divsChild>
            <w:div w:id="5207752">
              <w:marLeft w:val="0"/>
              <w:marRight w:val="0"/>
              <w:marTop w:val="0"/>
              <w:marBottom w:val="0"/>
              <w:divBdr>
                <w:top w:val="none" w:sz="0" w:space="0" w:color="auto"/>
                <w:left w:val="none" w:sz="0" w:space="0" w:color="auto"/>
                <w:bottom w:val="none" w:sz="0" w:space="0" w:color="auto"/>
                <w:right w:val="none" w:sz="0" w:space="0" w:color="auto"/>
              </w:divBdr>
              <w:divsChild>
                <w:div w:id="896862369">
                  <w:marLeft w:val="0"/>
                  <w:marRight w:val="0"/>
                  <w:marTop w:val="0"/>
                  <w:marBottom w:val="0"/>
                  <w:divBdr>
                    <w:top w:val="none" w:sz="0" w:space="0" w:color="auto"/>
                    <w:left w:val="none" w:sz="0" w:space="0" w:color="auto"/>
                    <w:bottom w:val="none" w:sz="0" w:space="0" w:color="auto"/>
                    <w:right w:val="none" w:sz="0" w:space="0" w:color="auto"/>
                  </w:divBdr>
                </w:div>
              </w:divsChild>
            </w:div>
            <w:div w:id="221990543">
              <w:marLeft w:val="0"/>
              <w:marRight w:val="0"/>
              <w:marTop w:val="0"/>
              <w:marBottom w:val="0"/>
              <w:divBdr>
                <w:top w:val="none" w:sz="0" w:space="0" w:color="auto"/>
                <w:left w:val="none" w:sz="0" w:space="0" w:color="auto"/>
                <w:bottom w:val="none" w:sz="0" w:space="0" w:color="auto"/>
                <w:right w:val="none" w:sz="0" w:space="0" w:color="auto"/>
              </w:divBdr>
              <w:divsChild>
                <w:div w:id="1202745966">
                  <w:marLeft w:val="0"/>
                  <w:marRight w:val="0"/>
                  <w:marTop w:val="0"/>
                  <w:marBottom w:val="0"/>
                  <w:divBdr>
                    <w:top w:val="none" w:sz="0" w:space="0" w:color="auto"/>
                    <w:left w:val="none" w:sz="0" w:space="0" w:color="auto"/>
                    <w:bottom w:val="none" w:sz="0" w:space="0" w:color="auto"/>
                    <w:right w:val="none" w:sz="0" w:space="0" w:color="auto"/>
                  </w:divBdr>
                </w:div>
              </w:divsChild>
            </w:div>
            <w:div w:id="310410984">
              <w:marLeft w:val="0"/>
              <w:marRight w:val="0"/>
              <w:marTop w:val="0"/>
              <w:marBottom w:val="0"/>
              <w:divBdr>
                <w:top w:val="none" w:sz="0" w:space="0" w:color="auto"/>
                <w:left w:val="none" w:sz="0" w:space="0" w:color="auto"/>
                <w:bottom w:val="none" w:sz="0" w:space="0" w:color="auto"/>
                <w:right w:val="none" w:sz="0" w:space="0" w:color="auto"/>
              </w:divBdr>
              <w:divsChild>
                <w:div w:id="428433395">
                  <w:marLeft w:val="0"/>
                  <w:marRight w:val="0"/>
                  <w:marTop w:val="0"/>
                  <w:marBottom w:val="0"/>
                  <w:divBdr>
                    <w:top w:val="none" w:sz="0" w:space="0" w:color="auto"/>
                    <w:left w:val="none" w:sz="0" w:space="0" w:color="auto"/>
                    <w:bottom w:val="none" w:sz="0" w:space="0" w:color="auto"/>
                    <w:right w:val="none" w:sz="0" w:space="0" w:color="auto"/>
                  </w:divBdr>
                </w:div>
              </w:divsChild>
            </w:div>
            <w:div w:id="451485276">
              <w:marLeft w:val="0"/>
              <w:marRight w:val="0"/>
              <w:marTop w:val="0"/>
              <w:marBottom w:val="0"/>
              <w:divBdr>
                <w:top w:val="none" w:sz="0" w:space="0" w:color="auto"/>
                <w:left w:val="none" w:sz="0" w:space="0" w:color="auto"/>
                <w:bottom w:val="none" w:sz="0" w:space="0" w:color="auto"/>
                <w:right w:val="none" w:sz="0" w:space="0" w:color="auto"/>
              </w:divBdr>
              <w:divsChild>
                <w:div w:id="607272081">
                  <w:marLeft w:val="0"/>
                  <w:marRight w:val="0"/>
                  <w:marTop w:val="0"/>
                  <w:marBottom w:val="0"/>
                  <w:divBdr>
                    <w:top w:val="none" w:sz="0" w:space="0" w:color="auto"/>
                    <w:left w:val="none" w:sz="0" w:space="0" w:color="auto"/>
                    <w:bottom w:val="none" w:sz="0" w:space="0" w:color="auto"/>
                    <w:right w:val="none" w:sz="0" w:space="0" w:color="auto"/>
                  </w:divBdr>
                </w:div>
              </w:divsChild>
            </w:div>
            <w:div w:id="475999750">
              <w:marLeft w:val="0"/>
              <w:marRight w:val="0"/>
              <w:marTop w:val="0"/>
              <w:marBottom w:val="0"/>
              <w:divBdr>
                <w:top w:val="none" w:sz="0" w:space="0" w:color="auto"/>
                <w:left w:val="none" w:sz="0" w:space="0" w:color="auto"/>
                <w:bottom w:val="none" w:sz="0" w:space="0" w:color="auto"/>
                <w:right w:val="none" w:sz="0" w:space="0" w:color="auto"/>
              </w:divBdr>
              <w:divsChild>
                <w:div w:id="1543439988">
                  <w:marLeft w:val="0"/>
                  <w:marRight w:val="0"/>
                  <w:marTop w:val="0"/>
                  <w:marBottom w:val="0"/>
                  <w:divBdr>
                    <w:top w:val="none" w:sz="0" w:space="0" w:color="auto"/>
                    <w:left w:val="none" w:sz="0" w:space="0" w:color="auto"/>
                    <w:bottom w:val="none" w:sz="0" w:space="0" w:color="auto"/>
                    <w:right w:val="none" w:sz="0" w:space="0" w:color="auto"/>
                  </w:divBdr>
                </w:div>
              </w:divsChild>
            </w:div>
            <w:div w:id="640309883">
              <w:marLeft w:val="0"/>
              <w:marRight w:val="0"/>
              <w:marTop w:val="0"/>
              <w:marBottom w:val="0"/>
              <w:divBdr>
                <w:top w:val="none" w:sz="0" w:space="0" w:color="auto"/>
                <w:left w:val="none" w:sz="0" w:space="0" w:color="auto"/>
                <w:bottom w:val="none" w:sz="0" w:space="0" w:color="auto"/>
                <w:right w:val="none" w:sz="0" w:space="0" w:color="auto"/>
              </w:divBdr>
              <w:divsChild>
                <w:div w:id="386994735">
                  <w:marLeft w:val="0"/>
                  <w:marRight w:val="0"/>
                  <w:marTop w:val="0"/>
                  <w:marBottom w:val="0"/>
                  <w:divBdr>
                    <w:top w:val="none" w:sz="0" w:space="0" w:color="auto"/>
                    <w:left w:val="none" w:sz="0" w:space="0" w:color="auto"/>
                    <w:bottom w:val="none" w:sz="0" w:space="0" w:color="auto"/>
                    <w:right w:val="none" w:sz="0" w:space="0" w:color="auto"/>
                  </w:divBdr>
                </w:div>
              </w:divsChild>
            </w:div>
            <w:div w:id="830289402">
              <w:marLeft w:val="0"/>
              <w:marRight w:val="0"/>
              <w:marTop w:val="0"/>
              <w:marBottom w:val="0"/>
              <w:divBdr>
                <w:top w:val="none" w:sz="0" w:space="0" w:color="auto"/>
                <w:left w:val="none" w:sz="0" w:space="0" w:color="auto"/>
                <w:bottom w:val="none" w:sz="0" w:space="0" w:color="auto"/>
                <w:right w:val="none" w:sz="0" w:space="0" w:color="auto"/>
              </w:divBdr>
              <w:divsChild>
                <w:div w:id="1173031508">
                  <w:marLeft w:val="0"/>
                  <w:marRight w:val="0"/>
                  <w:marTop w:val="0"/>
                  <w:marBottom w:val="0"/>
                  <w:divBdr>
                    <w:top w:val="none" w:sz="0" w:space="0" w:color="auto"/>
                    <w:left w:val="none" w:sz="0" w:space="0" w:color="auto"/>
                    <w:bottom w:val="none" w:sz="0" w:space="0" w:color="auto"/>
                    <w:right w:val="none" w:sz="0" w:space="0" w:color="auto"/>
                  </w:divBdr>
                </w:div>
              </w:divsChild>
            </w:div>
            <w:div w:id="913204449">
              <w:marLeft w:val="0"/>
              <w:marRight w:val="0"/>
              <w:marTop w:val="0"/>
              <w:marBottom w:val="0"/>
              <w:divBdr>
                <w:top w:val="none" w:sz="0" w:space="0" w:color="auto"/>
                <w:left w:val="none" w:sz="0" w:space="0" w:color="auto"/>
                <w:bottom w:val="none" w:sz="0" w:space="0" w:color="auto"/>
                <w:right w:val="none" w:sz="0" w:space="0" w:color="auto"/>
              </w:divBdr>
              <w:divsChild>
                <w:div w:id="662244191">
                  <w:marLeft w:val="0"/>
                  <w:marRight w:val="0"/>
                  <w:marTop w:val="0"/>
                  <w:marBottom w:val="0"/>
                  <w:divBdr>
                    <w:top w:val="none" w:sz="0" w:space="0" w:color="auto"/>
                    <w:left w:val="none" w:sz="0" w:space="0" w:color="auto"/>
                    <w:bottom w:val="none" w:sz="0" w:space="0" w:color="auto"/>
                    <w:right w:val="none" w:sz="0" w:space="0" w:color="auto"/>
                  </w:divBdr>
                </w:div>
              </w:divsChild>
            </w:div>
            <w:div w:id="969745124">
              <w:marLeft w:val="0"/>
              <w:marRight w:val="0"/>
              <w:marTop w:val="0"/>
              <w:marBottom w:val="0"/>
              <w:divBdr>
                <w:top w:val="none" w:sz="0" w:space="0" w:color="auto"/>
                <w:left w:val="none" w:sz="0" w:space="0" w:color="auto"/>
                <w:bottom w:val="none" w:sz="0" w:space="0" w:color="auto"/>
                <w:right w:val="none" w:sz="0" w:space="0" w:color="auto"/>
              </w:divBdr>
              <w:divsChild>
                <w:div w:id="1096437427">
                  <w:marLeft w:val="0"/>
                  <w:marRight w:val="0"/>
                  <w:marTop w:val="0"/>
                  <w:marBottom w:val="0"/>
                  <w:divBdr>
                    <w:top w:val="none" w:sz="0" w:space="0" w:color="auto"/>
                    <w:left w:val="none" w:sz="0" w:space="0" w:color="auto"/>
                    <w:bottom w:val="none" w:sz="0" w:space="0" w:color="auto"/>
                    <w:right w:val="none" w:sz="0" w:space="0" w:color="auto"/>
                  </w:divBdr>
                </w:div>
              </w:divsChild>
            </w:div>
            <w:div w:id="1212155286">
              <w:marLeft w:val="0"/>
              <w:marRight w:val="0"/>
              <w:marTop w:val="0"/>
              <w:marBottom w:val="0"/>
              <w:divBdr>
                <w:top w:val="none" w:sz="0" w:space="0" w:color="auto"/>
                <w:left w:val="none" w:sz="0" w:space="0" w:color="auto"/>
                <w:bottom w:val="none" w:sz="0" w:space="0" w:color="auto"/>
                <w:right w:val="none" w:sz="0" w:space="0" w:color="auto"/>
              </w:divBdr>
              <w:divsChild>
                <w:div w:id="809521390">
                  <w:marLeft w:val="0"/>
                  <w:marRight w:val="0"/>
                  <w:marTop w:val="0"/>
                  <w:marBottom w:val="0"/>
                  <w:divBdr>
                    <w:top w:val="none" w:sz="0" w:space="0" w:color="auto"/>
                    <w:left w:val="none" w:sz="0" w:space="0" w:color="auto"/>
                    <w:bottom w:val="none" w:sz="0" w:space="0" w:color="auto"/>
                    <w:right w:val="none" w:sz="0" w:space="0" w:color="auto"/>
                  </w:divBdr>
                </w:div>
              </w:divsChild>
            </w:div>
            <w:div w:id="1218711738">
              <w:marLeft w:val="0"/>
              <w:marRight w:val="0"/>
              <w:marTop w:val="0"/>
              <w:marBottom w:val="0"/>
              <w:divBdr>
                <w:top w:val="none" w:sz="0" w:space="0" w:color="auto"/>
                <w:left w:val="none" w:sz="0" w:space="0" w:color="auto"/>
                <w:bottom w:val="none" w:sz="0" w:space="0" w:color="auto"/>
                <w:right w:val="none" w:sz="0" w:space="0" w:color="auto"/>
              </w:divBdr>
              <w:divsChild>
                <w:div w:id="1507672157">
                  <w:marLeft w:val="0"/>
                  <w:marRight w:val="0"/>
                  <w:marTop w:val="0"/>
                  <w:marBottom w:val="0"/>
                  <w:divBdr>
                    <w:top w:val="none" w:sz="0" w:space="0" w:color="auto"/>
                    <w:left w:val="none" w:sz="0" w:space="0" w:color="auto"/>
                    <w:bottom w:val="none" w:sz="0" w:space="0" w:color="auto"/>
                    <w:right w:val="none" w:sz="0" w:space="0" w:color="auto"/>
                  </w:divBdr>
                </w:div>
              </w:divsChild>
            </w:div>
            <w:div w:id="1231381421">
              <w:marLeft w:val="0"/>
              <w:marRight w:val="0"/>
              <w:marTop w:val="0"/>
              <w:marBottom w:val="0"/>
              <w:divBdr>
                <w:top w:val="none" w:sz="0" w:space="0" w:color="auto"/>
                <w:left w:val="none" w:sz="0" w:space="0" w:color="auto"/>
                <w:bottom w:val="none" w:sz="0" w:space="0" w:color="auto"/>
                <w:right w:val="none" w:sz="0" w:space="0" w:color="auto"/>
              </w:divBdr>
              <w:divsChild>
                <w:div w:id="2077046122">
                  <w:marLeft w:val="0"/>
                  <w:marRight w:val="0"/>
                  <w:marTop w:val="0"/>
                  <w:marBottom w:val="0"/>
                  <w:divBdr>
                    <w:top w:val="none" w:sz="0" w:space="0" w:color="auto"/>
                    <w:left w:val="none" w:sz="0" w:space="0" w:color="auto"/>
                    <w:bottom w:val="none" w:sz="0" w:space="0" w:color="auto"/>
                    <w:right w:val="none" w:sz="0" w:space="0" w:color="auto"/>
                  </w:divBdr>
                </w:div>
              </w:divsChild>
            </w:div>
            <w:div w:id="1265459654">
              <w:marLeft w:val="0"/>
              <w:marRight w:val="0"/>
              <w:marTop w:val="0"/>
              <w:marBottom w:val="0"/>
              <w:divBdr>
                <w:top w:val="none" w:sz="0" w:space="0" w:color="auto"/>
                <w:left w:val="none" w:sz="0" w:space="0" w:color="auto"/>
                <w:bottom w:val="none" w:sz="0" w:space="0" w:color="auto"/>
                <w:right w:val="none" w:sz="0" w:space="0" w:color="auto"/>
              </w:divBdr>
              <w:divsChild>
                <w:div w:id="2022966955">
                  <w:marLeft w:val="0"/>
                  <w:marRight w:val="0"/>
                  <w:marTop w:val="0"/>
                  <w:marBottom w:val="0"/>
                  <w:divBdr>
                    <w:top w:val="none" w:sz="0" w:space="0" w:color="auto"/>
                    <w:left w:val="none" w:sz="0" w:space="0" w:color="auto"/>
                    <w:bottom w:val="none" w:sz="0" w:space="0" w:color="auto"/>
                    <w:right w:val="none" w:sz="0" w:space="0" w:color="auto"/>
                  </w:divBdr>
                </w:div>
              </w:divsChild>
            </w:div>
            <w:div w:id="1329791405">
              <w:marLeft w:val="0"/>
              <w:marRight w:val="0"/>
              <w:marTop w:val="0"/>
              <w:marBottom w:val="0"/>
              <w:divBdr>
                <w:top w:val="none" w:sz="0" w:space="0" w:color="auto"/>
                <w:left w:val="none" w:sz="0" w:space="0" w:color="auto"/>
                <w:bottom w:val="none" w:sz="0" w:space="0" w:color="auto"/>
                <w:right w:val="none" w:sz="0" w:space="0" w:color="auto"/>
              </w:divBdr>
              <w:divsChild>
                <w:div w:id="1120034027">
                  <w:marLeft w:val="0"/>
                  <w:marRight w:val="0"/>
                  <w:marTop w:val="0"/>
                  <w:marBottom w:val="0"/>
                  <w:divBdr>
                    <w:top w:val="none" w:sz="0" w:space="0" w:color="auto"/>
                    <w:left w:val="none" w:sz="0" w:space="0" w:color="auto"/>
                    <w:bottom w:val="none" w:sz="0" w:space="0" w:color="auto"/>
                    <w:right w:val="none" w:sz="0" w:space="0" w:color="auto"/>
                  </w:divBdr>
                </w:div>
              </w:divsChild>
            </w:div>
            <w:div w:id="1331710346">
              <w:marLeft w:val="0"/>
              <w:marRight w:val="0"/>
              <w:marTop w:val="0"/>
              <w:marBottom w:val="0"/>
              <w:divBdr>
                <w:top w:val="none" w:sz="0" w:space="0" w:color="auto"/>
                <w:left w:val="none" w:sz="0" w:space="0" w:color="auto"/>
                <w:bottom w:val="none" w:sz="0" w:space="0" w:color="auto"/>
                <w:right w:val="none" w:sz="0" w:space="0" w:color="auto"/>
              </w:divBdr>
              <w:divsChild>
                <w:div w:id="959411474">
                  <w:marLeft w:val="0"/>
                  <w:marRight w:val="0"/>
                  <w:marTop w:val="0"/>
                  <w:marBottom w:val="0"/>
                  <w:divBdr>
                    <w:top w:val="none" w:sz="0" w:space="0" w:color="auto"/>
                    <w:left w:val="none" w:sz="0" w:space="0" w:color="auto"/>
                    <w:bottom w:val="none" w:sz="0" w:space="0" w:color="auto"/>
                    <w:right w:val="none" w:sz="0" w:space="0" w:color="auto"/>
                  </w:divBdr>
                </w:div>
              </w:divsChild>
            </w:div>
            <w:div w:id="1365132024">
              <w:marLeft w:val="0"/>
              <w:marRight w:val="0"/>
              <w:marTop w:val="0"/>
              <w:marBottom w:val="0"/>
              <w:divBdr>
                <w:top w:val="none" w:sz="0" w:space="0" w:color="auto"/>
                <w:left w:val="none" w:sz="0" w:space="0" w:color="auto"/>
                <w:bottom w:val="none" w:sz="0" w:space="0" w:color="auto"/>
                <w:right w:val="none" w:sz="0" w:space="0" w:color="auto"/>
              </w:divBdr>
              <w:divsChild>
                <w:div w:id="1752776083">
                  <w:marLeft w:val="0"/>
                  <w:marRight w:val="0"/>
                  <w:marTop w:val="0"/>
                  <w:marBottom w:val="0"/>
                  <w:divBdr>
                    <w:top w:val="none" w:sz="0" w:space="0" w:color="auto"/>
                    <w:left w:val="none" w:sz="0" w:space="0" w:color="auto"/>
                    <w:bottom w:val="none" w:sz="0" w:space="0" w:color="auto"/>
                    <w:right w:val="none" w:sz="0" w:space="0" w:color="auto"/>
                  </w:divBdr>
                </w:div>
              </w:divsChild>
            </w:div>
            <w:div w:id="1494103634">
              <w:marLeft w:val="0"/>
              <w:marRight w:val="0"/>
              <w:marTop w:val="0"/>
              <w:marBottom w:val="0"/>
              <w:divBdr>
                <w:top w:val="none" w:sz="0" w:space="0" w:color="auto"/>
                <w:left w:val="none" w:sz="0" w:space="0" w:color="auto"/>
                <w:bottom w:val="none" w:sz="0" w:space="0" w:color="auto"/>
                <w:right w:val="none" w:sz="0" w:space="0" w:color="auto"/>
              </w:divBdr>
              <w:divsChild>
                <w:div w:id="998508313">
                  <w:marLeft w:val="0"/>
                  <w:marRight w:val="0"/>
                  <w:marTop w:val="0"/>
                  <w:marBottom w:val="0"/>
                  <w:divBdr>
                    <w:top w:val="none" w:sz="0" w:space="0" w:color="auto"/>
                    <w:left w:val="none" w:sz="0" w:space="0" w:color="auto"/>
                    <w:bottom w:val="none" w:sz="0" w:space="0" w:color="auto"/>
                    <w:right w:val="none" w:sz="0" w:space="0" w:color="auto"/>
                  </w:divBdr>
                </w:div>
              </w:divsChild>
            </w:div>
            <w:div w:id="1554343987">
              <w:marLeft w:val="0"/>
              <w:marRight w:val="0"/>
              <w:marTop w:val="0"/>
              <w:marBottom w:val="0"/>
              <w:divBdr>
                <w:top w:val="none" w:sz="0" w:space="0" w:color="auto"/>
                <w:left w:val="none" w:sz="0" w:space="0" w:color="auto"/>
                <w:bottom w:val="none" w:sz="0" w:space="0" w:color="auto"/>
                <w:right w:val="none" w:sz="0" w:space="0" w:color="auto"/>
              </w:divBdr>
              <w:divsChild>
                <w:div w:id="2039698724">
                  <w:marLeft w:val="0"/>
                  <w:marRight w:val="0"/>
                  <w:marTop w:val="0"/>
                  <w:marBottom w:val="0"/>
                  <w:divBdr>
                    <w:top w:val="none" w:sz="0" w:space="0" w:color="auto"/>
                    <w:left w:val="none" w:sz="0" w:space="0" w:color="auto"/>
                    <w:bottom w:val="none" w:sz="0" w:space="0" w:color="auto"/>
                    <w:right w:val="none" w:sz="0" w:space="0" w:color="auto"/>
                  </w:divBdr>
                </w:div>
              </w:divsChild>
            </w:div>
            <w:div w:id="2008552337">
              <w:marLeft w:val="0"/>
              <w:marRight w:val="0"/>
              <w:marTop w:val="0"/>
              <w:marBottom w:val="0"/>
              <w:divBdr>
                <w:top w:val="none" w:sz="0" w:space="0" w:color="auto"/>
                <w:left w:val="none" w:sz="0" w:space="0" w:color="auto"/>
                <w:bottom w:val="none" w:sz="0" w:space="0" w:color="auto"/>
                <w:right w:val="none" w:sz="0" w:space="0" w:color="auto"/>
              </w:divBdr>
              <w:divsChild>
                <w:div w:id="314727120">
                  <w:marLeft w:val="0"/>
                  <w:marRight w:val="0"/>
                  <w:marTop w:val="0"/>
                  <w:marBottom w:val="0"/>
                  <w:divBdr>
                    <w:top w:val="none" w:sz="0" w:space="0" w:color="auto"/>
                    <w:left w:val="none" w:sz="0" w:space="0" w:color="auto"/>
                    <w:bottom w:val="none" w:sz="0" w:space="0" w:color="auto"/>
                    <w:right w:val="none" w:sz="0" w:space="0" w:color="auto"/>
                  </w:divBdr>
                </w:div>
              </w:divsChild>
            </w:div>
            <w:div w:id="2061900970">
              <w:marLeft w:val="0"/>
              <w:marRight w:val="0"/>
              <w:marTop w:val="0"/>
              <w:marBottom w:val="0"/>
              <w:divBdr>
                <w:top w:val="none" w:sz="0" w:space="0" w:color="auto"/>
                <w:left w:val="none" w:sz="0" w:space="0" w:color="auto"/>
                <w:bottom w:val="none" w:sz="0" w:space="0" w:color="auto"/>
                <w:right w:val="none" w:sz="0" w:space="0" w:color="auto"/>
              </w:divBdr>
              <w:divsChild>
                <w:div w:id="44492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25065">
          <w:marLeft w:val="0"/>
          <w:marRight w:val="0"/>
          <w:marTop w:val="0"/>
          <w:marBottom w:val="0"/>
          <w:divBdr>
            <w:top w:val="none" w:sz="0" w:space="0" w:color="auto"/>
            <w:left w:val="none" w:sz="0" w:space="0" w:color="auto"/>
            <w:bottom w:val="none" w:sz="0" w:space="0" w:color="auto"/>
            <w:right w:val="none" w:sz="0" w:space="0" w:color="auto"/>
          </w:divBdr>
        </w:div>
        <w:div w:id="645552721">
          <w:marLeft w:val="0"/>
          <w:marRight w:val="0"/>
          <w:marTop w:val="0"/>
          <w:marBottom w:val="0"/>
          <w:divBdr>
            <w:top w:val="none" w:sz="0" w:space="0" w:color="auto"/>
            <w:left w:val="none" w:sz="0" w:space="0" w:color="auto"/>
            <w:bottom w:val="none" w:sz="0" w:space="0" w:color="auto"/>
            <w:right w:val="none" w:sz="0" w:space="0" w:color="auto"/>
          </w:divBdr>
        </w:div>
        <w:div w:id="1144662983">
          <w:marLeft w:val="-75"/>
          <w:marRight w:val="0"/>
          <w:marTop w:val="30"/>
          <w:marBottom w:val="30"/>
          <w:divBdr>
            <w:top w:val="none" w:sz="0" w:space="0" w:color="auto"/>
            <w:left w:val="none" w:sz="0" w:space="0" w:color="auto"/>
            <w:bottom w:val="none" w:sz="0" w:space="0" w:color="auto"/>
            <w:right w:val="none" w:sz="0" w:space="0" w:color="auto"/>
          </w:divBdr>
          <w:divsChild>
            <w:div w:id="145367213">
              <w:marLeft w:val="0"/>
              <w:marRight w:val="0"/>
              <w:marTop w:val="0"/>
              <w:marBottom w:val="0"/>
              <w:divBdr>
                <w:top w:val="none" w:sz="0" w:space="0" w:color="auto"/>
                <w:left w:val="none" w:sz="0" w:space="0" w:color="auto"/>
                <w:bottom w:val="none" w:sz="0" w:space="0" w:color="auto"/>
                <w:right w:val="none" w:sz="0" w:space="0" w:color="auto"/>
              </w:divBdr>
              <w:divsChild>
                <w:div w:id="18355875">
                  <w:marLeft w:val="0"/>
                  <w:marRight w:val="0"/>
                  <w:marTop w:val="0"/>
                  <w:marBottom w:val="0"/>
                  <w:divBdr>
                    <w:top w:val="none" w:sz="0" w:space="0" w:color="auto"/>
                    <w:left w:val="none" w:sz="0" w:space="0" w:color="auto"/>
                    <w:bottom w:val="none" w:sz="0" w:space="0" w:color="auto"/>
                    <w:right w:val="none" w:sz="0" w:space="0" w:color="auto"/>
                  </w:divBdr>
                </w:div>
              </w:divsChild>
            </w:div>
            <w:div w:id="208424830">
              <w:marLeft w:val="0"/>
              <w:marRight w:val="0"/>
              <w:marTop w:val="0"/>
              <w:marBottom w:val="0"/>
              <w:divBdr>
                <w:top w:val="none" w:sz="0" w:space="0" w:color="auto"/>
                <w:left w:val="none" w:sz="0" w:space="0" w:color="auto"/>
                <w:bottom w:val="none" w:sz="0" w:space="0" w:color="auto"/>
                <w:right w:val="none" w:sz="0" w:space="0" w:color="auto"/>
              </w:divBdr>
              <w:divsChild>
                <w:div w:id="812869689">
                  <w:marLeft w:val="0"/>
                  <w:marRight w:val="0"/>
                  <w:marTop w:val="0"/>
                  <w:marBottom w:val="0"/>
                  <w:divBdr>
                    <w:top w:val="none" w:sz="0" w:space="0" w:color="auto"/>
                    <w:left w:val="none" w:sz="0" w:space="0" w:color="auto"/>
                    <w:bottom w:val="none" w:sz="0" w:space="0" w:color="auto"/>
                    <w:right w:val="none" w:sz="0" w:space="0" w:color="auto"/>
                  </w:divBdr>
                </w:div>
              </w:divsChild>
            </w:div>
            <w:div w:id="292055330">
              <w:marLeft w:val="0"/>
              <w:marRight w:val="0"/>
              <w:marTop w:val="0"/>
              <w:marBottom w:val="0"/>
              <w:divBdr>
                <w:top w:val="none" w:sz="0" w:space="0" w:color="auto"/>
                <w:left w:val="none" w:sz="0" w:space="0" w:color="auto"/>
                <w:bottom w:val="none" w:sz="0" w:space="0" w:color="auto"/>
                <w:right w:val="none" w:sz="0" w:space="0" w:color="auto"/>
              </w:divBdr>
              <w:divsChild>
                <w:div w:id="950551764">
                  <w:marLeft w:val="0"/>
                  <w:marRight w:val="0"/>
                  <w:marTop w:val="0"/>
                  <w:marBottom w:val="0"/>
                  <w:divBdr>
                    <w:top w:val="none" w:sz="0" w:space="0" w:color="auto"/>
                    <w:left w:val="none" w:sz="0" w:space="0" w:color="auto"/>
                    <w:bottom w:val="none" w:sz="0" w:space="0" w:color="auto"/>
                    <w:right w:val="none" w:sz="0" w:space="0" w:color="auto"/>
                  </w:divBdr>
                </w:div>
              </w:divsChild>
            </w:div>
            <w:div w:id="396824333">
              <w:marLeft w:val="0"/>
              <w:marRight w:val="0"/>
              <w:marTop w:val="0"/>
              <w:marBottom w:val="0"/>
              <w:divBdr>
                <w:top w:val="none" w:sz="0" w:space="0" w:color="auto"/>
                <w:left w:val="none" w:sz="0" w:space="0" w:color="auto"/>
                <w:bottom w:val="none" w:sz="0" w:space="0" w:color="auto"/>
                <w:right w:val="none" w:sz="0" w:space="0" w:color="auto"/>
              </w:divBdr>
              <w:divsChild>
                <w:div w:id="73746711">
                  <w:marLeft w:val="0"/>
                  <w:marRight w:val="0"/>
                  <w:marTop w:val="0"/>
                  <w:marBottom w:val="0"/>
                  <w:divBdr>
                    <w:top w:val="none" w:sz="0" w:space="0" w:color="auto"/>
                    <w:left w:val="none" w:sz="0" w:space="0" w:color="auto"/>
                    <w:bottom w:val="none" w:sz="0" w:space="0" w:color="auto"/>
                    <w:right w:val="none" w:sz="0" w:space="0" w:color="auto"/>
                  </w:divBdr>
                </w:div>
              </w:divsChild>
            </w:div>
            <w:div w:id="423840758">
              <w:marLeft w:val="0"/>
              <w:marRight w:val="0"/>
              <w:marTop w:val="0"/>
              <w:marBottom w:val="0"/>
              <w:divBdr>
                <w:top w:val="none" w:sz="0" w:space="0" w:color="auto"/>
                <w:left w:val="none" w:sz="0" w:space="0" w:color="auto"/>
                <w:bottom w:val="none" w:sz="0" w:space="0" w:color="auto"/>
                <w:right w:val="none" w:sz="0" w:space="0" w:color="auto"/>
              </w:divBdr>
              <w:divsChild>
                <w:div w:id="1932930372">
                  <w:marLeft w:val="0"/>
                  <w:marRight w:val="0"/>
                  <w:marTop w:val="0"/>
                  <w:marBottom w:val="0"/>
                  <w:divBdr>
                    <w:top w:val="none" w:sz="0" w:space="0" w:color="auto"/>
                    <w:left w:val="none" w:sz="0" w:space="0" w:color="auto"/>
                    <w:bottom w:val="none" w:sz="0" w:space="0" w:color="auto"/>
                    <w:right w:val="none" w:sz="0" w:space="0" w:color="auto"/>
                  </w:divBdr>
                </w:div>
              </w:divsChild>
            </w:div>
            <w:div w:id="430900434">
              <w:marLeft w:val="0"/>
              <w:marRight w:val="0"/>
              <w:marTop w:val="0"/>
              <w:marBottom w:val="0"/>
              <w:divBdr>
                <w:top w:val="none" w:sz="0" w:space="0" w:color="auto"/>
                <w:left w:val="none" w:sz="0" w:space="0" w:color="auto"/>
                <w:bottom w:val="none" w:sz="0" w:space="0" w:color="auto"/>
                <w:right w:val="none" w:sz="0" w:space="0" w:color="auto"/>
              </w:divBdr>
              <w:divsChild>
                <w:div w:id="178089001">
                  <w:marLeft w:val="0"/>
                  <w:marRight w:val="0"/>
                  <w:marTop w:val="0"/>
                  <w:marBottom w:val="0"/>
                  <w:divBdr>
                    <w:top w:val="none" w:sz="0" w:space="0" w:color="auto"/>
                    <w:left w:val="none" w:sz="0" w:space="0" w:color="auto"/>
                    <w:bottom w:val="none" w:sz="0" w:space="0" w:color="auto"/>
                    <w:right w:val="none" w:sz="0" w:space="0" w:color="auto"/>
                  </w:divBdr>
                </w:div>
              </w:divsChild>
            </w:div>
            <w:div w:id="801777033">
              <w:marLeft w:val="0"/>
              <w:marRight w:val="0"/>
              <w:marTop w:val="0"/>
              <w:marBottom w:val="0"/>
              <w:divBdr>
                <w:top w:val="none" w:sz="0" w:space="0" w:color="auto"/>
                <w:left w:val="none" w:sz="0" w:space="0" w:color="auto"/>
                <w:bottom w:val="none" w:sz="0" w:space="0" w:color="auto"/>
                <w:right w:val="none" w:sz="0" w:space="0" w:color="auto"/>
              </w:divBdr>
              <w:divsChild>
                <w:div w:id="101070269">
                  <w:marLeft w:val="0"/>
                  <w:marRight w:val="0"/>
                  <w:marTop w:val="0"/>
                  <w:marBottom w:val="0"/>
                  <w:divBdr>
                    <w:top w:val="none" w:sz="0" w:space="0" w:color="auto"/>
                    <w:left w:val="none" w:sz="0" w:space="0" w:color="auto"/>
                    <w:bottom w:val="none" w:sz="0" w:space="0" w:color="auto"/>
                    <w:right w:val="none" w:sz="0" w:space="0" w:color="auto"/>
                  </w:divBdr>
                </w:div>
              </w:divsChild>
            </w:div>
            <w:div w:id="905644523">
              <w:marLeft w:val="0"/>
              <w:marRight w:val="0"/>
              <w:marTop w:val="0"/>
              <w:marBottom w:val="0"/>
              <w:divBdr>
                <w:top w:val="none" w:sz="0" w:space="0" w:color="auto"/>
                <w:left w:val="none" w:sz="0" w:space="0" w:color="auto"/>
                <w:bottom w:val="none" w:sz="0" w:space="0" w:color="auto"/>
                <w:right w:val="none" w:sz="0" w:space="0" w:color="auto"/>
              </w:divBdr>
              <w:divsChild>
                <w:div w:id="997030622">
                  <w:marLeft w:val="0"/>
                  <w:marRight w:val="0"/>
                  <w:marTop w:val="0"/>
                  <w:marBottom w:val="0"/>
                  <w:divBdr>
                    <w:top w:val="none" w:sz="0" w:space="0" w:color="auto"/>
                    <w:left w:val="none" w:sz="0" w:space="0" w:color="auto"/>
                    <w:bottom w:val="none" w:sz="0" w:space="0" w:color="auto"/>
                    <w:right w:val="none" w:sz="0" w:space="0" w:color="auto"/>
                  </w:divBdr>
                </w:div>
              </w:divsChild>
            </w:div>
            <w:div w:id="923301601">
              <w:marLeft w:val="0"/>
              <w:marRight w:val="0"/>
              <w:marTop w:val="0"/>
              <w:marBottom w:val="0"/>
              <w:divBdr>
                <w:top w:val="none" w:sz="0" w:space="0" w:color="auto"/>
                <w:left w:val="none" w:sz="0" w:space="0" w:color="auto"/>
                <w:bottom w:val="none" w:sz="0" w:space="0" w:color="auto"/>
                <w:right w:val="none" w:sz="0" w:space="0" w:color="auto"/>
              </w:divBdr>
              <w:divsChild>
                <w:div w:id="174421091">
                  <w:marLeft w:val="0"/>
                  <w:marRight w:val="0"/>
                  <w:marTop w:val="0"/>
                  <w:marBottom w:val="0"/>
                  <w:divBdr>
                    <w:top w:val="none" w:sz="0" w:space="0" w:color="auto"/>
                    <w:left w:val="none" w:sz="0" w:space="0" w:color="auto"/>
                    <w:bottom w:val="none" w:sz="0" w:space="0" w:color="auto"/>
                    <w:right w:val="none" w:sz="0" w:space="0" w:color="auto"/>
                  </w:divBdr>
                </w:div>
              </w:divsChild>
            </w:div>
            <w:div w:id="981926112">
              <w:marLeft w:val="0"/>
              <w:marRight w:val="0"/>
              <w:marTop w:val="0"/>
              <w:marBottom w:val="0"/>
              <w:divBdr>
                <w:top w:val="none" w:sz="0" w:space="0" w:color="auto"/>
                <w:left w:val="none" w:sz="0" w:space="0" w:color="auto"/>
                <w:bottom w:val="none" w:sz="0" w:space="0" w:color="auto"/>
                <w:right w:val="none" w:sz="0" w:space="0" w:color="auto"/>
              </w:divBdr>
              <w:divsChild>
                <w:div w:id="2086799682">
                  <w:marLeft w:val="0"/>
                  <w:marRight w:val="0"/>
                  <w:marTop w:val="0"/>
                  <w:marBottom w:val="0"/>
                  <w:divBdr>
                    <w:top w:val="none" w:sz="0" w:space="0" w:color="auto"/>
                    <w:left w:val="none" w:sz="0" w:space="0" w:color="auto"/>
                    <w:bottom w:val="none" w:sz="0" w:space="0" w:color="auto"/>
                    <w:right w:val="none" w:sz="0" w:space="0" w:color="auto"/>
                  </w:divBdr>
                </w:div>
              </w:divsChild>
            </w:div>
            <w:div w:id="1182552396">
              <w:marLeft w:val="0"/>
              <w:marRight w:val="0"/>
              <w:marTop w:val="0"/>
              <w:marBottom w:val="0"/>
              <w:divBdr>
                <w:top w:val="none" w:sz="0" w:space="0" w:color="auto"/>
                <w:left w:val="none" w:sz="0" w:space="0" w:color="auto"/>
                <w:bottom w:val="none" w:sz="0" w:space="0" w:color="auto"/>
                <w:right w:val="none" w:sz="0" w:space="0" w:color="auto"/>
              </w:divBdr>
              <w:divsChild>
                <w:div w:id="84618905">
                  <w:marLeft w:val="0"/>
                  <w:marRight w:val="0"/>
                  <w:marTop w:val="0"/>
                  <w:marBottom w:val="0"/>
                  <w:divBdr>
                    <w:top w:val="none" w:sz="0" w:space="0" w:color="auto"/>
                    <w:left w:val="none" w:sz="0" w:space="0" w:color="auto"/>
                    <w:bottom w:val="none" w:sz="0" w:space="0" w:color="auto"/>
                    <w:right w:val="none" w:sz="0" w:space="0" w:color="auto"/>
                  </w:divBdr>
                </w:div>
              </w:divsChild>
            </w:div>
            <w:div w:id="1287003171">
              <w:marLeft w:val="0"/>
              <w:marRight w:val="0"/>
              <w:marTop w:val="0"/>
              <w:marBottom w:val="0"/>
              <w:divBdr>
                <w:top w:val="none" w:sz="0" w:space="0" w:color="auto"/>
                <w:left w:val="none" w:sz="0" w:space="0" w:color="auto"/>
                <w:bottom w:val="none" w:sz="0" w:space="0" w:color="auto"/>
                <w:right w:val="none" w:sz="0" w:space="0" w:color="auto"/>
              </w:divBdr>
              <w:divsChild>
                <w:div w:id="1058820454">
                  <w:marLeft w:val="0"/>
                  <w:marRight w:val="0"/>
                  <w:marTop w:val="0"/>
                  <w:marBottom w:val="0"/>
                  <w:divBdr>
                    <w:top w:val="none" w:sz="0" w:space="0" w:color="auto"/>
                    <w:left w:val="none" w:sz="0" w:space="0" w:color="auto"/>
                    <w:bottom w:val="none" w:sz="0" w:space="0" w:color="auto"/>
                    <w:right w:val="none" w:sz="0" w:space="0" w:color="auto"/>
                  </w:divBdr>
                </w:div>
              </w:divsChild>
            </w:div>
            <w:div w:id="1318652029">
              <w:marLeft w:val="0"/>
              <w:marRight w:val="0"/>
              <w:marTop w:val="0"/>
              <w:marBottom w:val="0"/>
              <w:divBdr>
                <w:top w:val="none" w:sz="0" w:space="0" w:color="auto"/>
                <w:left w:val="none" w:sz="0" w:space="0" w:color="auto"/>
                <w:bottom w:val="none" w:sz="0" w:space="0" w:color="auto"/>
                <w:right w:val="none" w:sz="0" w:space="0" w:color="auto"/>
              </w:divBdr>
              <w:divsChild>
                <w:div w:id="1755737625">
                  <w:marLeft w:val="0"/>
                  <w:marRight w:val="0"/>
                  <w:marTop w:val="0"/>
                  <w:marBottom w:val="0"/>
                  <w:divBdr>
                    <w:top w:val="none" w:sz="0" w:space="0" w:color="auto"/>
                    <w:left w:val="none" w:sz="0" w:space="0" w:color="auto"/>
                    <w:bottom w:val="none" w:sz="0" w:space="0" w:color="auto"/>
                    <w:right w:val="none" w:sz="0" w:space="0" w:color="auto"/>
                  </w:divBdr>
                </w:div>
              </w:divsChild>
            </w:div>
            <w:div w:id="1337154246">
              <w:marLeft w:val="0"/>
              <w:marRight w:val="0"/>
              <w:marTop w:val="0"/>
              <w:marBottom w:val="0"/>
              <w:divBdr>
                <w:top w:val="none" w:sz="0" w:space="0" w:color="auto"/>
                <w:left w:val="none" w:sz="0" w:space="0" w:color="auto"/>
                <w:bottom w:val="none" w:sz="0" w:space="0" w:color="auto"/>
                <w:right w:val="none" w:sz="0" w:space="0" w:color="auto"/>
              </w:divBdr>
              <w:divsChild>
                <w:div w:id="1694762924">
                  <w:marLeft w:val="0"/>
                  <w:marRight w:val="0"/>
                  <w:marTop w:val="0"/>
                  <w:marBottom w:val="0"/>
                  <w:divBdr>
                    <w:top w:val="none" w:sz="0" w:space="0" w:color="auto"/>
                    <w:left w:val="none" w:sz="0" w:space="0" w:color="auto"/>
                    <w:bottom w:val="none" w:sz="0" w:space="0" w:color="auto"/>
                    <w:right w:val="none" w:sz="0" w:space="0" w:color="auto"/>
                  </w:divBdr>
                </w:div>
              </w:divsChild>
            </w:div>
            <w:div w:id="1434473365">
              <w:marLeft w:val="0"/>
              <w:marRight w:val="0"/>
              <w:marTop w:val="0"/>
              <w:marBottom w:val="0"/>
              <w:divBdr>
                <w:top w:val="none" w:sz="0" w:space="0" w:color="auto"/>
                <w:left w:val="none" w:sz="0" w:space="0" w:color="auto"/>
                <w:bottom w:val="none" w:sz="0" w:space="0" w:color="auto"/>
                <w:right w:val="none" w:sz="0" w:space="0" w:color="auto"/>
              </w:divBdr>
              <w:divsChild>
                <w:div w:id="1854570487">
                  <w:marLeft w:val="0"/>
                  <w:marRight w:val="0"/>
                  <w:marTop w:val="0"/>
                  <w:marBottom w:val="0"/>
                  <w:divBdr>
                    <w:top w:val="none" w:sz="0" w:space="0" w:color="auto"/>
                    <w:left w:val="none" w:sz="0" w:space="0" w:color="auto"/>
                    <w:bottom w:val="none" w:sz="0" w:space="0" w:color="auto"/>
                    <w:right w:val="none" w:sz="0" w:space="0" w:color="auto"/>
                  </w:divBdr>
                </w:div>
              </w:divsChild>
            </w:div>
            <w:div w:id="1672102559">
              <w:marLeft w:val="0"/>
              <w:marRight w:val="0"/>
              <w:marTop w:val="0"/>
              <w:marBottom w:val="0"/>
              <w:divBdr>
                <w:top w:val="none" w:sz="0" w:space="0" w:color="auto"/>
                <w:left w:val="none" w:sz="0" w:space="0" w:color="auto"/>
                <w:bottom w:val="none" w:sz="0" w:space="0" w:color="auto"/>
                <w:right w:val="none" w:sz="0" w:space="0" w:color="auto"/>
              </w:divBdr>
              <w:divsChild>
                <w:div w:id="241835206">
                  <w:marLeft w:val="0"/>
                  <w:marRight w:val="0"/>
                  <w:marTop w:val="0"/>
                  <w:marBottom w:val="0"/>
                  <w:divBdr>
                    <w:top w:val="none" w:sz="0" w:space="0" w:color="auto"/>
                    <w:left w:val="none" w:sz="0" w:space="0" w:color="auto"/>
                    <w:bottom w:val="none" w:sz="0" w:space="0" w:color="auto"/>
                    <w:right w:val="none" w:sz="0" w:space="0" w:color="auto"/>
                  </w:divBdr>
                </w:div>
              </w:divsChild>
            </w:div>
            <w:div w:id="1688363491">
              <w:marLeft w:val="0"/>
              <w:marRight w:val="0"/>
              <w:marTop w:val="0"/>
              <w:marBottom w:val="0"/>
              <w:divBdr>
                <w:top w:val="none" w:sz="0" w:space="0" w:color="auto"/>
                <w:left w:val="none" w:sz="0" w:space="0" w:color="auto"/>
                <w:bottom w:val="none" w:sz="0" w:space="0" w:color="auto"/>
                <w:right w:val="none" w:sz="0" w:space="0" w:color="auto"/>
              </w:divBdr>
              <w:divsChild>
                <w:div w:id="928271912">
                  <w:marLeft w:val="0"/>
                  <w:marRight w:val="0"/>
                  <w:marTop w:val="0"/>
                  <w:marBottom w:val="0"/>
                  <w:divBdr>
                    <w:top w:val="none" w:sz="0" w:space="0" w:color="auto"/>
                    <w:left w:val="none" w:sz="0" w:space="0" w:color="auto"/>
                    <w:bottom w:val="none" w:sz="0" w:space="0" w:color="auto"/>
                    <w:right w:val="none" w:sz="0" w:space="0" w:color="auto"/>
                  </w:divBdr>
                </w:div>
              </w:divsChild>
            </w:div>
            <w:div w:id="1707564995">
              <w:marLeft w:val="0"/>
              <w:marRight w:val="0"/>
              <w:marTop w:val="0"/>
              <w:marBottom w:val="0"/>
              <w:divBdr>
                <w:top w:val="none" w:sz="0" w:space="0" w:color="auto"/>
                <w:left w:val="none" w:sz="0" w:space="0" w:color="auto"/>
                <w:bottom w:val="none" w:sz="0" w:space="0" w:color="auto"/>
                <w:right w:val="none" w:sz="0" w:space="0" w:color="auto"/>
              </w:divBdr>
              <w:divsChild>
                <w:div w:id="1568220635">
                  <w:marLeft w:val="0"/>
                  <w:marRight w:val="0"/>
                  <w:marTop w:val="0"/>
                  <w:marBottom w:val="0"/>
                  <w:divBdr>
                    <w:top w:val="none" w:sz="0" w:space="0" w:color="auto"/>
                    <w:left w:val="none" w:sz="0" w:space="0" w:color="auto"/>
                    <w:bottom w:val="none" w:sz="0" w:space="0" w:color="auto"/>
                    <w:right w:val="none" w:sz="0" w:space="0" w:color="auto"/>
                  </w:divBdr>
                </w:div>
              </w:divsChild>
            </w:div>
            <w:div w:id="2014642939">
              <w:marLeft w:val="0"/>
              <w:marRight w:val="0"/>
              <w:marTop w:val="0"/>
              <w:marBottom w:val="0"/>
              <w:divBdr>
                <w:top w:val="none" w:sz="0" w:space="0" w:color="auto"/>
                <w:left w:val="none" w:sz="0" w:space="0" w:color="auto"/>
                <w:bottom w:val="none" w:sz="0" w:space="0" w:color="auto"/>
                <w:right w:val="none" w:sz="0" w:space="0" w:color="auto"/>
              </w:divBdr>
              <w:divsChild>
                <w:div w:id="207959180">
                  <w:marLeft w:val="0"/>
                  <w:marRight w:val="0"/>
                  <w:marTop w:val="0"/>
                  <w:marBottom w:val="0"/>
                  <w:divBdr>
                    <w:top w:val="none" w:sz="0" w:space="0" w:color="auto"/>
                    <w:left w:val="none" w:sz="0" w:space="0" w:color="auto"/>
                    <w:bottom w:val="none" w:sz="0" w:space="0" w:color="auto"/>
                    <w:right w:val="none" w:sz="0" w:space="0" w:color="auto"/>
                  </w:divBdr>
                </w:div>
              </w:divsChild>
            </w:div>
            <w:div w:id="2116947149">
              <w:marLeft w:val="0"/>
              <w:marRight w:val="0"/>
              <w:marTop w:val="0"/>
              <w:marBottom w:val="0"/>
              <w:divBdr>
                <w:top w:val="none" w:sz="0" w:space="0" w:color="auto"/>
                <w:left w:val="none" w:sz="0" w:space="0" w:color="auto"/>
                <w:bottom w:val="none" w:sz="0" w:space="0" w:color="auto"/>
                <w:right w:val="none" w:sz="0" w:space="0" w:color="auto"/>
              </w:divBdr>
              <w:divsChild>
                <w:div w:id="16192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22421">
          <w:marLeft w:val="0"/>
          <w:marRight w:val="0"/>
          <w:marTop w:val="0"/>
          <w:marBottom w:val="0"/>
          <w:divBdr>
            <w:top w:val="none" w:sz="0" w:space="0" w:color="auto"/>
            <w:left w:val="none" w:sz="0" w:space="0" w:color="auto"/>
            <w:bottom w:val="none" w:sz="0" w:space="0" w:color="auto"/>
            <w:right w:val="none" w:sz="0" w:space="0" w:color="auto"/>
          </w:divBdr>
        </w:div>
        <w:div w:id="1392382944">
          <w:marLeft w:val="0"/>
          <w:marRight w:val="0"/>
          <w:marTop w:val="0"/>
          <w:marBottom w:val="0"/>
          <w:divBdr>
            <w:top w:val="none" w:sz="0" w:space="0" w:color="auto"/>
            <w:left w:val="none" w:sz="0" w:space="0" w:color="auto"/>
            <w:bottom w:val="none" w:sz="0" w:space="0" w:color="auto"/>
            <w:right w:val="none" w:sz="0" w:space="0" w:color="auto"/>
          </w:divBdr>
        </w:div>
        <w:div w:id="1892107364">
          <w:marLeft w:val="0"/>
          <w:marRight w:val="0"/>
          <w:marTop w:val="0"/>
          <w:marBottom w:val="0"/>
          <w:divBdr>
            <w:top w:val="none" w:sz="0" w:space="0" w:color="auto"/>
            <w:left w:val="none" w:sz="0" w:space="0" w:color="auto"/>
            <w:bottom w:val="none" w:sz="0" w:space="0" w:color="auto"/>
            <w:right w:val="none" w:sz="0" w:space="0" w:color="auto"/>
          </w:divBdr>
        </w:div>
        <w:div w:id="2133591724">
          <w:marLeft w:val="0"/>
          <w:marRight w:val="0"/>
          <w:marTop w:val="0"/>
          <w:marBottom w:val="0"/>
          <w:divBdr>
            <w:top w:val="none" w:sz="0" w:space="0" w:color="auto"/>
            <w:left w:val="none" w:sz="0" w:space="0" w:color="auto"/>
            <w:bottom w:val="none" w:sz="0" w:space="0" w:color="auto"/>
            <w:right w:val="none" w:sz="0" w:space="0" w:color="auto"/>
          </w:divBdr>
        </w:div>
      </w:divsChild>
    </w:div>
    <w:div w:id="112292949">
      <w:bodyDiv w:val="1"/>
      <w:marLeft w:val="0"/>
      <w:marRight w:val="0"/>
      <w:marTop w:val="0"/>
      <w:marBottom w:val="0"/>
      <w:divBdr>
        <w:top w:val="none" w:sz="0" w:space="0" w:color="auto"/>
        <w:left w:val="none" w:sz="0" w:space="0" w:color="auto"/>
        <w:bottom w:val="none" w:sz="0" w:space="0" w:color="auto"/>
        <w:right w:val="none" w:sz="0" w:space="0" w:color="auto"/>
      </w:divBdr>
    </w:div>
    <w:div w:id="117143264">
      <w:bodyDiv w:val="1"/>
      <w:marLeft w:val="0"/>
      <w:marRight w:val="0"/>
      <w:marTop w:val="0"/>
      <w:marBottom w:val="0"/>
      <w:divBdr>
        <w:top w:val="none" w:sz="0" w:space="0" w:color="auto"/>
        <w:left w:val="none" w:sz="0" w:space="0" w:color="auto"/>
        <w:bottom w:val="none" w:sz="0" w:space="0" w:color="auto"/>
        <w:right w:val="none" w:sz="0" w:space="0" w:color="auto"/>
      </w:divBdr>
    </w:div>
    <w:div w:id="127629255">
      <w:bodyDiv w:val="1"/>
      <w:marLeft w:val="0"/>
      <w:marRight w:val="0"/>
      <w:marTop w:val="0"/>
      <w:marBottom w:val="0"/>
      <w:divBdr>
        <w:top w:val="none" w:sz="0" w:space="0" w:color="auto"/>
        <w:left w:val="none" w:sz="0" w:space="0" w:color="auto"/>
        <w:bottom w:val="none" w:sz="0" w:space="0" w:color="auto"/>
        <w:right w:val="none" w:sz="0" w:space="0" w:color="auto"/>
      </w:divBdr>
      <w:divsChild>
        <w:div w:id="53049047">
          <w:marLeft w:val="0"/>
          <w:marRight w:val="0"/>
          <w:marTop w:val="0"/>
          <w:marBottom w:val="0"/>
          <w:divBdr>
            <w:top w:val="none" w:sz="0" w:space="0" w:color="auto"/>
            <w:left w:val="none" w:sz="0" w:space="0" w:color="auto"/>
            <w:bottom w:val="none" w:sz="0" w:space="0" w:color="auto"/>
            <w:right w:val="none" w:sz="0" w:space="0" w:color="auto"/>
          </w:divBdr>
          <w:divsChild>
            <w:div w:id="1105035250">
              <w:marLeft w:val="0"/>
              <w:marRight w:val="0"/>
              <w:marTop w:val="0"/>
              <w:marBottom w:val="0"/>
              <w:divBdr>
                <w:top w:val="none" w:sz="0" w:space="0" w:color="auto"/>
                <w:left w:val="none" w:sz="0" w:space="0" w:color="auto"/>
                <w:bottom w:val="none" w:sz="0" w:space="0" w:color="auto"/>
                <w:right w:val="none" w:sz="0" w:space="0" w:color="auto"/>
              </w:divBdr>
            </w:div>
          </w:divsChild>
        </w:div>
        <w:div w:id="244145676">
          <w:marLeft w:val="0"/>
          <w:marRight w:val="0"/>
          <w:marTop w:val="0"/>
          <w:marBottom w:val="0"/>
          <w:divBdr>
            <w:top w:val="none" w:sz="0" w:space="0" w:color="auto"/>
            <w:left w:val="none" w:sz="0" w:space="0" w:color="auto"/>
            <w:bottom w:val="none" w:sz="0" w:space="0" w:color="auto"/>
            <w:right w:val="none" w:sz="0" w:space="0" w:color="auto"/>
          </w:divBdr>
          <w:divsChild>
            <w:div w:id="393629131">
              <w:marLeft w:val="0"/>
              <w:marRight w:val="0"/>
              <w:marTop w:val="0"/>
              <w:marBottom w:val="0"/>
              <w:divBdr>
                <w:top w:val="none" w:sz="0" w:space="0" w:color="auto"/>
                <w:left w:val="none" w:sz="0" w:space="0" w:color="auto"/>
                <w:bottom w:val="none" w:sz="0" w:space="0" w:color="auto"/>
                <w:right w:val="none" w:sz="0" w:space="0" w:color="auto"/>
              </w:divBdr>
            </w:div>
            <w:div w:id="688456211">
              <w:marLeft w:val="0"/>
              <w:marRight w:val="0"/>
              <w:marTop w:val="0"/>
              <w:marBottom w:val="0"/>
              <w:divBdr>
                <w:top w:val="none" w:sz="0" w:space="0" w:color="auto"/>
                <w:left w:val="none" w:sz="0" w:space="0" w:color="auto"/>
                <w:bottom w:val="none" w:sz="0" w:space="0" w:color="auto"/>
                <w:right w:val="none" w:sz="0" w:space="0" w:color="auto"/>
              </w:divBdr>
            </w:div>
            <w:div w:id="123138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7342">
      <w:bodyDiv w:val="1"/>
      <w:marLeft w:val="0"/>
      <w:marRight w:val="0"/>
      <w:marTop w:val="0"/>
      <w:marBottom w:val="0"/>
      <w:divBdr>
        <w:top w:val="none" w:sz="0" w:space="0" w:color="auto"/>
        <w:left w:val="none" w:sz="0" w:space="0" w:color="auto"/>
        <w:bottom w:val="none" w:sz="0" w:space="0" w:color="auto"/>
        <w:right w:val="none" w:sz="0" w:space="0" w:color="auto"/>
      </w:divBdr>
    </w:div>
    <w:div w:id="277223296">
      <w:bodyDiv w:val="1"/>
      <w:marLeft w:val="0"/>
      <w:marRight w:val="0"/>
      <w:marTop w:val="0"/>
      <w:marBottom w:val="0"/>
      <w:divBdr>
        <w:top w:val="none" w:sz="0" w:space="0" w:color="auto"/>
        <w:left w:val="none" w:sz="0" w:space="0" w:color="auto"/>
        <w:bottom w:val="none" w:sz="0" w:space="0" w:color="auto"/>
        <w:right w:val="none" w:sz="0" w:space="0" w:color="auto"/>
      </w:divBdr>
    </w:div>
    <w:div w:id="406222971">
      <w:bodyDiv w:val="1"/>
      <w:marLeft w:val="0"/>
      <w:marRight w:val="0"/>
      <w:marTop w:val="0"/>
      <w:marBottom w:val="0"/>
      <w:divBdr>
        <w:top w:val="none" w:sz="0" w:space="0" w:color="auto"/>
        <w:left w:val="none" w:sz="0" w:space="0" w:color="auto"/>
        <w:bottom w:val="none" w:sz="0" w:space="0" w:color="auto"/>
        <w:right w:val="none" w:sz="0" w:space="0" w:color="auto"/>
      </w:divBdr>
    </w:div>
    <w:div w:id="420756843">
      <w:bodyDiv w:val="1"/>
      <w:marLeft w:val="0"/>
      <w:marRight w:val="0"/>
      <w:marTop w:val="0"/>
      <w:marBottom w:val="0"/>
      <w:divBdr>
        <w:top w:val="none" w:sz="0" w:space="0" w:color="auto"/>
        <w:left w:val="none" w:sz="0" w:space="0" w:color="auto"/>
        <w:bottom w:val="none" w:sz="0" w:space="0" w:color="auto"/>
        <w:right w:val="none" w:sz="0" w:space="0" w:color="auto"/>
      </w:divBdr>
    </w:div>
    <w:div w:id="544948229">
      <w:bodyDiv w:val="1"/>
      <w:marLeft w:val="0"/>
      <w:marRight w:val="0"/>
      <w:marTop w:val="0"/>
      <w:marBottom w:val="0"/>
      <w:divBdr>
        <w:top w:val="none" w:sz="0" w:space="0" w:color="auto"/>
        <w:left w:val="none" w:sz="0" w:space="0" w:color="auto"/>
        <w:bottom w:val="none" w:sz="0" w:space="0" w:color="auto"/>
        <w:right w:val="none" w:sz="0" w:space="0" w:color="auto"/>
      </w:divBdr>
    </w:div>
    <w:div w:id="575672251">
      <w:bodyDiv w:val="1"/>
      <w:marLeft w:val="0"/>
      <w:marRight w:val="0"/>
      <w:marTop w:val="0"/>
      <w:marBottom w:val="0"/>
      <w:divBdr>
        <w:top w:val="none" w:sz="0" w:space="0" w:color="auto"/>
        <w:left w:val="none" w:sz="0" w:space="0" w:color="auto"/>
        <w:bottom w:val="none" w:sz="0" w:space="0" w:color="auto"/>
        <w:right w:val="none" w:sz="0" w:space="0" w:color="auto"/>
      </w:divBdr>
    </w:div>
    <w:div w:id="629283382">
      <w:bodyDiv w:val="1"/>
      <w:marLeft w:val="0"/>
      <w:marRight w:val="0"/>
      <w:marTop w:val="0"/>
      <w:marBottom w:val="0"/>
      <w:divBdr>
        <w:top w:val="none" w:sz="0" w:space="0" w:color="auto"/>
        <w:left w:val="none" w:sz="0" w:space="0" w:color="auto"/>
        <w:bottom w:val="none" w:sz="0" w:space="0" w:color="auto"/>
        <w:right w:val="none" w:sz="0" w:space="0" w:color="auto"/>
      </w:divBdr>
    </w:div>
    <w:div w:id="730348987">
      <w:bodyDiv w:val="1"/>
      <w:marLeft w:val="0"/>
      <w:marRight w:val="0"/>
      <w:marTop w:val="0"/>
      <w:marBottom w:val="0"/>
      <w:divBdr>
        <w:top w:val="none" w:sz="0" w:space="0" w:color="auto"/>
        <w:left w:val="none" w:sz="0" w:space="0" w:color="auto"/>
        <w:bottom w:val="none" w:sz="0" w:space="0" w:color="auto"/>
        <w:right w:val="none" w:sz="0" w:space="0" w:color="auto"/>
      </w:divBdr>
    </w:div>
    <w:div w:id="764812434">
      <w:bodyDiv w:val="1"/>
      <w:marLeft w:val="0"/>
      <w:marRight w:val="0"/>
      <w:marTop w:val="0"/>
      <w:marBottom w:val="0"/>
      <w:divBdr>
        <w:top w:val="none" w:sz="0" w:space="0" w:color="auto"/>
        <w:left w:val="none" w:sz="0" w:space="0" w:color="auto"/>
        <w:bottom w:val="none" w:sz="0" w:space="0" w:color="auto"/>
        <w:right w:val="none" w:sz="0" w:space="0" w:color="auto"/>
      </w:divBdr>
    </w:div>
    <w:div w:id="796484681">
      <w:bodyDiv w:val="1"/>
      <w:marLeft w:val="0"/>
      <w:marRight w:val="0"/>
      <w:marTop w:val="0"/>
      <w:marBottom w:val="0"/>
      <w:divBdr>
        <w:top w:val="none" w:sz="0" w:space="0" w:color="auto"/>
        <w:left w:val="none" w:sz="0" w:space="0" w:color="auto"/>
        <w:bottom w:val="none" w:sz="0" w:space="0" w:color="auto"/>
        <w:right w:val="none" w:sz="0" w:space="0" w:color="auto"/>
      </w:divBdr>
    </w:div>
    <w:div w:id="797798978">
      <w:bodyDiv w:val="1"/>
      <w:marLeft w:val="0"/>
      <w:marRight w:val="0"/>
      <w:marTop w:val="0"/>
      <w:marBottom w:val="0"/>
      <w:divBdr>
        <w:top w:val="none" w:sz="0" w:space="0" w:color="auto"/>
        <w:left w:val="none" w:sz="0" w:space="0" w:color="auto"/>
        <w:bottom w:val="none" w:sz="0" w:space="0" w:color="auto"/>
        <w:right w:val="none" w:sz="0" w:space="0" w:color="auto"/>
      </w:divBdr>
    </w:div>
    <w:div w:id="845708903">
      <w:bodyDiv w:val="1"/>
      <w:marLeft w:val="0"/>
      <w:marRight w:val="0"/>
      <w:marTop w:val="0"/>
      <w:marBottom w:val="0"/>
      <w:divBdr>
        <w:top w:val="none" w:sz="0" w:space="0" w:color="auto"/>
        <w:left w:val="none" w:sz="0" w:space="0" w:color="auto"/>
        <w:bottom w:val="none" w:sz="0" w:space="0" w:color="auto"/>
        <w:right w:val="none" w:sz="0" w:space="0" w:color="auto"/>
      </w:divBdr>
      <w:divsChild>
        <w:div w:id="743895">
          <w:marLeft w:val="0"/>
          <w:marRight w:val="0"/>
          <w:marTop w:val="0"/>
          <w:marBottom w:val="0"/>
          <w:divBdr>
            <w:top w:val="none" w:sz="0" w:space="0" w:color="auto"/>
            <w:left w:val="none" w:sz="0" w:space="0" w:color="auto"/>
            <w:bottom w:val="none" w:sz="0" w:space="0" w:color="auto"/>
            <w:right w:val="none" w:sz="0" w:space="0" w:color="auto"/>
          </w:divBdr>
          <w:divsChild>
            <w:div w:id="1158307126">
              <w:marLeft w:val="0"/>
              <w:marRight w:val="0"/>
              <w:marTop w:val="0"/>
              <w:marBottom w:val="0"/>
              <w:divBdr>
                <w:top w:val="none" w:sz="0" w:space="0" w:color="auto"/>
                <w:left w:val="none" w:sz="0" w:space="0" w:color="auto"/>
                <w:bottom w:val="none" w:sz="0" w:space="0" w:color="auto"/>
                <w:right w:val="none" w:sz="0" w:space="0" w:color="auto"/>
              </w:divBdr>
            </w:div>
          </w:divsChild>
        </w:div>
        <w:div w:id="5720399">
          <w:marLeft w:val="0"/>
          <w:marRight w:val="0"/>
          <w:marTop w:val="0"/>
          <w:marBottom w:val="0"/>
          <w:divBdr>
            <w:top w:val="none" w:sz="0" w:space="0" w:color="auto"/>
            <w:left w:val="none" w:sz="0" w:space="0" w:color="auto"/>
            <w:bottom w:val="none" w:sz="0" w:space="0" w:color="auto"/>
            <w:right w:val="none" w:sz="0" w:space="0" w:color="auto"/>
          </w:divBdr>
          <w:divsChild>
            <w:div w:id="1679307693">
              <w:marLeft w:val="0"/>
              <w:marRight w:val="0"/>
              <w:marTop w:val="0"/>
              <w:marBottom w:val="0"/>
              <w:divBdr>
                <w:top w:val="none" w:sz="0" w:space="0" w:color="auto"/>
                <w:left w:val="none" w:sz="0" w:space="0" w:color="auto"/>
                <w:bottom w:val="none" w:sz="0" w:space="0" w:color="auto"/>
                <w:right w:val="none" w:sz="0" w:space="0" w:color="auto"/>
              </w:divBdr>
            </w:div>
          </w:divsChild>
        </w:div>
        <w:div w:id="14120588">
          <w:marLeft w:val="0"/>
          <w:marRight w:val="0"/>
          <w:marTop w:val="0"/>
          <w:marBottom w:val="0"/>
          <w:divBdr>
            <w:top w:val="none" w:sz="0" w:space="0" w:color="auto"/>
            <w:left w:val="none" w:sz="0" w:space="0" w:color="auto"/>
            <w:bottom w:val="none" w:sz="0" w:space="0" w:color="auto"/>
            <w:right w:val="none" w:sz="0" w:space="0" w:color="auto"/>
          </w:divBdr>
          <w:divsChild>
            <w:div w:id="265506955">
              <w:marLeft w:val="0"/>
              <w:marRight w:val="0"/>
              <w:marTop w:val="0"/>
              <w:marBottom w:val="0"/>
              <w:divBdr>
                <w:top w:val="none" w:sz="0" w:space="0" w:color="auto"/>
                <w:left w:val="none" w:sz="0" w:space="0" w:color="auto"/>
                <w:bottom w:val="none" w:sz="0" w:space="0" w:color="auto"/>
                <w:right w:val="none" w:sz="0" w:space="0" w:color="auto"/>
              </w:divBdr>
            </w:div>
          </w:divsChild>
        </w:div>
        <w:div w:id="19011006">
          <w:marLeft w:val="0"/>
          <w:marRight w:val="0"/>
          <w:marTop w:val="0"/>
          <w:marBottom w:val="0"/>
          <w:divBdr>
            <w:top w:val="none" w:sz="0" w:space="0" w:color="auto"/>
            <w:left w:val="none" w:sz="0" w:space="0" w:color="auto"/>
            <w:bottom w:val="none" w:sz="0" w:space="0" w:color="auto"/>
            <w:right w:val="none" w:sz="0" w:space="0" w:color="auto"/>
          </w:divBdr>
          <w:divsChild>
            <w:div w:id="1731080155">
              <w:marLeft w:val="0"/>
              <w:marRight w:val="0"/>
              <w:marTop w:val="0"/>
              <w:marBottom w:val="0"/>
              <w:divBdr>
                <w:top w:val="none" w:sz="0" w:space="0" w:color="auto"/>
                <w:left w:val="none" w:sz="0" w:space="0" w:color="auto"/>
                <w:bottom w:val="none" w:sz="0" w:space="0" w:color="auto"/>
                <w:right w:val="none" w:sz="0" w:space="0" w:color="auto"/>
              </w:divBdr>
            </w:div>
          </w:divsChild>
        </w:div>
        <w:div w:id="25060065">
          <w:marLeft w:val="0"/>
          <w:marRight w:val="0"/>
          <w:marTop w:val="0"/>
          <w:marBottom w:val="0"/>
          <w:divBdr>
            <w:top w:val="none" w:sz="0" w:space="0" w:color="auto"/>
            <w:left w:val="none" w:sz="0" w:space="0" w:color="auto"/>
            <w:bottom w:val="none" w:sz="0" w:space="0" w:color="auto"/>
            <w:right w:val="none" w:sz="0" w:space="0" w:color="auto"/>
          </w:divBdr>
          <w:divsChild>
            <w:div w:id="672032411">
              <w:marLeft w:val="0"/>
              <w:marRight w:val="0"/>
              <w:marTop w:val="0"/>
              <w:marBottom w:val="0"/>
              <w:divBdr>
                <w:top w:val="none" w:sz="0" w:space="0" w:color="auto"/>
                <w:left w:val="none" w:sz="0" w:space="0" w:color="auto"/>
                <w:bottom w:val="none" w:sz="0" w:space="0" w:color="auto"/>
                <w:right w:val="none" w:sz="0" w:space="0" w:color="auto"/>
              </w:divBdr>
            </w:div>
          </w:divsChild>
        </w:div>
        <w:div w:id="27799795">
          <w:marLeft w:val="0"/>
          <w:marRight w:val="0"/>
          <w:marTop w:val="0"/>
          <w:marBottom w:val="0"/>
          <w:divBdr>
            <w:top w:val="none" w:sz="0" w:space="0" w:color="auto"/>
            <w:left w:val="none" w:sz="0" w:space="0" w:color="auto"/>
            <w:bottom w:val="none" w:sz="0" w:space="0" w:color="auto"/>
            <w:right w:val="none" w:sz="0" w:space="0" w:color="auto"/>
          </w:divBdr>
          <w:divsChild>
            <w:div w:id="1346634365">
              <w:marLeft w:val="0"/>
              <w:marRight w:val="0"/>
              <w:marTop w:val="0"/>
              <w:marBottom w:val="0"/>
              <w:divBdr>
                <w:top w:val="none" w:sz="0" w:space="0" w:color="auto"/>
                <w:left w:val="none" w:sz="0" w:space="0" w:color="auto"/>
                <w:bottom w:val="none" w:sz="0" w:space="0" w:color="auto"/>
                <w:right w:val="none" w:sz="0" w:space="0" w:color="auto"/>
              </w:divBdr>
            </w:div>
          </w:divsChild>
        </w:div>
        <w:div w:id="31154829">
          <w:marLeft w:val="0"/>
          <w:marRight w:val="0"/>
          <w:marTop w:val="0"/>
          <w:marBottom w:val="0"/>
          <w:divBdr>
            <w:top w:val="none" w:sz="0" w:space="0" w:color="auto"/>
            <w:left w:val="none" w:sz="0" w:space="0" w:color="auto"/>
            <w:bottom w:val="none" w:sz="0" w:space="0" w:color="auto"/>
            <w:right w:val="none" w:sz="0" w:space="0" w:color="auto"/>
          </w:divBdr>
          <w:divsChild>
            <w:div w:id="1101296044">
              <w:marLeft w:val="0"/>
              <w:marRight w:val="0"/>
              <w:marTop w:val="0"/>
              <w:marBottom w:val="0"/>
              <w:divBdr>
                <w:top w:val="none" w:sz="0" w:space="0" w:color="auto"/>
                <w:left w:val="none" w:sz="0" w:space="0" w:color="auto"/>
                <w:bottom w:val="none" w:sz="0" w:space="0" w:color="auto"/>
                <w:right w:val="none" w:sz="0" w:space="0" w:color="auto"/>
              </w:divBdr>
            </w:div>
          </w:divsChild>
        </w:div>
        <w:div w:id="35474561">
          <w:marLeft w:val="0"/>
          <w:marRight w:val="0"/>
          <w:marTop w:val="0"/>
          <w:marBottom w:val="0"/>
          <w:divBdr>
            <w:top w:val="none" w:sz="0" w:space="0" w:color="auto"/>
            <w:left w:val="none" w:sz="0" w:space="0" w:color="auto"/>
            <w:bottom w:val="none" w:sz="0" w:space="0" w:color="auto"/>
            <w:right w:val="none" w:sz="0" w:space="0" w:color="auto"/>
          </w:divBdr>
          <w:divsChild>
            <w:div w:id="88964972">
              <w:marLeft w:val="0"/>
              <w:marRight w:val="0"/>
              <w:marTop w:val="0"/>
              <w:marBottom w:val="0"/>
              <w:divBdr>
                <w:top w:val="none" w:sz="0" w:space="0" w:color="auto"/>
                <w:left w:val="none" w:sz="0" w:space="0" w:color="auto"/>
                <w:bottom w:val="none" w:sz="0" w:space="0" w:color="auto"/>
                <w:right w:val="none" w:sz="0" w:space="0" w:color="auto"/>
              </w:divBdr>
            </w:div>
          </w:divsChild>
        </w:div>
        <w:div w:id="47069321">
          <w:marLeft w:val="0"/>
          <w:marRight w:val="0"/>
          <w:marTop w:val="0"/>
          <w:marBottom w:val="0"/>
          <w:divBdr>
            <w:top w:val="none" w:sz="0" w:space="0" w:color="auto"/>
            <w:left w:val="none" w:sz="0" w:space="0" w:color="auto"/>
            <w:bottom w:val="none" w:sz="0" w:space="0" w:color="auto"/>
            <w:right w:val="none" w:sz="0" w:space="0" w:color="auto"/>
          </w:divBdr>
          <w:divsChild>
            <w:div w:id="2003853242">
              <w:marLeft w:val="0"/>
              <w:marRight w:val="0"/>
              <w:marTop w:val="0"/>
              <w:marBottom w:val="0"/>
              <w:divBdr>
                <w:top w:val="none" w:sz="0" w:space="0" w:color="auto"/>
                <w:left w:val="none" w:sz="0" w:space="0" w:color="auto"/>
                <w:bottom w:val="none" w:sz="0" w:space="0" w:color="auto"/>
                <w:right w:val="none" w:sz="0" w:space="0" w:color="auto"/>
              </w:divBdr>
            </w:div>
          </w:divsChild>
        </w:div>
        <w:div w:id="48891140">
          <w:marLeft w:val="0"/>
          <w:marRight w:val="0"/>
          <w:marTop w:val="0"/>
          <w:marBottom w:val="0"/>
          <w:divBdr>
            <w:top w:val="none" w:sz="0" w:space="0" w:color="auto"/>
            <w:left w:val="none" w:sz="0" w:space="0" w:color="auto"/>
            <w:bottom w:val="none" w:sz="0" w:space="0" w:color="auto"/>
            <w:right w:val="none" w:sz="0" w:space="0" w:color="auto"/>
          </w:divBdr>
          <w:divsChild>
            <w:div w:id="91246162">
              <w:marLeft w:val="0"/>
              <w:marRight w:val="0"/>
              <w:marTop w:val="0"/>
              <w:marBottom w:val="0"/>
              <w:divBdr>
                <w:top w:val="none" w:sz="0" w:space="0" w:color="auto"/>
                <w:left w:val="none" w:sz="0" w:space="0" w:color="auto"/>
                <w:bottom w:val="none" w:sz="0" w:space="0" w:color="auto"/>
                <w:right w:val="none" w:sz="0" w:space="0" w:color="auto"/>
              </w:divBdr>
            </w:div>
            <w:div w:id="424153006">
              <w:marLeft w:val="0"/>
              <w:marRight w:val="0"/>
              <w:marTop w:val="0"/>
              <w:marBottom w:val="0"/>
              <w:divBdr>
                <w:top w:val="none" w:sz="0" w:space="0" w:color="auto"/>
                <w:left w:val="none" w:sz="0" w:space="0" w:color="auto"/>
                <w:bottom w:val="none" w:sz="0" w:space="0" w:color="auto"/>
                <w:right w:val="none" w:sz="0" w:space="0" w:color="auto"/>
              </w:divBdr>
            </w:div>
            <w:div w:id="1049572506">
              <w:marLeft w:val="0"/>
              <w:marRight w:val="0"/>
              <w:marTop w:val="0"/>
              <w:marBottom w:val="0"/>
              <w:divBdr>
                <w:top w:val="none" w:sz="0" w:space="0" w:color="auto"/>
                <w:left w:val="none" w:sz="0" w:space="0" w:color="auto"/>
                <w:bottom w:val="none" w:sz="0" w:space="0" w:color="auto"/>
                <w:right w:val="none" w:sz="0" w:space="0" w:color="auto"/>
              </w:divBdr>
            </w:div>
            <w:div w:id="1239170829">
              <w:marLeft w:val="0"/>
              <w:marRight w:val="0"/>
              <w:marTop w:val="0"/>
              <w:marBottom w:val="0"/>
              <w:divBdr>
                <w:top w:val="none" w:sz="0" w:space="0" w:color="auto"/>
                <w:left w:val="none" w:sz="0" w:space="0" w:color="auto"/>
                <w:bottom w:val="none" w:sz="0" w:space="0" w:color="auto"/>
                <w:right w:val="none" w:sz="0" w:space="0" w:color="auto"/>
              </w:divBdr>
            </w:div>
            <w:div w:id="1616980903">
              <w:marLeft w:val="0"/>
              <w:marRight w:val="0"/>
              <w:marTop w:val="0"/>
              <w:marBottom w:val="0"/>
              <w:divBdr>
                <w:top w:val="none" w:sz="0" w:space="0" w:color="auto"/>
                <w:left w:val="none" w:sz="0" w:space="0" w:color="auto"/>
                <w:bottom w:val="none" w:sz="0" w:space="0" w:color="auto"/>
                <w:right w:val="none" w:sz="0" w:space="0" w:color="auto"/>
              </w:divBdr>
            </w:div>
            <w:div w:id="1990212302">
              <w:marLeft w:val="0"/>
              <w:marRight w:val="0"/>
              <w:marTop w:val="0"/>
              <w:marBottom w:val="0"/>
              <w:divBdr>
                <w:top w:val="none" w:sz="0" w:space="0" w:color="auto"/>
                <w:left w:val="none" w:sz="0" w:space="0" w:color="auto"/>
                <w:bottom w:val="none" w:sz="0" w:space="0" w:color="auto"/>
                <w:right w:val="none" w:sz="0" w:space="0" w:color="auto"/>
              </w:divBdr>
            </w:div>
            <w:div w:id="2135753587">
              <w:marLeft w:val="0"/>
              <w:marRight w:val="0"/>
              <w:marTop w:val="0"/>
              <w:marBottom w:val="0"/>
              <w:divBdr>
                <w:top w:val="none" w:sz="0" w:space="0" w:color="auto"/>
                <w:left w:val="none" w:sz="0" w:space="0" w:color="auto"/>
                <w:bottom w:val="none" w:sz="0" w:space="0" w:color="auto"/>
                <w:right w:val="none" w:sz="0" w:space="0" w:color="auto"/>
              </w:divBdr>
            </w:div>
          </w:divsChild>
        </w:div>
        <w:div w:id="60569824">
          <w:marLeft w:val="0"/>
          <w:marRight w:val="0"/>
          <w:marTop w:val="0"/>
          <w:marBottom w:val="0"/>
          <w:divBdr>
            <w:top w:val="none" w:sz="0" w:space="0" w:color="auto"/>
            <w:left w:val="none" w:sz="0" w:space="0" w:color="auto"/>
            <w:bottom w:val="none" w:sz="0" w:space="0" w:color="auto"/>
            <w:right w:val="none" w:sz="0" w:space="0" w:color="auto"/>
          </w:divBdr>
          <w:divsChild>
            <w:div w:id="301497636">
              <w:marLeft w:val="0"/>
              <w:marRight w:val="0"/>
              <w:marTop w:val="0"/>
              <w:marBottom w:val="0"/>
              <w:divBdr>
                <w:top w:val="none" w:sz="0" w:space="0" w:color="auto"/>
                <w:left w:val="none" w:sz="0" w:space="0" w:color="auto"/>
                <w:bottom w:val="none" w:sz="0" w:space="0" w:color="auto"/>
                <w:right w:val="none" w:sz="0" w:space="0" w:color="auto"/>
              </w:divBdr>
            </w:div>
          </w:divsChild>
        </w:div>
        <w:div w:id="69156115">
          <w:marLeft w:val="0"/>
          <w:marRight w:val="0"/>
          <w:marTop w:val="0"/>
          <w:marBottom w:val="0"/>
          <w:divBdr>
            <w:top w:val="none" w:sz="0" w:space="0" w:color="auto"/>
            <w:left w:val="none" w:sz="0" w:space="0" w:color="auto"/>
            <w:bottom w:val="none" w:sz="0" w:space="0" w:color="auto"/>
            <w:right w:val="none" w:sz="0" w:space="0" w:color="auto"/>
          </w:divBdr>
          <w:divsChild>
            <w:div w:id="1782918577">
              <w:marLeft w:val="0"/>
              <w:marRight w:val="0"/>
              <w:marTop w:val="0"/>
              <w:marBottom w:val="0"/>
              <w:divBdr>
                <w:top w:val="none" w:sz="0" w:space="0" w:color="auto"/>
                <w:left w:val="none" w:sz="0" w:space="0" w:color="auto"/>
                <w:bottom w:val="none" w:sz="0" w:space="0" w:color="auto"/>
                <w:right w:val="none" w:sz="0" w:space="0" w:color="auto"/>
              </w:divBdr>
            </w:div>
          </w:divsChild>
        </w:div>
        <w:div w:id="83458894">
          <w:marLeft w:val="0"/>
          <w:marRight w:val="0"/>
          <w:marTop w:val="0"/>
          <w:marBottom w:val="0"/>
          <w:divBdr>
            <w:top w:val="none" w:sz="0" w:space="0" w:color="auto"/>
            <w:left w:val="none" w:sz="0" w:space="0" w:color="auto"/>
            <w:bottom w:val="none" w:sz="0" w:space="0" w:color="auto"/>
            <w:right w:val="none" w:sz="0" w:space="0" w:color="auto"/>
          </w:divBdr>
          <w:divsChild>
            <w:div w:id="1141076573">
              <w:marLeft w:val="0"/>
              <w:marRight w:val="0"/>
              <w:marTop w:val="0"/>
              <w:marBottom w:val="0"/>
              <w:divBdr>
                <w:top w:val="none" w:sz="0" w:space="0" w:color="auto"/>
                <w:left w:val="none" w:sz="0" w:space="0" w:color="auto"/>
                <w:bottom w:val="none" w:sz="0" w:space="0" w:color="auto"/>
                <w:right w:val="none" w:sz="0" w:space="0" w:color="auto"/>
              </w:divBdr>
            </w:div>
          </w:divsChild>
        </w:div>
        <w:div w:id="86390763">
          <w:marLeft w:val="0"/>
          <w:marRight w:val="0"/>
          <w:marTop w:val="0"/>
          <w:marBottom w:val="0"/>
          <w:divBdr>
            <w:top w:val="none" w:sz="0" w:space="0" w:color="auto"/>
            <w:left w:val="none" w:sz="0" w:space="0" w:color="auto"/>
            <w:bottom w:val="none" w:sz="0" w:space="0" w:color="auto"/>
            <w:right w:val="none" w:sz="0" w:space="0" w:color="auto"/>
          </w:divBdr>
          <w:divsChild>
            <w:div w:id="1197738799">
              <w:marLeft w:val="0"/>
              <w:marRight w:val="0"/>
              <w:marTop w:val="0"/>
              <w:marBottom w:val="0"/>
              <w:divBdr>
                <w:top w:val="none" w:sz="0" w:space="0" w:color="auto"/>
                <w:left w:val="none" w:sz="0" w:space="0" w:color="auto"/>
                <w:bottom w:val="none" w:sz="0" w:space="0" w:color="auto"/>
                <w:right w:val="none" w:sz="0" w:space="0" w:color="auto"/>
              </w:divBdr>
            </w:div>
          </w:divsChild>
        </w:div>
        <w:div w:id="106892841">
          <w:marLeft w:val="0"/>
          <w:marRight w:val="0"/>
          <w:marTop w:val="0"/>
          <w:marBottom w:val="0"/>
          <w:divBdr>
            <w:top w:val="none" w:sz="0" w:space="0" w:color="auto"/>
            <w:left w:val="none" w:sz="0" w:space="0" w:color="auto"/>
            <w:bottom w:val="none" w:sz="0" w:space="0" w:color="auto"/>
            <w:right w:val="none" w:sz="0" w:space="0" w:color="auto"/>
          </w:divBdr>
          <w:divsChild>
            <w:div w:id="266278610">
              <w:marLeft w:val="0"/>
              <w:marRight w:val="0"/>
              <w:marTop w:val="0"/>
              <w:marBottom w:val="0"/>
              <w:divBdr>
                <w:top w:val="none" w:sz="0" w:space="0" w:color="auto"/>
                <w:left w:val="none" w:sz="0" w:space="0" w:color="auto"/>
                <w:bottom w:val="none" w:sz="0" w:space="0" w:color="auto"/>
                <w:right w:val="none" w:sz="0" w:space="0" w:color="auto"/>
              </w:divBdr>
            </w:div>
          </w:divsChild>
        </w:div>
        <w:div w:id="116460754">
          <w:marLeft w:val="0"/>
          <w:marRight w:val="0"/>
          <w:marTop w:val="0"/>
          <w:marBottom w:val="0"/>
          <w:divBdr>
            <w:top w:val="none" w:sz="0" w:space="0" w:color="auto"/>
            <w:left w:val="none" w:sz="0" w:space="0" w:color="auto"/>
            <w:bottom w:val="none" w:sz="0" w:space="0" w:color="auto"/>
            <w:right w:val="none" w:sz="0" w:space="0" w:color="auto"/>
          </w:divBdr>
          <w:divsChild>
            <w:div w:id="1534070428">
              <w:marLeft w:val="0"/>
              <w:marRight w:val="0"/>
              <w:marTop w:val="0"/>
              <w:marBottom w:val="0"/>
              <w:divBdr>
                <w:top w:val="none" w:sz="0" w:space="0" w:color="auto"/>
                <w:left w:val="none" w:sz="0" w:space="0" w:color="auto"/>
                <w:bottom w:val="none" w:sz="0" w:space="0" w:color="auto"/>
                <w:right w:val="none" w:sz="0" w:space="0" w:color="auto"/>
              </w:divBdr>
            </w:div>
          </w:divsChild>
        </w:div>
        <w:div w:id="125780606">
          <w:marLeft w:val="0"/>
          <w:marRight w:val="0"/>
          <w:marTop w:val="0"/>
          <w:marBottom w:val="0"/>
          <w:divBdr>
            <w:top w:val="none" w:sz="0" w:space="0" w:color="auto"/>
            <w:left w:val="none" w:sz="0" w:space="0" w:color="auto"/>
            <w:bottom w:val="none" w:sz="0" w:space="0" w:color="auto"/>
            <w:right w:val="none" w:sz="0" w:space="0" w:color="auto"/>
          </w:divBdr>
          <w:divsChild>
            <w:div w:id="1994292309">
              <w:marLeft w:val="0"/>
              <w:marRight w:val="0"/>
              <w:marTop w:val="0"/>
              <w:marBottom w:val="0"/>
              <w:divBdr>
                <w:top w:val="none" w:sz="0" w:space="0" w:color="auto"/>
                <w:left w:val="none" w:sz="0" w:space="0" w:color="auto"/>
                <w:bottom w:val="none" w:sz="0" w:space="0" w:color="auto"/>
                <w:right w:val="none" w:sz="0" w:space="0" w:color="auto"/>
              </w:divBdr>
            </w:div>
          </w:divsChild>
        </w:div>
        <w:div w:id="128523684">
          <w:marLeft w:val="0"/>
          <w:marRight w:val="0"/>
          <w:marTop w:val="0"/>
          <w:marBottom w:val="0"/>
          <w:divBdr>
            <w:top w:val="none" w:sz="0" w:space="0" w:color="auto"/>
            <w:left w:val="none" w:sz="0" w:space="0" w:color="auto"/>
            <w:bottom w:val="none" w:sz="0" w:space="0" w:color="auto"/>
            <w:right w:val="none" w:sz="0" w:space="0" w:color="auto"/>
          </w:divBdr>
          <w:divsChild>
            <w:div w:id="825511872">
              <w:marLeft w:val="0"/>
              <w:marRight w:val="0"/>
              <w:marTop w:val="0"/>
              <w:marBottom w:val="0"/>
              <w:divBdr>
                <w:top w:val="none" w:sz="0" w:space="0" w:color="auto"/>
                <w:left w:val="none" w:sz="0" w:space="0" w:color="auto"/>
                <w:bottom w:val="none" w:sz="0" w:space="0" w:color="auto"/>
                <w:right w:val="none" w:sz="0" w:space="0" w:color="auto"/>
              </w:divBdr>
            </w:div>
          </w:divsChild>
        </w:div>
        <w:div w:id="132063163">
          <w:marLeft w:val="0"/>
          <w:marRight w:val="0"/>
          <w:marTop w:val="0"/>
          <w:marBottom w:val="0"/>
          <w:divBdr>
            <w:top w:val="none" w:sz="0" w:space="0" w:color="auto"/>
            <w:left w:val="none" w:sz="0" w:space="0" w:color="auto"/>
            <w:bottom w:val="none" w:sz="0" w:space="0" w:color="auto"/>
            <w:right w:val="none" w:sz="0" w:space="0" w:color="auto"/>
          </w:divBdr>
          <w:divsChild>
            <w:div w:id="188177628">
              <w:marLeft w:val="0"/>
              <w:marRight w:val="0"/>
              <w:marTop w:val="0"/>
              <w:marBottom w:val="0"/>
              <w:divBdr>
                <w:top w:val="none" w:sz="0" w:space="0" w:color="auto"/>
                <w:left w:val="none" w:sz="0" w:space="0" w:color="auto"/>
                <w:bottom w:val="none" w:sz="0" w:space="0" w:color="auto"/>
                <w:right w:val="none" w:sz="0" w:space="0" w:color="auto"/>
              </w:divBdr>
            </w:div>
          </w:divsChild>
        </w:div>
        <w:div w:id="134949805">
          <w:marLeft w:val="0"/>
          <w:marRight w:val="0"/>
          <w:marTop w:val="0"/>
          <w:marBottom w:val="0"/>
          <w:divBdr>
            <w:top w:val="none" w:sz="0" w:space="0" w:color="auto"/>
            <w:left w:val="none" w:sz="0" w:space="0" w:color="auto"/>
            <w:bottom w:val="none" w:sz="0" w:space="0" w:color="auto"/>
            <w:right w:val="none" w:sz="0" w:space="0" w:color="auto"/>
          </w:divBdr>
          <w:divsChild>
            <w:div w:id="1501195151">
              <w:marLeft w:val="0"/>
              <w:marRight w:val="0"/>
              <w:marTop w:val="0"/>
              <w:marBottom w:val="0"/>
              <w:divBdr>
                <w:top w:val="none" w:sz="0" w:space="0" w:color="auto"/>
                <w:left w:val="none" w:sz="0" w:space="0" w:color="auto"/>
                <w:bottom w:val="none" w:sz="0" w:space="0" w:color="auto"/>
                <w:right w:val="none" w:sz="0" w:space="0" w:color="auto"/>
              </w:divBdr>
            </w:div>
          </w:divsChild>
        </w:div>
        <w:div w:id="135951704">
          <w:marLeft w:val="0"/>
          <w:marRight w:val="0"/>
          <w:marTop w:val="0"/>
          <w:marBottom w:val="0"/>
          <w:divBdr>
            <w:top w:val="none" w:sz="0" w:space="0" w:color="auto"/>
            <w:left w:val="none" w:sz="0" w:space="0" w:color="auto"/>
            <w:bottom w:val="none" w:sz="0" w:space="0" w:color="auto"/>
            <w:right w:val="none" w:sz="0" w:space="0" w:color="auto"/>
          </w:divBdr>
          <w:divsChild>
            <w:div w:id="190457532">
              <w:marLeft w:val="0"/>
              <w:marRight w:val="0"/>
              <w:marTop w:val="0"/>
              <w:marBottom w:val="0"/>
              <w:divBdr>
                <w:top w:val="none" w:sz="0" w:space="0" w:color="auto"/>
                <w:left w:val="none" w:sz="0" w:space="0" w:color="auto"/>
                <w:bottom w:val="none" w:sz="0" w:space="0" w:color="auto"/>
                <w:right w:val="none" w:sz="0" w:space="0" w:color="auto"/>
              </w:divBdr>
            </w:div>
          </w:divsChild>
        </w:div>
        <w:div w:id="144712120">
          <w:marLeft w:val="0"/>
          <w:marRight w:val="0"/>
          <w:marTop w:val="0"/>
          <w:marBottom w:val="0"/>
          <w:divBdr>
            <w:top w:val="none" w:sz="0" w:space="0" w:color="auto"/>
            <w:left w:val="none" w:sz="0" w:space="0" w:color="auto"/>
            <w:bottom w:val="none" w:sz="0" w:space="0" w:color="auto"/>
            <w:right w:val="none" w:sz="0" w:space="0" w:color="auto"/>
          </w:divBdr>
          <w:divsChild>
            <w:div w:id="18554258">
              <w:marLeft w:val="0"/>
              <w:marRight w:val="0"/>
              <w:marTop w:val="0"/>
              <w:marBottom w:val="0"/>
              <w:divBdr>
                <w:top w:val="none" w:sz="0" w:space="0" w:color="auto"/>
                <w:left w:val="none" w:sz="0" w:space="0" w:color="auto"/>
                <w:bottom w:val="none" w:sz="0" w:space="0" w:color="auto"/>
                <w:right w:val="none" w:sz="0" w:space="0" w:color="auto"/>
              </w:divBdr>
            </w:div>
          </w:divsChild>
        </w:div>
        <w:div w:id="147405454">
          <w:marLeft w:val="0"/>
          <w:marRight w:val="0"/>
          <w:marTop w:val="0"/>
          <w:marBottom w:val="0"/>
          <w:divBdr>
            <w:top w:val="none" w:sz="0" w:space="0" w:color="auto"/>
            <w:left w:val="none" w:sz="0" w:space="0" w:color="auto"/>
            <w:bottom w:val="none" w:sz="0" w:space="0" w:color="auto"/>
            <w:right w:val="none" w:sz="0" w:space="0" w:color="auto"/>
          </w:divBdr>
          <w:divsChild>
            <w:div w:id="1522888662">
              <w:marLeft w:val="0"/>
              <w:marRight w:val="0"/>
              <w:marTop w:val="0"/>
              <w:marBottom w:val="0"/>
              <w:divBdr>
                <w:top w:val="none" w:sz="0" w:space="0" w:color="auto"/>
                <w:left w:val="none" w:sz="0" w:space="0" w:color="auto"/>
                <w:bottom w:val="none" w:sz="0" w:space="0" w:color="auto"/>
                <w:right w:val="none" w:sz="0" w:space="0" w:color="auto"/>
              </w:divBdr>
            </w:div>
          </w:divsChild>
        </w:div>
        <w:div w:id="152333297">
          <w:marLeft w:val="0"/>
          <w:marRight w:val="0"/>
          <w:marTop w:val="0"/>
          <w:marBottom w:val="0"/>
          <w:divBdr>
            <w:top w:val="none" w:sz="0" w:space="0" w:color="auto"/>
            <w:left w:val="none" w:sz="0" w:space="0" w:color="auto"/>
            <w:bottom w:val="none" w:sz="0" w:space="0" w:color="auto"/>
            <w:right w:val="none" w:sz="0" w:space="0" w:color="auto"/>
          </w:divBdr>
          <w:divsChild>
            <w:div w:id="1190336971">
              <w:marLeft w:val="0"/>
              <w:marRight w:val="0"/>
              <w:marTop w:val="0"/>
              <w:marBottom w:val="0"/>
              <w:divBdr>
                <w:top w:val="none" w:sz="0" w:space="0" w:color="auto"/>
                <w:left w:val="none" w:sz="0" w:space="0" w:color="auto"/>
                <w:bottom w:val="none" w:sz="0" w:space="0" w:color="auto"/>
                <w:right w:val="none" w:sz="0" w:space="0" w:color="auto"/>
              </w:divBdr>
            </w:div>
          </w:divsChild>
        </w:div>
        <w:div w:id="160706884">
          <w:marLeft w:val="0"/>
          <w:marRight w:val="0"/>
          <w:marTop w:val="0"/>
          <w:marBottom w:val="0"/>
          <w:divBdr>
            <w:top w:val="none" w:sz="0" w:space="0" w:color="auto"/>
            <w:left w:val="none" w:sz="0" w:space="0" w:color="auto"/>
            <w:bottom w:val="none" w:sz="0" w:space="0" w:color="auto"/>
            <w:right w:val="none" w:sz="0" w:space="0" w:color="auto"/>
          </w:divBdr>
          <w:divsChild>
            <w:div w:id="73095294">
              <w:marLeft w:val="0"/>
              <w:marRight w:val="0"/>
              <w:marTop w:val="0"/>
              <w:marBottom w:val="0"/>
              <w:divBdr>
                <w:top w:val="none" w:sz="0" w:space="0" w:color="auto"/>
                <w:left w:val="none" w:sz="0" w:space="0" w:color="auto"/>
                <w:bottom w:val="none" w:sz="0" w:space="0" w:color="auto"/>
                <w:right w:val="none" w:sz="0" w:space="0" w:color="auto"/>
              </w:divBdr>
            </w:div>
          </w:divsChild>
        </w:div>
        <w:div w:id="169410674">
          <w:marLeft w:val="0"/>
          <w:marRight w:val="0"/>
          <w:marTop w:val="0"/>
          <w:marBottom w:val="0"/>
          <w:divBdr>
            <w:top w:val="none" w:sz="0" w:space="0" w:color="auto"/>
            <w:left w:val="none" w:sz="0" w:space="0" w:color="auto"/>
            <w:bottom w:val="none" w:sz="0" w:space="0" w:color="auto"/>
            <w:right w:val="none" w:sz="0" w:space="0" w:color="auto"/>
          </w:divBdr>
          <w:divsChild>
            <w:div w:id="348331714">
              <w:marLeft w:val="0"/>
              <w:marRight w:val="0"/>
              <w:marTop w:val="0"/>
              <w:marBottom w:val="0"/>
              <w:divBdr>
                <w:top w:val="none" w:sz="0" w:space="0" w:color="auto"/>
                <w:left w:val="none" w:sz="0" w:space="0" w:color="auto"/>
                <w:bottom w:val="none" w:sz="0" w:space="0" w:color="auto"/>
                <w:right w:val="none" w:sz="0" w:space="0" w:color="auto"/>
              </w:divBdr>
            </w:div>
          </w:divsChild>
        </w:div>
        <w:div w:id="177548572">
          <w:marLeft w:val="0"/>
          <w:marRight w:val="0"/>
          <w:marTop w:val="0"/>
          <w:marBottom w:val="0"/>
          <w:divBdr>
            <w:top w:val="none" w:sz="0" w:space="0" w:color="auto"/>
            <w:left w:val="none" w:sz="0" w:space="0" w:color="auto"/>
            <w:bottom w:val="none" w:sz="0" w:space="0" w:color="auto"/>
            <w:right w:val="none" w:sz="0" w:space="0" w:color="auto"/>
          </w:divBdr>
          <w:divsChild>
            <w:div w:id="1319308025">
              <w:marLeft w:val="0"/>
              <w:marRight w:val="0"/>
              <w:marTop w:val="0"/>
              <w:marBottom w:val="0"/>
              <w:divBdr>
                <w:top w:val="none" w:sz="0" w:space="0" w:color="auto"/>
                <w:left w:val="none" w:sz="0" w:space="0" w:color="auto"/>
                <w:bottom w:val="none" w:sz="0" w:space="0" w:color="auto"/>
                <w:right w:val="none" w:sz="0" w:space="0" w:color="auto"/>
              </w:divBdr>
            </w:div>
          </w:divsChild>
        </w:div>
        <w:div w:id="193227168">
          <w:marLeft w:val="0"/>
          <w:marRight w:val="0"/>
          <w:marTop w:val="0"/>
          <w:marBottom w:val="0"/>
          <w:divBdr>
            <w:top w:val="none" w:sz="0" w:space="0" w:color="auto"/>
            <w:left w:val="none" w:sz="0" w:space="0" w:color="auto"/>
            <w:bottom w:val="none" w:sz="0" w:space="0" w:color="auto"/>
            <w:right w:val="none" w:sz="0" w:space="0" w:color="auto"/>
          </w:divBdr>
          <w:divsChild>
            <w:div w:id="482738600">
              <w:marLeft w:val="0"/>
              <w:marRight w:val="0"/>
              <w:marTop w:val="0"/>
              <w:marBottom w:val="0"/>
              <w:divBdr>
                <w:top w:val="none" w:sz="0" w:space="0" w:color="auto"/>
                <w:left w:val="none" w:sz="0" w:space="0" w:color="auto"/>
                <w:bottom w:val="none" w:sz="0" w:space="0" w:color="auto"/>
                <w:right w:val="none" w:sz="0" w:space="0" w:color="auto"/>
              </w:divBdr>
            </w:div>
          </w:divsChild>
        </w:div>
        <w:div w:id="196509374">
          <w:marLeft w:val="0"/>
          <w:marRight w:val="0"/>
          <w:marTop w:val="0"/>
          <w:marBottom w:val="0"/>
          <w:divBdr>
            <w:top w:val="none" w:sz="0" w:space="0" w:color="auto"/>
            <w:left w:val="none" w:sz="0" w:space="0" w:color="auto"/>
            <w:bottom w:val="none" w:sz="0" w:space="0" w:color="auto"/>
            <w:right w:val="none" w:sz="0" w:space="0" w:color="auto"/>
          </w:divBdr>
          <w:divsChild>
            <w:div w:id="163132069">
              <w:marLeft w:val="0"/>
              <w:marRight w:val="0"/>
              <w:marTop w:val="0"/>
              <w:marBottom w:val="0"/>
              <w:divBdr>
                <w:top w:val="none" w:sz="0" w:space="0" w:color="auto"/>
                <w:left w:val="none" w:sz="0" w:space="0" w:color="auto"/>
                <w:bottom w:val="none" w:sz="0" w:space="0" w:color="auto"/>
                <w:right w:val="none" w:sz="0" w:space="0" w:color="auto"/>
              </w:divBdr>
            </w:div>
          </w:divsChild>
        </w:div>
        <w:div w:id="197937340">
          <w:marLeft w:val="0"/>
          <w:marRight w:val="0"/>
          <w:marTop w:val="0"/>
          <w:marBottom w:val="0"/>
          <w:divBdr>
            <w:top w:val="none" w:sz="0" w:space="0" w:color="auto"/>
            <w:left w:val="none" w:sz="0" w:space="0" w:color="auto"/>
            <w:bottom w:val="none" w:sz="0" w:space="0" w:color="auto"/>
            <w:right w:val="none" w:sz="0" w:space="0" w:color="auto"/>
          </w:divBdr>
          <w:divsChild>
            <w:div w:id="1258946613">
              <w:marLeft w:val="0"/>
              <w:marRight w:val="0"/>
              <w:marTop w:val="0"/>
              <w:marBottom w:val="0"/>
              <w:divBdr>
                <w:top w:val="none" w:sz="0" w:space="0" w:color="auto"/>
                <w:left w:val="none" w:sz="0" w:space="0" w:color="auto"/>
                <w:bottom w:val="none" w:sz="0" w:space="0" w:color="auto"/>
                <w:right w:val="none" w:sz="0" w:space="0" w:color="auto"/>
              </w:divBdr>
            </w:div>
          </w:divsChild>
        </w:div>
        <w:div w:id="210313962">
          <w:marLeft w:val="0"/>
          <w:marRight w:val="0"/>
          <w:marTop w:val="0"/>
          <w:marBottom w:val="0"/>
          <w:divBdr>
            <w:top w:val="none" w:sz="0" w:space="0" w:color="auto"/>
            <w:left w:val="none" w:sz="0" w:space="0" w:color="auto"/>
            <w:bottom w:val="none" w:sz="0" w:space="0" w:color="auto"/>
            <w:right w:val="none" w:sz="0" w:space="0" w:color="auto"/>
          </w:divBdr>
          <w:divsChild>
            <w:div w:id="2082557494">
              <w:marLeft w:val="0"/>
              <w:marRight w:val="0"/>
              <w:marTop w:val="0"/>
              <w:marBottom w:val="0"/>
              <w:divBdr>
                <w:top w:val="none" w:sz="0" w:space="0" w:color="auto"/>
                <w:left w:val="none" w:sz="0" w:space="0" w:color="auto"/>
                <w:bottom w:val="none" w:sz="0" w:space="0" w:color="auto"/>
                <w:right w:val="none" w:sz="0" w:space="0" w:color="auto"/>
              </w:divBdr>
            </w:div>
          </w:divsChild>
        </w:div>
        <w:div w:id="216476624">
          <w:marLeft w:val="0"/>
          <w:marRight w:val="0"/>
          <w:marTop w:val="0"/>
          <w:marBottom w:val="0"/>
          <w:divBdr>
            <w:top w:val="none" w:sz="0" w:space="0" w:color="auto"/>
            <w:left w:val="none" w:sz="0" w:space="0" w:color="auto"/>
            <w:bottom w:val="none" w:sz="0" w:space="0" w:color="auto"/>
            <w:right w:val="none" w:sz="0" w:space="0" w:color="auto"/>
          </w:divBdr>
          <w:divsChild>
            <w:div w:id="2065637579">
              <w:marLeft w:val="0"/>
              <w:marRight w:val="0"/>
              <w:marTop w:val="0"/>
              <w:marBottom w:val="0"/>
              <w:divBdr>
                <w:top w:val="none" w:sz="0" w:space="0" w:color="auto"/>
                <w:left w:val="none" w:sz="0" w:space="0" w:color="auto"/>
                <w:bottom w:val="none" w:sz="0" w:space="0" w:color="auto"/>
                <w:right w:val="none" w:sz="0" w:space="0" w:color="auto"/>
              </w:divBdr>
            </w:div>
          </w:divsChild>
        </w:div>
        <w:div w:id="222958339">
          <w:marLeft w:val="0"/>
          <w:marRight w:val="0"/>
          <w:marTop w:val="0"/>
          <w:marBottom w:val="0"/>
          <w:divBdr>
            <w:top w:val="none" w:sz="0" w:space="0" w:color="auto"/>
            <w:left w:val="none" w:sz="0" w:space="0" w:color="auto"/>
            <w:bottom w:val="none" w:sz="0" w:space="0" w:color="auto"/>
            <w:right w:val="none" w:sz="0" w:space="0" w:color="auto"/>
          </w:divBdr>
          <w:divsChild>
            <w:div w:id="1462190071">
              <w:marLeft w:val="0"/>
              <w:marRight w:val="0"/>
              <w:marTop w:val="0"/>
              <w:marBottom w:val="0"/>
              <w:divBdr>
                <w:top w:val="none" w:sz="0" w:space="0" w:color="auto"/>
                <w:left w:val="none" w:sz="0" w:space="0" w:color="auto"/>
                <w:bottom w:val="none" w:sz="0" w:space="0" w:color="auto"/>
                <w:right w:val="none" w:sz="0" w:space="0" w:color="auto"/>
              </w:divBdr>
            </w:div>
          </w:divsChild>
        </w:div>
        <w:div w:id="226690394">
          <w:marLeft w:val="0"/>
          <w:marRight w:val="0"/>
          <w:marTop w:val="0"/>
          <w:marBottom w:val="0"/>
          <w:divBdr>
            <w:top w:val="none" w:sz="0" w:space="0" w:color="auto"/>
            <w:left w:val="none" w:sz="0" w:space="0" w:color="auto"/>
            <w:bottom w:val="none" w:sz="0" w:space="0" w:color="auto"/>
            <w:right w:val="none" w:sz="0" w:space="0" w:color="auto"/>
          </w:divBdr>
          <w:divsChild>
            <w:div w:id="1242760519">
              <w:marLeft w:val="0"/>
              <w:marRight w:val="0"/>
              <w:marTop w:val="0"/>
              <w:marBottom w:val="0"/>
              <w:divBdr>
                <w:top w:val="none" w:sz="0" w:space="0" w:color="auto"/>
                <w:left w:val="none" w:sz="0" w:space="0" w:color="auto"/>
                <w:bottom w:val="none" w:sz="0" w:space="0" w:color="auto"/>
                <w:right w:val="none" w:sz="0" w:space="0" w:color="auto"/>
              </w:divBdr>
            </w:div>
          </w:divsChild>
        </w:div>
        <w:div w:id="227424834">
          <w:marLeft w:val="0"/>
          <w:marRight w:val="0"/>
          <w:marTop w:val="0"/>
          <w:marBottom w:val="0"/>
          <w:divBdr>
            <w:top w:val="none" w:sz="0" w:space="0" w:color="auto"/>
            <w:left w:val="none" w:sz="0" w:space="0" w:color="auto"/>
            <w:bottom w:val="none" w:sz="0" w:space="0" w:color="auto"/>
            <w:right w:val="none" w:sz="0" w:space="0" w:color="auto"/>
          </w:divBdr>
          <w:divsChild>
            <w:div w:id="1151942624">
              <w:marLeft w:val="0"/>
              <w:marRight w:val="0"/>
              <w:marTop w:val="0"/>
              <w:marBottom w:val="0"/>
              <w:divBdr>
                <w:top w:val="none" w:sz="0" w:space="0" w:color="auto"/>
                <w:left w:val="none" w:sz="0" w:space="0" w:color="auto"/>
                <w:bottom w:val="none" w:sz="0" w:space="0" w:color="auto"/>
                <w:right w:val="none" w:sz="0" w:space="0" w:color="auto"/>
              </w:divBdr>
            </w:div>
          </w:divsChild>
        </w:div>
        <w:div w:id="230118703">
          <w:marLeft w:val="0"/>
          <w:marRight w:val="0"/>
          <w:marTop w:val="0"/>
          <w:marBottom w:val="0"/>
          <w:divBdr>
            <w:top w:val="none" w:sz="0" w:space="0" w:color="auto"/>
            <w:left w:val="none" w:sz="0" w:space="0" w:color="auto"/>
            <w:bottom w:val="none" w:sz="0" w:space="0" w:color="auto"/>
            <w:right w:val="none" w:sz="0" w:space="0" w:color="auto"/>
          </w:divBdr>
          <w:divsChild>
            <w:div w:id="1571386523">
              <w:marLeft w:val="0"/>
              <w:marRight w:val="0"/>
              <w:marTop w:val="0"/>
              <w:marBottom w:val="0"/>
              <w:divBdr>
                <w:top w:val="none" w:sz="0" w:space="0" w:color="auto"/>
                <w:left w:val="none" w:sz="0" w:space="0" w:color="auto"/>
                <w:bottom w:val="none" w:sz="0" w:space="0" w:color="auto"/>
                <w:right w:val="none" w:sz="0" w:space="0" w:color="auto"/>
              </w:divBdr>
            </w:div>
          </w:divsChild>
        </w:div>
        <w:div w:id="235211271">
          <w:marLeft w:val="0"/>
          <w:marRight w:val="0"/>
          <w:marTop w:val="0"/>
          <w:marBottom w:val="0"/>
          <w:divBdr>
            <w:top w:val="none" w:sz="0" w:space="0" w:color="auto"/>
            <w:left w:val="none" w:sz="0" w:space="0" w:color="auto"/>
            <w:bottom w:val="none" w:sz="0" w:space="0" w:color="auto"/>
            <w:right w:val="none" w:sz="0" w:space="0" w:color="auto"/>
          </w:divBdr>
          <w:divsChild>
            <w:div w:id="1333070038">
              <w:marLeft w:val="0"/>
              <w:marRight w:val="0"/>
              <w:marTop w:val="0"/>
              <w:marBottom w:val="0"/>
              <w:divBdr>
                <w:top w:val="none" w:sz="0" w:space="0" w:color="auto"/>
                <w:left w:val="none" w:sz="0" w:space="0" w:color="auto"/>
                <w:bottom w:val="none" w:sz="0" w:space="0" w:color="auto"/>
                <w:right w:val="none" w:sz="0" w:space="0" w:color="auto"/>
              </w:divBdr>
            </w:div>
          </w:divsChild>
        </w:div>
        <w:div w:id="238836057">
          <w:marLeft w:val="0"/>
          <w:marRight w:val="0"/>
          <w:marTop w:val="0"/>
          <w:marBottom w:val="0"/>
          <w:divBdr>
            <w:top w:val="none" w:sz="0" w:space="0" w:color="auto"/>
            <w:left w:val="none" w:sz="0" w:space="0" w:color="auto"/>
            <w:bottom w:val="none" w:sz="0" w:space="0" w:color="auto"/>
            <w:right w:val="none" w:sz="0" w:space="0" w:color="auto"/>
          </w:divBdr>
          <w:divsChild>
            <w:div w:id="999968894">
              <w:marLeft w:val="0"/>
              <w:marRight w:val="0"/>
              <w:marTop w:val="0"/>
              <w:marBottom w:val="0"/>
              <w:divBdr>
                <w:top w:val="none" w:sz="0" w:space="0" w:color="auto"/>
                <w:left w:val="none" w:sz="0" w:space="0" w:color="auto"/>
                <w:bottom w:val="none" w:sz="0" w:space="0" w:color="auto"/>
                <w:right w:val="none" w:sz="0" w:space="0" w:color="auto"/>
              </w:divBdr>
            </w:div>
          </w:divsChild>
        </w:div>
        <w:div w:id="248320424">
          <w:marLeft w:val="0"/>
          <w:marRight w:val="0"/>
          <w:marTop w:val="0"/>
          <w:marBottom w:val="0"/>
          <w:divBdr>
            <w:top w:val="none" w:sz="0" w:space="0" w:color="auto"/>
            <w:left w:val="none" w:sz="0" w:space="0" w:color="auto"/>
            <w:bottom w:val="none" w:sz="0" w:space="0" w:color="auto"/>
            <w:right w:val="none" w:sz="0" w:space="0" w:color="auto"/>
          </w:divBdr>
          <w:divsChild>
            <w:div w:id="1034843972">
              <w:marLeft w:val="0"/>
              <w:marRight w:val="0"/>
              <w:marTop w:val="0"/>
              <w:marBottom w:val="0"/>
              <w:divBdr>
                <w:top w:val="none" w:sz="0" w:space="0" w:color="auto"/>
                <w:left w:val="none" w:sz="0" w:space="0" w:color="auto"/>
                <w:bottom w:val="none" w:sz="0" w:space="0" w:color="auto"/>
                <w:right w:val="none" w:sz="0" w:space="0" w:color="auto"/>
              </w:divBdr>
            </w:div>
          </w:divsChild>
        </w:div>
        <w:div w:id="259022380">
          <w:marLeft w:val="0"/>
          <w:marRight w:val="0"/>
          <w:marTop w:val="0"/>
          <w:marBottom w:val="0"/>
          <w:divBdr>
            <w:top w:val="none" w:sz="0" w:space="0" w:color="auto"/>
            <w:left w:val="none" w:sz="0" w:space="0" w:color="auto"/>
            <w:bottom w:val="none" w:sz="0" w:space="0" w:color="auto"/>
            <w:right w:val="none" w:sz="0" w:space="0" w:color="auto"/>
          </w:divBdr>
          <w:divsChild>
            <w:div w:id="293020815">
              <w:marLeft w:val="0"/>
              <w:marRight w:val="0"/>
              <w:marTop w:val="0"/>
              <w:marBottom w:val="0"/>
              <w:divBdr>
                <w:top w:val="none" w:sz="0" w:space="0" w:color="auto"/>
                <w:left w:val="none" w:sz="0" w:space="0" w:color="auto"/>
                <w:bottom w:val="none" w:sz="0" w:space="0" w:color="auto"/>
                <w:right w:val="none" w:sz="0" w:space="0" w:color="auto"/>
              </w:divBdr>
            </w:div>
          </w:divsChild>
        </w:div>
        <w:div w:id="264726154">
          <w:marLeft w:val="0"/>
          <w:marRight w:val="0"/>
          <w:marTop w:val="0"/>
          <w:marBottom w:val="0"/>
          <w:divBdr>
            <w:top w:val="none" w:sz="0" w:space="0" w:color="auto"/>
            <w:left w:val="none" w:sz="0" w:space="0" w:color="auto"/>
            <w:bottom w:val="none" w:sz="0" w:space="0" w:color="auto"/>
            <w:right w:val="none" w:sz="0" w:space="0" w:color="auto"/>
          </w:divBdr>
          <w:divsChild>
            <w:div w:id="2113935912">
              <w:marLeft w:val="0"/>
              <w:marRight w:val="0"/>
              <w:marTop w:val="0"/>
              <w:marBottom w:val="0"/>
              <w:divBdr>
                <w:top w:val="none" w:sz="0" w:space="0" w:color="auto"/>
                <w:left w:val="none" w:sz="0" w:space="0" w:color="auto"/>
                <w:bottom w:val="none" w:sz="0" w:space="0" w:color="auto"/>
                <w:right w:val="none" w:sz="0" w:space="0" w:color="auto"/>
              </w:divBdr>
            </w:div>
          </w:divsChild>
        </w:div>
        <w:div w:id="267473131">
          <w:marLeft w:val="0"/>
          <w:marRight w:val="0"/>
          <w:marTop w:val="0"/>
          <w:marBottom w:val="0"/>
          <w:divBdr>
            <w:top w:val="none" w:sz="0" w:space="0" w:color="auto"/>
            <w:left w:val="none" w:sz="0" w:space="0" w:color="auto"/>
            <w:bottom w:val="none" w:sz="0" w:space="0" w:color="auto"/>
            <w:right w:val="none" w:sz="0" w:space="0" w:color="auto"/>
          </w:divBdr>
          <w:divsChild>
            <w:div w:id="864094105">
              <w:marLeft w:val="0"/>
              <w:marRight w:val="0"/>
              <w:marTop w:val="0"/>
              <w:marBottom w:val="0"/>
              <w:divBdr>
                <w:top w:val="none" w:sz="0" w:space="0" w:color="auto"/>
                <w:left w:val="none" w:sz="0" w:space="0" w:color="auto"/>
                <w:bottom w:val="none" w:sz="0" w:space="0" w:color="auto"/>
                <w:right w:val="none" w:sz="0" w:space="0" w:color="auto"/>
              </w:divBdr>
            </w:div>
          </w:divsChild>
        </w:div>
        <w:div w:id="267541778">
          <w:marLeft w:val="0"/>
          <w:marRight w:val="0"/>
          <w:marTop w:val="0"/>
          <w:marBottom w:val="0"/>
          <w:divBdr>
            <w:top w:val="none" w:sz="0" w:space="0" w:color="auto"/>
            <w:left w:val="none" w:sz="0" w:space="0" w:color="auto"/>
            <w:bottom w:val="none" w:sz="0" w:space="0" w:color="auto"/>
            <w:right w:val="none" w:sz="0" w:space="0" w:color="auto"/>
          </w:divBdr>
          <w:divsChild>
            <w:div w:id="1201627440">
              <w:marLeft w:val="0"/>
              <w:marRight w:val="0"/>
              <w:marTop w:val="0"/>
              <w:marBottom w:val="0"/>
              <w:divBdr>
                <w:top w:val="none" w:sz="0" w:space="0" w:color="auto"/>
                <w:left w:val="none" w:sz="0" w:space="0" w:color="auto"/>
                <w:bottom w:val="none" w:sz="0" w:space="0" w:color="auto"/>
                <w:right w:val="none" w:sz="0" w:space="0" w:color="auto"/>
              </w:divBdr>
            </w:div>
          </w:divsChild>
        </w:div>
        <w:div w:id="274213136">
          <w:marLeft w:val="0"/>
          <w:marRight w:val="0"/>
          <w:marTop w:val="0"/>
          <w:marBottom w:val="0"/>
          <w:divBdr>
            <w:top w:val="none" w:sz="0" w:space="0" w:color="auto"/>
            <w:left w:val="none" w:sz="0" w:space="0" w:color="auto"/>
            <w:bottom w:val="none" w:sz="0" w:space="0" w:color="auto"/>
            <w:right w:val="none" w:sz="0" w:space="0" w:color="auto"/>
          </w:divBdr>
          <w:divsChild>
            <w:div w:id="1895190220">
              <w:marLeft w:val="0"/>
              <w:marRight w:val="0"/>
              <w:marTop w:val="0"/>
              <w:marBottom w:val="0"/>
              <w:divBdr>
                <w:top w:val="none" w:sz="0" w:space="0" w:color="auto"/>
                <w:left w:val="none" w:sz="0" w:space="0" w:color="auto"/>
                <w:bottom w:val="none" w:sz="0" w:space="0" w:color="auto"/>
                <w:right w:val="none" w:sz="0" w:space="0" w:color="auto"/>
              </w:divBdr>
            </w:div>
          </w:divsChild>
        </w:div>
        <w:div w:id="279461473">
          <w:marLeft w:val="0"/>
          <w:marRight w:val="0"/>
          <w:marTop w:val="0"/>
          <w:marBottom w:val="0"/>
          <w:divBdr>
            <w:top w:val="none" w:sz="0" w:space="0" w:color="auto"/>
            <w:left w:val="none" w:sz="0" w:space="0" w:color="auto"/>
            <w:bottom w:val="none" w:sz="0" w:space="0" w:color="auto"/>
            <w:right w:val="none" w:sz="0" w:space="0" w:color="auto"/>
          </w:divBdr>
          <w:divsChild>
            <w:div w:id="2015649175">
              <w:marLeft w:val="0"/>
              <w:marRight w:val="0"/>
              <w:marTop w:val="0"/>
              <w:marBottom w:val="0"/>
              <w:divBdr>
                <w:top w:val="none" w:sz="0" w:space="0" w:color="auto"/>
                <w:left w:val="none" w:sz="0" w:space="0" w:color="auto"/>
                <w:bottom w:val="none" w:sz="0" w:space="0" w:color="auto"/>
                <w:right w:val="none" w:sz="0" w:space="0" w:color="auto"/>
              </w:divBdr>
            </w:div>
          </w:divsChild>
        </w:div>
        <w:div w:id="281113842">
          <w:marLeft w:val="0"/>
          <w:marRight w:val="0"/>
          <w:marTop w:val="0"/>
          <w:marBottom w:val="0"/>
          <w:divBdr>
            <w:top w:val="none" w:sz="0" w:space="0" w:color="auto"/>
            <w:left w:val="none" w:sz="0" w:space="0" w:color="auto"/>
            <w:bottom w:val="none" w:sz="0" w:space="0" w:color="auto"/>
            <w:right w:val="none" w:sz="0" w:space="0" w:color="auto"/>
          </w:divBdr>
          <w:divsChild>
            <w:div w:id="232468360">
              <w:marLeft w:val="0"/>
              <w:marRight w:val="0"/>
              <w:marTop w:val="0"/>
              <w:marBottom w:val="0"/>
              <w:divBdr>
                <w:top w:val="none" w:sz="0" w:space="0" w:color="auto"/>
                <w:left w:val="none" w:sz="0" w:space="0" w:color="auto"/>
                <w:bottom w:val="none" w:sz="0" w:space="0" w:color="auto"/>
                <w:right w:val="none" w:sz="0" w:space="0" w:color="auto"/>
              </w:divBdr>
            </w:div>
          </w:divsChild>
        </w:div>
        <w:div w:id="288098175">
          <w:marLeft w:val="0"/>
          <w:marRight w:val="0"/>
          <w:marTop w:val="0"/>
          <w:marBottom w:val="0"/>
          <w:divBdr>
            <w:top w:val="none" w:sz="0" w:space="0" w:color="auto"/>
            <w:left w:val="none" w:sz="0" w:space="0" w:color="auto"/>
            <w:bottom w:val="none" w:sz="0" w:space="0" w:color="auto"/>
            <w:right w:val="none" w:sz="0" w:space="0" w:color="auto"/>
          </w:divBdr>
          <w:divsChild>
            <w:div w:id="1958023853">
              <w:marLeft w:val="0"/>
              <w:marRight w:val="0"/>
              <w:marTop w:val="0"/>
              <w:marBottom w:val="0"/>
              <w:divBdr>
                <w:top w:val="none" w:sz="0" w:space="0" w:color="auto"/>
                <w:left w:val="none" w:sz="0" w:space="0" w:color="auto"/>
                <w:bottom w:val="none" w:sz="0" w:space="0" w:color="auto"/>
                <w:right w:val="none" w:sz="0" w:space="0" w:color="auto"/>
              </w:divBdr>
            </w:div>
          </w:divsChild>
        </w:div>
        <w:div w:id="300577984">
          <w:marLeft w:val="0"/>
          <w:marRight w:val="0"/>
          <w:marTop w:val="0"/>
          <w:marBottom w:val="0"/>
          <w:divBdr>
            <w:top w:val="none" w:sz="0" w:space="0" w:color="auto"/>
            <w:left w:val="none" w:sz="0" w:space="0" w:color="auto"/>
            <w:bottom w:val="none" w:sz="0" w:space="0" w:color="auto"/>
            <w:right w:val="none" w:sz="0" w:space="0" w:color="auto"/>
          </w:divBdr>
          <w:divsChild>
            <w:div w:id="932011422">
              <w:marLeft w:val="0"/>
              <w:marRight w:val="0"/>
              <w:marTop w:val="0"/>
              <w:marBottom w:val="0"/>
              <w:divBdr>
                <w:top w:val="none" w:sz="0" w:space="0" w:color="auto"/>
                <w:left w:val="none" w:sz="0" w:space="0" w:color="auto"/>
                <w:bottom w:val="none" w:sz="0" w:space="0" w:color="auto"/>
                <w:right w:val="none" w:sz="0" w:space="0" w:color="auto"/>
              </w:divBdr>
            </w:div>
          </w:divsChild>
        </w:div>
        <w:div w:id="301817179">
          <w:marLeft w:val="0"/>
          <w:marRight w:val="0"/>
          <w:marTop w:val="0"/>
          <w:marBottom w:val="0"/>
          <w:divBdr>
            <w:top w:val="none" w:sz="0" w:space="0" w:color="auto"/>
            <w:left w:val="none" w:sz="0" w:space="0" w:color="auto"/>
            <w:bottom w:val="none" w:sz="0" w:space="0" w:color="auto"/>
            <w:right w:val="none" w:sz="0" w:space="0" w:color="auto"/>
          </w:divBdr>
          <w:divsChild>
            <w:div w:id="1062027075">
              <w:marLeft w:val="0"/>
              <w:marRight w:val="0"/>
              <w:marTop w:val="0"/>
              <w:marBottom w:val="0"/>
              <w:divBdr>
                <w:top w:val="none" w:sz="0" w:space="0" w:color="auto"/>
                <w:left w:val="none" w:sz="0" w:space="0" w:color="auto"/>
                <w:bottom w:val="none" w:sz="0" w:space="0" w:color="auto"/>
                <w:right w:val="none" w:sz="0" w:space="0" w:color="auto"/>
              </w:divBdr>
            </w:div>
          </w:divsChild>
        </w:div>
        <w:div w:id="308949519">
          <w:marLeft w:val="0"/>
          <w:marRight w:val="0"/>
          <w:marTop w:val="0"/>
          <w:marBottom w:val="0"/>
          <w:divBdr>
            <w:top w:val="none" w:sz="0" w:space="0" w:color="auto"/>
            <w:left w:val="none" w:sz="0" w:space="0" w:color="auto"/>
            <w:bottom w:val="none" w:sz="0" w:space="0" w:color="auto"/>
            <w:right w:val="none" w:sz="0" w:space="0" w:color="auto"/>
          </w:divBdr>
          <w:divsChild>
            <w:div w:id="213779523">
              <w:marLeft w:val="0"/>
              <w:marRight w:val="0"/>
              <w:marTop w:val="0"/>
              <w:marBottom w:val="0"/>
              <w:divBdr>
                <w:top w:val="none" w:sz="0" w:space="0" w:color="auto"/>
                <w:left w:val="none" w:sz="0" w:space="0" w:color="auto"/>
                <w:bottom w:val="none" w:sz="0" w:space="0" w:color="auto"/>
                <w:right w:val="none" w:sz="0" w:space="0" w:color="auto"/>
              </w:divBdr>
            </w:div>
          </w:divsChild>
        </w:div>
        <w:div w:id="338234668">
          <w:marLeft w:val="0"/>
          <w:marRight w:val="0"/>
          <w:marTop w:val="0"/>
          <w:marBottom w:val="0"/>
          <w:divBdr>
            <w:top w:val="none" w:sz="0" w:space="0" w:color="auto"/>
            <w:left w:val="none" w:sz="0" w:space="0" w:color="auto"/>
            <w:bottom w:val="none" w:sz="0" w:space="0" w:color="auto"/>
            <w:right w:val="none" w:sz="0" w:space="0" w:color="auto"/>
          </w:divBdr>
          <w:divsChild>
            <w:div w:id="2023437700">
              <w:marLeft w:val="0"/>
              <w:marRight w:val="0"/>
              <w:marTop w:val="0"/>
              <w:marBottom w:val="0"/>
              <w:divBdr>
                <w:top w:val="none" w:sz="0" w:space="0" w:color="auto"/>
                <w:left w:val="none" w:sz="0" w:space="0" w:color="auto"/>
                <w:bottom w:val="none" w:sz="0" w:space="0" w:color="auto"/>
                <w:right w:val="none" w:sz="0" w:space="0" w:color="auto"/>
              </w:divBdr>
            </w:div>
          </w:divsChild>
        </w:div>
        <w:div w:id="341707966">
          <w:marLeft w:val="0"/>
          <w:marRight w:val="0"/>
          <w:marTop w:val="0"/>
          <w:marBottom w:val="0"/>
          <w:divBdr>
            <w:top w:val="none" w:sz="0" w:space="0" w:color="auto"/>
            <w:left w:val="none" w:sz="0" w:space="0" w:color="auto"/>
            <w:bottom w:val="none" w:sz="0" w:space="0" w:color="auto"/>
            <w:right w:val="none" w:sz="0" w:space="0" w:color="auto"/>
          </w:divBdr>
          <w:divsChild>
            <w:div w:id="565997646">
              <w:marLeft w:val="0"/>
              <w:marRight w:val="0"/>
              <w:marTop w:val="0"/>
              <w:marBottom w:val="0"/>
              <w:divBdr>
                <w:top w:val="none" w:sz="0" w:space="0" w:color="auto"/>
                <w:left w:val="none" w:sz="0" w:space="0" w:color="auto"/>
                <w:bottom w:val="none" w:sz="0" w:space="0" w:color="auto"/>
                <w:right w:val="none" w:sz="0" w:space="0" w:color="auto"/>
              </w:divBdr>
            </w:div>
          </w:divsChild>
        </w:div>
        <w:div w:id="344866064">
          <w:marLeft w:val="0"/>
          <w:marRight w:val="0"/>
          <w:marTop w:val="0"/>
          <w:marBottom w:val="0"/>
          <w:divBdr>
            <w:top w:val="none" w:sz="0" w:space="0" w:color="auto"/>
            <w:left w:val="none" w:sz="0" w:space="0" w:color="auto"/>
            <w:bottom w:val="none" w:sz="0" w:space="0" w:color="auto"/>
            <w:right w:val="none" w:sz="0" w:space="0" w:color="auto"/>
          </w:divBdr>
          <w:divsChild>
            <w:div w:id="302737966">
              <w:marLeft w:val="0"/>
              <w:marRight w:val="0"/>
              <w:marTop w:val="0"/>
              <w:marBottom w:val="0"/>
              <w:divBdr>
                <w:top w:val="none" w:sz="0" w:space="0" w:color="auto"/>
                <w:left w:val="none" w:sz="0" w:space="0" w:color="auto"/>
                <w:bottom w:val="none" w:sz="0" w:space="0" w:color="auto"/>
                <w:right w:val="none" w:sz="0" w:space="0" w:color="auto"/>
              </w:divBdr>
            </w:div>
          </w:divsChild>
        </w:div>
        <w:div w:id="351808563">
          <w:marLeft w:val="0"/>
          <w:marRight w:val="0"/>
          <w:marTop w:val="0"/>
          <w:marBottom w:val="0"/>
          <w:divBdr>
            <w:top w:val="none" w:sz="0" w:space="0" w:color="auto"/>
            <w:left w:val="none" w:sz="0" w:space="0" w:color="auto"/>
            <w:bottom w:val="none" w:sz="0" w:space="0" w:color="auto"/>
            <w:right w:val="none" w:sz="0" w:space="0" w:color="auto"/>
          </w:divBdr>
          <w:divsChild>
            <w:div w:id="527178658">
              <w:marLeft w:val="0"/>
              <w:marRight w:val="0"/>
              <w:marTop w:val="0"/>
              <w:marBottom w:val="0"/>
              <w:divBdr>
                <w:top w:val="none" w:sz="0" w:space="0" w:color="auto"/>
                <w:left w:val="none" w:sz="0" w:space="0" w:color="auto"/>
                <w:bottom w:val="none" w:sz="0" w:space="0" w:color="auto"/>
                <w:right w:val="none" w:sz="0" w:space="0" w:color="auto"/>
              </w:divBdr>
            </w:div>
          </w:divsChild>
        </w:div>
        <w:div w:id="357513673">
          <w:marLeft w:val="0"/>
          <w:marRight w:val="0"/>
          <w:marTop w:val="0"/>
          <w:marBottom w:val="0"/>
          <w:divBdr>
            <w:top w:val="none" w:sz="0" w:space="0" w:color="auto"/>
            <w:left w:val="none" w:sz="0" w:space="0" w:color="auto"/>
            <w:bottom w:val="none" w:sz="0" w:space="0" w:color="auto"/>
            <w:right w:val="none" w:sz="0" w:space="0" w:color="auto"/>
          </w:divBdr>
          <w:divsChild>
            <w:div w:id="48767502">
              <w:marLeft w:val="0"/>
              <w:marRight w:val="0"/>
              <w:marTop w:val="0"/>
              <w:marBottom w:val="0"/>
              <w:divBdr>
                <w:top w:val="none" w:sz="0" w:space="0" w:color="auto"/>
                <w:left w:val="none" w:sz="0" w:space="0" w:color="auto"/>
                <w:bottom w:val="none" w:sz="0" w:space="0" w:color="auto"/>
                <w:right w:val="none" w:sz="0" w:space="0" w:color="auto"/>
              </w:divBdr>
            </w:div>
          </w:divsChild>
        </w:div>
        <w:div w:id="360861110">
          <w:marLeft w:val="0"/>
          <w:marRight w:val="0"/>
          <w:marTop w:val="0"/>
          <w:marBottom w:val="0"/>
          <w:divBdr>
            <w:top w:val="none" w:sz="0" w:space="0" w:color="auto"/>
            <w:left w:val="none" w:sz="0" w:space="0" w:color="auto"/>
            <w:bottom w:val="none" w:sz="0" w:space="0" w:color="auto"/>
            <w:right w:val="none" w:sz="0" w:space="0" w:color="auto"/>
          </w:divBdr>
          <w:divsChild>
            <w:div w:id="935097256">
              <w:marLeft w:val="0"/>
              <w:marRight w:val="0"/>
              <w:marTop w:val="0"/>
              <w:marBottom w:val="0"/>
              <w:divBdr>
                <w:top w:val="none" w:sz="0" w:space="0" w:color="auto"/>
                <w:left w:val="none" w:sz="0" w:space="0" w:color="auto"/>
                <w:bottom w:val="none" w:sz="0" w:space="0" w:color="auto"/>
                <w:right w:val="none" w:sz="0" w:space="0" w:color="auto"/>
              </w:divBdr>
            </w:div>
          </w:divsChild>
        </w:div>
        <w:div w:id="366225117">
          <w:marLeft w:val="0"/>
          <w:marRight w:val="0"/>
          <w:marTop w:val="0"/>
          <w:marBottom w:val="0"/>
          <w:divBdr>
            <w:top w:val="none" w:sz="0" w:space="0" w:color="auto"/>
            <w:left w:val="none" w:sz="0" w:space="0" w:color="auto"/>
            <w:bottom w:val="none" w:sz="0" w:space="0" w:color="auto"/>
            <w:right w:val="none" w:sz="0" w:space="0" w:color="auto"/>
          </w:divBdr>
          <w:divsChild>
            <w:div w:id="510031010">
              <w:marLeft w:val="0"/>
              <w:marRight w:val="0"/>
              <w:marTop w:val="0"/>
              <w:marBottom w:val="0"/>
              <w:divBdr>
                <w:top w:val="none" w:sz="0" w:space="0" w:color="auto"/>
                <w:left w:val="none" w:sz="0" w:space="0" w:color="auto"/>
                <w:bottom w:val="none" w:sz="0" w:space="0" w:color="auto"/>
                <w:right w:val="none" w:sz="0" w:space="0" w:color="auto"/>
              </w:divBdr>
            </w:div>
          </w:divsChild>
        </w:div>
        <w:div w:id="370542916">
          <w:marLeft w:val="0"/>
          <w:marRight w:val="0"/>
          <w:marTop w:val="0"/>
          <w:marBottom w:val="0"/>
          <w:divBdr>
            <w:top w:val="none" w:sz="0" w:space="0" w:color="auto"/>
            <w:left w:val="none" w:sz="0" w:space="0" w:color="auto"/>
            <w:bottom w:val="none" w:sz="0" w:space="0" w:color="auto"/>
            <w:right w:val="none" w:sz="0" w:space="0" w:color="auto"/>
          </w:divBdr>
          <w:divsChild>
            <w:div w:id="356464858">
              <w:marLeft w:val="0"/>
              <w:marRight w:val="0"/>
              <w:marTop w:val="0"/>
              <w:marBottom w:val="0"/>
              <w:divBdr>
                <w:top w:val="none" w:sz="0" w:space="0" w:color="auto"/>
                <w:left w:val="none" w:sz="0" w:space="0" w:color="auto"/>
                <w:bottom w:val="none" w:sz="0" w:space="0" w:color="auto"/>
                <w:right w:val="none" w:sz="0" w:space="0" w:color="auto"/>
              </w:divBdr>
            </w:div>
          </w:divsChild>
        </w:div>
        <w:div w:id="381370832">
          <w:marLeft w:val="0"/>
          <w:marRight w:val="0"/>
          <w:marTop w:val="0"/>
          <w:marBottom w:val="0"/>
          <w:divBdr>
            <w:top w:val="none" w:sz="0" w:space="0" w:color="auto"/>
            <w:left w:val="none" w:sz="0" w:space="0" w:color="auto"/>
            <w:bottom w:val="none" w:sz="0" w:space="0" w:color="auto"/>
            <w:right w:val="none" w:sz="0" w:space="0" w:color="auto"/>
          </w:divBdr>
          <w:divsChild>
            <w:div w:id="2780375">
              <w:marLeft w:val="0"/>
              <w:marRight w:val="0"/>
              <w:marTop w:val="0"/>
              <w:marBottom w:val="0"/>
              <w:divBdr>
                <w:top w:val="none" w:sz="0" w:space="0" w:color="auto"/>
                <w:left w:val="none" w:sz="0" w:space="0" w:color="auto"/>
                <w:bottom w:val="none" w:sz="0" w:space="0" w:color="auto"/>
                <w:right w:val="none" w:sz="0" w:space="0" w:color="auto"/>
              </w:divBdr>
            </w:div>
          </w:divsChild>
        </w:div>
        <w:div w:id="384721098">
          <w:marLeft w:val="0"/>
          <w:marRight w:val="0"/>
          <w:marTop w:val="0"/>
          <w:marBottom w:val="0"/>
          <w:divBdr>
            <w:top w:val="none" w:sz="0" w:space="0" w:color="auto"/>
            <w:left w:val="none" w:sz="0" w:space="0" w:color="auto"/>
            <w:bottom w:val="none" w:sz="0" w:space="0" w:color="auto"/>
            <w:right w:val="none" w:sz="0" w:space="0" w:color="auto"/>
          </w:divBdr>
          <w:divsChild>
            <w:div w:id="541786773">
              <w:marLeft w:val="0"/>
              <w:marRight w:val="0"/>
              <w:marTop w:val="0"/>
              <w:marBottom w:val="0"/>
              <w:divBdr>
                <w:top w:val="none" w:sz="0" w:space="0" w:color="auto"/>
                <w:left w:val="none" w:sz="0" w:space="0" w:color="auto"/>
                <w:bottom w:val="none" w:sz="0" w:space="0" w:color="auto"/>
                <w:right w:val="none" w:sz="0" w:space="0" w:color="auto"/>
              </w:divBdr>
            </w:div>
          </w:divsChild>
        </w:div>
        <w:div w:id="394743203">
          <w:marLeft w:val="0"/>
          <w:marRight w:val="0"/>
          <w:marTop w:val="0"/>
          <w:marBottom w:val="0"/>
          <w:divBdr>
            <w:top w:val="none" w:sz="0" w:space="0" w:color="auto"/>
            <w:left w:val="none" w:sz="0" w:space="0" w:color="auto"/>
            <w:bottom w:val="none" w:sz="0" w:space="0" w:color="auto"/>
            <w:right w:val="none" w:sz="0" w:space="0" w:color="auto"/>
          </w:divBdr>
          <w:divsChild>
            <w:div w:id="2005159315">
              <w:marLeft w:val="0"/>
              <w:marRight w:val="0"/>
              <w:marTop w:val="0"/>
              <w:marBottom w:val="0"/>
              <w:divBdr>
                <w:top w:val="none" w:sz="0" w:space="0" w:color="auto"/>
                <w:left w:val="none" w:sz="0" w:space="0" w:color="auto"/>
                <w:bottom w:val="none" w:sz="0" w:space="0" w:color="auto"/>
                <w:right w:val="none" w:sz="0" w:space="0" w:color="auto"/>
              </w:divBdr>
            </w:div>
          </w:divsChild>
        </w:div>
        <w:div w:id="416559786">
          <w:marLeft w:val="0"/>
          <w:marRight w:val="0"/>
          <w:marTop w:val="0"/>
          <w:marBottom w:val="0"/>
          <w:divBdr>
            <w:top w:val="none" w:sz="0" w:space="0" w:color="auto"/>
            <w:left w:val="none" w:sz="0" w:space="0" w:color="auto"/>
            <w:bottom w:val="none" w:sz="0" w:space="0" w:color="auto"/>
            <w:right w:val="none" w:sz="0" w:space="0" w:color="auto"/>
          </w:divBdr>
          <w:divsChild>
            <w:div w:id="1001852503">
              <w:marLeft w:val="0"/>
              <w:marRight w:val="0"/>
              <w:marTop w:val="0"/>
              <w:marBottom w:val="0"/>
              <w:divBdr>
                <w:top w:val="none" w:sz="0" w:space="0" w:color="auto"/>
                <w:left w:val="none" w:sz="0" w:space="0" w:color="auto"/>
                <w:bottom w:val="none" w:sz="0" w:space="0" w:color="auto"/>
                <w:right w:val="none" w:sz="0" w:space="0" w:color="auto"/>
              </w:divBdr>
            </w:div>
          </w:divsChild>
        </w:div>
        <w:div w:id="423305311">
          <w:marLeft w:val="0"/>
          <w:marRight w:val="0"/>
          <w:marTop w:val="0"/>
          <w:marBottom w:val="0"/>
          <w:divBdr>
            <w:top w:val="none" w:sz="0" w:space="0" w:color="auto"/>
            <w:left w:val="none" w:sz="0" w:space="0" w:color="auto"/>
            <w:bottom w:val="none" w:sz="0" w:space="0" w:color="auto"/>
            <w:right w:val="none" w:sz="0" w:space="0" w:color="auto"/>
          </w:divBdr>
          <w:divsChild>
            <w:div w:id="2114473083">
              <w:marLeft w:val="0"/>
              <w:marRight w:val="0"/>
              <w:marTop w:val="0"/>
              <w:marBottom w:val="0"/>
              <w:divBdr>
                <w:top w:val="none" w:sz="0" w:space="0" w:color="auto"/>
                <w:left w:val="none" w:sz="0" w:space="0" w:color="auto"/>
                <w:bottom w:val="none" w:sz="0" w:space="0" w:color="auto"/>
                <w:right w:val="none" w:sz="0" w:space="0" w:color="auto"/>
              </w:divBdr>
            </w:div>
          </w:divsChild>
        </w:div>
        <w:div w:id="428819758">
          <w:marLeft w:val="0"/>
          <w:marRight w:val="0"/>
          <w:marTop w:val="0"/>
          <w:marBottom w:val="0"/>
          <w:divBdr>
            <w:top w:val="none" w:sz="0" w:space="0" w:color="auto"/>
            <w:left w:val="none" w:sz="0" w:space="0" w:color="auto"/>
            <w:bottom w:val="none" w:sz="0" w:space="0" w:color="auto"/>
            <w:right w:val="none" w:sz="0" w:space="0" w:color="auto"/>
          </w:divBdr>
          <w:divsChild>
            <w:div w:id="2006207440">
              <w:marLeft w:val="0"/>
              <w:marRight w:val="0"/>
              <w:marTop w:val="0"/>
              <w:marBottom w:val="0"/>
              <w:divBdr>
                <w:top w:val="none" w:sz="0" w:space="0" w:color="auto"/>
                <w:left w:val="none" w:sz="0" w:space="0" w:color="auto"/>
                <w:bottom w:val="none" w:sz="0" w:space="0" w:color="auto"/>
                <w:right w:val="none" w:sz="0" w:space="0" w:color="auto"/>
              </w:divBdr>
            </w:div>
          </w:divsChild>
        </w:div>
        <w:div w:id="429010475">
          <w:marLeft w:val="0"/>
          <w:marRight w:val="0"/>
          <w:marTop w:val="0"/>
          <w:marBottom w:val="0"/>
          <w:divBdr>
            <w:top w:val="none" w:sz="0" w:space="0" w:color="auto"/>
            <w:left w:val="none" w:sz="0" w:space="0" w:color="auto"/>
            <w:bottom w:val="none" w:sz="0" w:space="0" w:color="auto"/>
            <w:right w:val="none" w:sz="0" w:space="0" w:color="auto"/>
          </w:divBdr>
          <w:divsChild>
            <w:div w:id="595678978">
              <w:marLeft w:val="0"/>
              <w:marRight w:val="0"/>
              <w:marTop w:val="0"/>
              <w:marBottom w:val="0"/>
              <w:divBdr>
                <w:top w:val="none" w:sz="0" w:space="0" w:color="auto"/>
                <w:left w:val="none" w:sz="0" w:space="0" w:color="auto"/>
                <w:bottom w:val="none" w:sz="0" w:space="0" w:color="auto"/>
                <w:right w:val="none" w:sz="0" w:space="0" w:color="auto"/>
              </w:divBdr>
            </w:div>
          </w:divsChild>
        </w:div>
        <w:div w:id="430590191">
          <w:marLeft w:val="0"/>
          <w:marRight w:val="0"/>
          <w:marTop w:val="0"/>
          <w:marBottom w:val="0"/>
          <w:divBdr>
            <w:top w:val="none" w:sz="0" w:space="0" w:color="auto"/>
            <w:left w:val="none" w:sz="0" w:space="0" w:color="auto"/>
            <w:bottom w:val="none" w:sz="0" w:space="0" w:color="auto"/>
            <w:right w:val="none" w:sz="0" w:space="0" w:color="auto"/>
          </w:divBdr>
          <w:divsChild>
            <w:div w:id="645621307">
              <w:marLeft w:val="0"/>
              <w:marRight w:val="0"/>
              <w:marTop w:val="0"/>
              <w:marBottom w:val="0"/>
              <w:divBdr>
                <w:top w:val="none" w:sz="0" w:space="0" w:color="auto"/>
                <w:left w:val="none" w:sz="0" w:space="0" w:color="auto"/>
                <w:bottom w:val="none" w:sz="0" w:space="0" w:color="auto"/>
                <w:right w:val="none" w:sz="0" w:space="0" w:color="auto"/>
              </w:divBdr>
            </w:div>
          </w:divsChild>
        </w:div>
        <w:div w:id="444274389">
          <w:marLeft w:val="0"/>
          <w:marRight w:val="0"/>
          <w:marTop w:val="0"/>
          <w:marBottom w:val="0"/>
          <w:divBdr>
            <w:top w:val="none" w:sz="0" w:space="0" w:color="auto"/>
            <w:left w:val="none" w:sz="0" w:space="0" w:color="auto"/>
            <w:bottom w:val="none" w:sz="0" w:space="0" w:color="auto"/>
            <w:right w:val="none" w:sz="0" w:space="0" w:color="auto"/>
          </w:divBdr>
          <w:divsChild>
            <w:div w:id="724258445">
              <w:marLeft w:val="0"/>
              <w:marRight w:val="0"/>
              <w:marTop w:val="0"/>
              <w:marBottom w:val="0"/>
              <w:divBdr>
                <w:top w:val="none" w:sz="0" w:space="0" w:color="auto"/>
                <w:left w:val="none" w:sz="0" w:space="0" w:color="auto"/>
                <w:bottom w:val="none" w:sz="0" w:space="0" w:color="auto"/>
                <w:right w:val="none" w:sz="0" w:space="0" w:color="auto"/>
              </w:divBdr>
            </w:div>
          </w:divsChild>
        </w:div>
        <w:div w:id="467944061">
          <w:marLeft w:val="0"/>
          <w:marRight w:val="0"/>
          <w:marTop w:val="0"/>
          <w:marBottom w:val="0"/>
          <w:divBdr>
            <w:top w:val="none" w:sz="0" w:space="0" w:color="auto"/>
            <w:left w:val="none" w:sz="0" w:space="0" w:color="auto"/>
            <w:bottom w:val="none" w:sz="0" w:space="0" w:color="auto"/>
            <w:right w:val="none" w:sz="0" w:space="0" w:color="auto"/>
          </w:divBdr>
          <w:divsChild>
            <w:div w:id="287778793">
              <w:marLeft w:val="0"/>
              <w:marRight w:val="0"/>
              <w:marTop w:val="0"/>
              <w:marBottom w:val="0"/>
              <w:divBdr>
                <w:top w:val="none" w:sz="0" w:space="0" w:color="auto"/>
                <w:left w:val="none" w:sz="0" w:space="0" w:color="auto"/>
                <w:bottom w:val="none" w:sz="0" w:space="0" w:color="auto"/>
                <w:right w:val="none" w:sz="0" w:space="0" w:color="auto"/>
              </w:divBdr>
            </w:div>
          </w:divsChild>
        </w:div>
        <w:div w:id="471215985">
          <w:marLeft w:val="0"/>
          <w:marRight w:val="0"/>
          <w:marTop w:val="0"/>
          <w:marBottom w:val="0"/>
          <w:divBdr>
            <w:top w:val="none" w:sz="0" w:space="0" w:color="auto"/>
            <w:left w:val="none" w:sz="0" w:space="0" w:color="auto"/>
            <w:bottom w:val="none" w:sz="0" w:space="0" w:color="auto"/>
            <w:right w:val="none" w:sz="0" w:space="0" w:color="auto"/>
          </w:divBdr>
          <w:divsChild>
            <w:div w:id="1455442223">
              <w:marLeft w:val="0"/>
              <w:marRight w:val="0"/>
              <w:marTop w:val="0"/>
              <w:marBottom w:val="0"/>
              <w:divBdr>
                <w:top w:val="none" w:sz="0" w:space="0" w:color="auto"/>
                <w:left w:val="none" w:sz="0" w:space="0" w:color="auto"/>
                <w:bottom w:val="none" w:sz="0" w:space="0" w:color="auto"/>
                <w:right w:val="none" w:sz="0" w:space="0" w:color="auto"/>
              </w:divBdr>
            </w:div>
          </w:divsChild>
        </w:div>
        <w:div w:id="473790503">
          <w:marLeft w:val="0"/>
          <w:marRight w:val="0"/>
          <w:marTop w:val="0"/>
          <w:marBottom w:val="0"/>
          <w:divBdr>
            <w:top w:val="none" w:sz="0" w:space="0" w:color="auto"/>
            <w:left w:val="none" w:sz="0" w:space="0" w:color="auto"/>
            <w:bottom w:val="none" w:sz="0" w:space="0" w:color="auto"/>
            <w:right w:val="none" w:sz="0" w:space="0" w:color="auto"/>
          </w:divBdr>
          <w:divsChild>
            <w:div w:id="1014451890">
              <w:marLeft w:val="0"/>
              <w:marRight w:val="0"/>
              <w:marTop w:val="0"/>
              <w:marBottom w:val="0"/>
              <w:divBdr>
                <w:top w:val="none" w:sz="0" w:space="0" w:color="auto"/>
                <w:left w:val="none" w:sz="0" w:space="0" w:color="auto"/>
                <w:bottom w:val="none" w:sz="0" w:space="0" w:color="auto"/>
                <w:right w:val="none" w:sz="0" w:space="0" w:color="auto"/>
              </w:divBdr>
            </w:div>
          </w:divsChild>
        </w:div>
        <w:div w:id="474180260">
          <w:marLeft w:val="0"/>
          <w:marRight w:val="0"/>
          <w:marTop w:val="0"/>
          <w:marBottom w:val="0"/>
          <w:divBdr>
            <w:top w:val="none" w:sz="0" w:space="0" w:color="auto"/>
            <w:left w:val="none" w:sz="0" w:space="0" w:color="auto"/>
            <w:bottom w:val="none" w:sz="0" w:space="0" w:color="auto"/>
            <w:right w:val="none" w:sz="0" w:space="0" w:color="auto"/>
          </w:divBdr>
          <w:divsChild>
            <w:div w:id="1652631512">
              <w:marLeft w:val="0"/>
              <w:marRight w:val="0"/>
              <w:marTop w:val="0"/>
              <w:marBottom w:val="0"/>
              <w:divBdr>
                <w:top w:val="none" w:sz="0" w:space="0" w:color="auto"/>
                <w:left w:val="none" w:sz="0" w:space="0" w:color="auto"/>
                <w:bottom w:val="none" w:sz="0" w:space="0" w:color="auto"/>
                <w:right w:val="none" w:sz="0" w:space="0" w:color="auto"/>
              </w:divBdr>
            </w:div>
          </w:divsChild>
        </w:div>
        <w:div w:id="484708237">
          <w:marLeft w:val="0"/>
          <w:marRight w:val="0"/>
          <w:marTop w:val="0"/>
          <w:marBottom w:val="0"/>
          <w:divBdr>
            <w:top w:val="none" w:sz="0" w:space="0" w:color="auto"/>
            <w:left w:val="none" w:sz="0" w:space="0" w:color="auto"/>
            <w:bottom w:val="none" w:sz="0" w:space="0" w:color="auto"/>
            <w:right w:val="none" w:sz="0" w:space="0" w:color="auto"/>
          </w:divBdr>
          <w:divsChild>
            <w:div w:id="53748142">
              <w:marLeft w:val="0"/>
              <w:marRight w:val="0"/>
              <w:marTop w:val="0"/>
              <w:marBottom w:val="0"/>
              <w:divBdr>
                <w:top w:val="none" w:sz="0" w:space="0" w:color="auto"/>
                <w:left w:val="none" w:sz="0" w:space="0" w:color="auto"/>
                <w:bottom w:val="none" w:sz="0" w:space="0" w:color="auto"/>
                <w:right w:val="none" w:sz="0" w:space="0" w:color="auto"/>
              </w:divBdr>
            </w:div>
          </w:divsChild>
        </w:div>
        <w:div w:id="487867824">
          <w:marLeft w:val="0"/>
          <w:marRight w:val="0"/>
          <w:marTop w:val="0"/>
          <w:marBottom w:val="0"/>
          <w:divBdr>
            <w:top w:val="none" w:sz="0" w:space="0" w:color="auto"/>
            <w:left w:val="none" w:sz="0" w:space="0" w:color="auto"/>
            <w:bottom w:val="none" w:sz="0" w:space="0" w:color="auto"/>
            <w:right w:val="none" w:sz="0" w:space="0" w:color="auto"/>
          </w:divBdr>
          <w:divsChild>
            <w:div w:id="2021227389">
              <w:marLeft w:val="0"/>
              <w:marRight w:val="0"/>
              <w:marTop w:val="0"/>
              <w:marBottom w:val="0"/>
              <w:divBdr>
                <w:top w:val="none" w:sz="0" w:space="0" w:color="auto"/>
                <w:left w:val="none" w:sz="0" w:space="0" w:color="auto"/>
                <w:bottom w:val="none" w:sz="0" w:space="0" w:color="auto"/>
                <w:right w:val="none" w:sz="0" w:space="0" w:color="auto"/>
              </w:divBdr>
            </w:div>
          </w:divsChild>
        </w:div>
        <w:div w:id="494076698">
          <w:marLeft w:val="0"/>
          <w:marRight w:val="0"/>
          <w:marTop w:val="0"/>
          <w:marBottom w:val="0"/>
          <w:divBdr>
            <w:top w:val="none" w:sz="0" w:space="0" w:color="auto"/>
            <w:left w:val="none" w:sz="0" w:space="0" w:color="auto"/>
            <w:bottom w:val="none" w:sz="0" w:space="0" w:color="auto"/>
            <w:right w:val="none" w:sz="0" w:space="0" w:color="auto"/>
          </w:divBdr>
          <w:divsChild>
            <w:div w:id="211771713">
              <w:marLeft w:val="0"/>
              <w:marRight w:val="0"/>
              <w:marTop w:val="0"/>
              <w:marBottom w:val="0"/>
              <w:divBdr>
                <w:top w:val="none" w:sz="0" w:space="0" w:color="auto"/>
                <w:left w:val="none" w:sz="0" w:space="0" w:color="auto"/>
                <w:bottom w:val="none" w:sz="0" w:space="0" w:color="auto"/>
                <w:right w:val="none" w:sz="0" w:space="0" w:color="auto"/>
              </w:divBdr>
            </w:div>
          </w:divsChild>
        </w:div>
        <w:div w:id="504587280">
          <w:marLeft w:val="0"/>
          <w:marRight w:val="0"/>
          <w:marTop w:val="0"/>
          <w:marBottom w:val="0"/>
          <w:divBdr>
            <w:top w:val="none" w:sz="0" w:space="0" w:color="auto"/>
            <w:left w:val="none" w:sz="0" w:space="0" w:color="auto"/>
            <w:bottom w:val="none" w:sz="0" w:space="0" w:color="auto"/>
            <w:right w:val="none" w:sz="0" w:space="0" w:color="auto"/>
          </w:divBdr>
          <w:divsChild>
            <w:div w:id="1516848994">
              <w:marLeft w:val="0"/>
              <w:marRight w:val="0"/>
              <w:marTop w:val="0"/>
              <w:marBottom w:val="0"/>
              <w:divBdr>
                <w:top w:val="none" w:sz="0" w:space="0" w:color="auto"/>
                <w:left w:val="none" w:sz="0" w:space="0" w:color="auto"/>
                <w:bottom w:val="none" w:sz="0" w:space="0" w:color="auto"/>
                <w:right w:val="none" w:sz="0" w:space="0" w:color="auto"/>
              </w:divBdr>
            </w:div>
          </w:divsChild>
        </w:div>
        <w:div w:id="506747578">
          <w:marLeft w:val="0"/>
          <w:marRight w:val="0"/>
          <w:marTop w:val="0"/>
          <w:marBottom w:val="0"/>
          <w:divBdr>
            <w:top w:val="none" w:sz="0" w:space="0" w:color="auto"/>
            <w:left w:val="none" w:sz="0" w:space="0" w:color="auto"/>
            <w:bottom w:val="none" w:sz="0" w:space="0" w:color="auto"/>
            <w:right w:val="none" w:sz="0" w:space="0" w:color="auto"/>
          </w:divBdr>
          <w:divsChild>
            <w:div w:id="1363743726">
              <w:marLeft w:val="0"/>
              <w:marRight w:val="0"/>
              <w:marTop w:val="0"/>
              <w:marBottom w:val="0"/>
              <w:divBdr>
                <w:top w:val="none" w:sz="0" w:space="0" w:color="auto"/>
                <w:left w:val="none" w:sz="0" w:space="0" w:color="auto"/>
                <w:bottom w:val="none" w:sz="0" w:space="0" w:color="auto"/>
                <w:right w:val="none" w:sz="0" w:space="0" w:color="auto"/>
              </w:divBdr>
            </w:div>
          </w:divsChild>
        </w:div>
        <w:div w:id="516693094">
          <w:marLeft w:val="0"/>
          <w:marRight w:val="0"/>
          <w:marTop w:val="0"/>
          <w:marBottom w:val="0"/>
          <w:divBdr>
            <w:top w:val="none" w:sz="0" w:space="0" w:color="auto"/>
            <w:left w:val="none" w:sz="0" w:space="0" w:color="auto"/>
            <w:bottom w:val="none" w:sz="0" w:space="0" w:color="auto"/>
            <w:right w:val="none" w:sz="0" w:space="0" w:color="auto"/>
          </w:divBdr>
          <w:divsChild>
            <w:div w:id="472992514">
              <w:marLeft w:val="0"/>
              <w:marRight w:val="0"/>
              <w:marTop w:val="0"/>
              <w:marBottom w:val="0"/>
              <w:divBdr>
                <w:top w:val="none" w:sz="0" w:space="0" w:color="auto"/>
                <w:left w:val="none" w:sz="0" w:space="0" w:color="auto"/>
                <w:bottom w:val="none" w:sz="0" w:space="0" w:color="auto"/>
                <w:right w:val="none" w:sz="0" w:space="0" w:color="auto"/>
              </w:divBdr>
            </w:div>
          </w:divsChild>
        </w:div>
        <w:div w:id="531964692">
          <w:marLeft w:val="0"/>
          <w:marRight w:val="0"/>
          <w:marTop w:val="0"/>
          <w:marBottom w:val="0"/>
          <w:divBdr>
            <w:top w:val="none" w:sz="0" w:space="0" w:color="auto"/>
            <w:left w:val="none" w:sz="0" w:space="0" w:color="auto"/>
            <w:bottom w:val="none" w:sz="0" w:space="0" w:color="auto"/>
            <w:right w:val="none" w:sz="0" w:space="0" w:color="auto"/>
          </w:divBdr>
          <w:divsChild>
            <w:div w:id="1444379918">
              <w:marLeft w:val="0"/>
              <w:marRight w:val="0"/>
              <w:marTop w:val="0"/>
              <w:marBottom w:val="0"/>
              <w:divBdr>
                <w:top w:val="none" w:sz="0" w:space="0" w:color="auto"/>
                <w:left w:val="none" w:sz="0" w:space="0" w:color="auto"/>
                <w:bottom w:val="none" w:sz="0" w:space="0" w:color="auto"/>
                <w:right w:val="none" w:sz="0" w:space="0" w:color="auto"/>
              </w:divBdr>
            </w:div>
          </w:divsChild>
        </w:div>
        <w:div w:id="531965613">
          <w:marLeft w:val="0"/>
          <w:marRight w:val="0"/>
          <w:marTop w:val="0"/>
          <w:marBottom w:val="0"/>
          <w:divBdr>
            <w:top w:val="none" w:sz="0" w:space="0" w:color="auto"/>
            <w:left w:val="none" w:sz="0" w:space="0" w:color="auto"/>
            <w:bottom w:val="none" w:sz="0" w:space="0" w:color="auto"/>
            <w:right w:val="none" w:sz="0" w:space="0" w:color="auto"/>
          </w:divBdr>
          <w:divsChild>
            <w:div w:id="1243101522">
              <w:marLeft w:val="0"/>
              <w:marRight w:val="0"/>
              <w:marTop w:val="0"/>
              <w:marBottom w:val="0"/>
              <w:divBdr>
                <w:top w:val="none" w:sz="0" w:space="0" w:color="auto"/>
                <w:left w:val="none" w:sz="0" w:space="0" w:color="auto"/>
                <w:bottom w:val="none" w:sz="0" w:space="0" w:color="auto"/>
                <w:right w:val="none" w:sz="0" w:space="0" w:color="auto"/>
              </w:divBdr>
            </w:div>
          </w:divsChild>
        </w:div>
        <w:div w:id="535430707">
          <w:marLeft w:val="0"/>
          <w:marRight w:val="0"/>
          <w:marTop w:val="0"/>
          <w:marBottom w:val="0"/>
          <w:divBdr>
            <w:top w:val="none" w:sz="0" w:space="0" w:color="auto"/>
            <w:left w:val="none" w:sz="0" w:space="0" w:color="auto"/>
            <w:bottom w:val="none" w:sz="0" w:space="0" w:color="auto"/>
            <w:right w:val="none" w:sz="0" w:space="0" w:color="auto"/>
          </w:divBdr>
          <w:divsChild>
            <w:div w:id="442968408">
              <w:marLeft w:val="0"/>
              <w:marRight w:val="0"/>
              <w:marTop w:val="0"/>
              <w:marBottom w:val="0"/>
              <w:divBdr>
                <w:top w:val="none" w:sz="0" w:space="0" w:color="auto"/>
                <w:left w:val="none" w:sz="0" w:space="0" w:color="auto"/>
                <w:bottom w:val="none" w:sz="0" w:space="0" w:color="auto"/>
                <w:right w:val="none" w:sz="0" w:space="0" w:color="auto"/>
              </w:divBdr>
            </w:div>
          </w:divsChild>
        </w:div>
        <w:div w:id="539627818">
          <w:marLeft w:val="0"/>
          <w:marRight w:val="0"/>
          <w:marTop w:val="0"/>
          <w:marBottom w:val="0"/>
          <w:divBdr>
            <w:top w:val="none" w:sz="0" w:space="0" w:color="auto"/>
            <w:left w:val="none" w:sz="0" w:space="0" w:color="auto"/>
            <w:bottom w:val="none" w:sz="0" w:space="0" w:color="auto"/>
            <w:right w:val="none" w:sz="0" w:space="0" w:color="auto"/>
          </w:divBdr>
          <w:divsChild>
            <w:div w:id="589966460">
              <w:marLeft w:val="0"/>
              <w:marRight w:val="0"/>
              <w:marTop w:val="0"/>
              <w:marBottom w:val="0"/>
              <w:divBdr>
                <w:top w:val="none" w:sz="0" w:space="0" w:color="auto"/>
                <w:left w:val="none" w:sz="0" w:space="0" w:color="auto"/>
                <w:bottom w:val="none" w:sz="0" w:space="0" w:color="auto"/>
                <w:right w:val="none" w:sz="0" w:space="0" w:color="auto"/>
              </w:divBdr>
            </w:div>
          </w:divsChild>
        </w:div>
        <w:div w:id="540748752">
          <w:marLeft w:val="0"/>
          <w:marRight w:val="0"/>
          <w:marTop w:val="0"/>
          <w:marBottom w:val="0"/>
          <w:divBdr>
            <w:top w:val="none" w:sz="0" w:space="0" w:color="auto"/>
            <w:left w:val="none" w:sz="0" w:space="0" w:color="auto"/>
            <w:bottom w:val="none" w:sz="0" w:space="0" w:color="auto"/>
            <w:right w:val="none" w:sz="0" w:space="0" w:color="auto"/>
          </w:divBdr>
          <w:divsChild>
            <w:div w:id="317614435">
              <w:marLeft w:val="0"/>
              <w:marRight w:val="0"/>
              <w:marTop w:val="0"/>
              <w:marBottom w:val="0"/>
              <w:divBdr>
                <w:top w:val="none" w:sz="0" w:space="0" w:color="auto"/>
                <w:left w:val="none" w:sz="0" w:space="0" w:color="auto"/>
                <w:bottom w:val="none" w:sz="0" w:space="0" w:color="auto"/>
                <w:right w:val="none" w:sz="0" w:space="0" w:color="auto"/>
              </w:divBdr>
            </w:div>
          </w:divsChild>
        </w:div>
        <w:div w:id="543255879">
          <w:marLeft w:val="0"/>
          <w:marRight w:val="0"/>
          <w:marTop w:val="0"/>
          <w:marBottom w:val="0"/>
          <w:divBdr>
            <w:top w:val="none" w:sz="0" w:space="0" w:color="auto"/>
            <w:left w:val="none" w:sz="0" w:space="0" w:color="auto"/>
            <w:bottom w:val="none" w:sz="0" w:space="0" w:color="auto"/>
            <w:right w:val="none" w:sz="0" w:space="0" w:color="auto"/>
          </w:divBdr>
          <w:divsChild>
            <w:div w:id="78717421">
              <w:marLeft w:val="0"/>
              <w:marRight w:val="0"/>
              <w:marTop w:val="0"/>
              <w:marBottom w:val="0"/>
              <w:divBdr>
                <w:top w:val="none" w:sz="0" w:space="0" w:color="auto"/>
                <w:left w:val="none" w:sz="0" w:space="0" w:color="auto"/>
                <w:bottom w:val="none" w:sz="0" w:space="0" w:color="auto"/>
                <w:right w:val="none" w:sz="0" w:space="0" w:color="auto"/>
              </w:divBdr>
            </w:div>
          </w:divsChild>
        </w:div>
        <w:div w:id="557518274">
          <w:marLeft w:val="0"/>
          <w:marRight w:val="0"/>
          <w:marTop w:val="0"/>
          <w:marBottom w:val="0"/>
          <w:divBdr>
            <w:top w:val="none" w:sz="0" w:space="0" w:color="auto"/>
            <w:left w:val="none" w:sz="0" w:space="0" w:color="auto"/>
            <w:bottom w:val="none" w:sz="0" w:space="0" w:color="auto"/>
            <w:right w:val="none" w:sz="0" w:space="0" w:color="auto"/>
          </w:divBdr>
          <w:divsChild>
            <w:div w:id="269319057">
              <w:marLeft w:val="0"/>
              <w:marRight w:val="0"/>
              <w:marTop w:val="0"/>
              <w:marBottom w:val="0"/>
              <w:divBdr>
                <w:top w:val="none" w:sz="0" w:space="0" w:color="auto"/>
                <w:left w:val="none" w:sz="0" w:space="0" w:color="auto"/>
                <w:bottom w:val="none" w:sz="0" w:space="0" w:color="auto"/>
                <w:right w:val="none" w:sz="0" w:space="0" w:color="auto"/>
              </w:divBdr>
            </w:div>
          </w:divsChild>
        </w:div>
        <w:div w:id="565455004">
          <w:marLeft w:val="0"/>
          <w:marRight w:val="0"/>
          <w:marTop w:val="0"/>
          <w:marBottom w:val="0"/>
          <w:divBdr>
            <w:top w:val="none" w:sz="0" w:space="0" w:color="auto"/>
            <w:left w:val="none" w:sz="0" w:space="0" w:color="auto"/>
            <w:bottom w:val="none" w:sz="0" w:space="0" w:color="auto"/>
            <w:right w:val="none" w:sz="0" w:space="0" w:color="auto"/>
          </w:divBdr>
          <w:divsChild>
            <w:div w:id="932056302">
              <w:marLeft w:val="0"/>
              <w:marRight w:val="0"/>
              <w:marTop w:val="0"/>
              <w:marBottom w:val="0"/>
              <w:divBdr>
                <w:top w:val="none" w:sz="0" w:space="0" w:color="auto"/>
                <w:left w:val="none" w:sz="0" w:space="0" w:color="auto"/>
                <w:bottom w:val="none" w:sz="0" w:space="0" w:color="auto"/>
                <w:right w:val="none" w:sz="0" w:space="0" w:color="auto"/>
              </w:divBdr>
            </w:div>
          </w:divsChild>
        </w:div>
        <w:div w:id="566651764">
          <w:marLeft w:val="0"/>
          <w:marRight w:val="0"/>
          <w:marTop w:val="0"/>
          <w:marBottom w:val="0"/>
          <w:divBdr>
            <w:top w:val="none" w:sz="0" w:space="0" w:color="auto"/>
            <w:left w:val="none" w:sz="0" w:space="0" w:color="auto"/>
            <w:bottom w:val="none" w:sz="0" w:space="0" w:color="auto"/>
            <w:right w:val="none" w:sz="0" w:space="0" w:color="auto"/>
          </w:divBdr>
          <w:divsChild>
            <w:div w:id="474298336">
              <w:marLeft w:val="0"/>
              <w:marRight w:val="0"/>
              <w:marTop w:val="0"/>
              <w:marBottom w:val="0"/>
              <w:divBdr>
                <w:top w:val="none" w:sz="0" w:space="0" w:color="auto"/>
                <w:left w:val="none" w:sz="0" w:space="0" w:color="auto"/>
                <w:bottom w:val="none" w:sz="0" w:space="0" w:color="auto"/>
                <w:right w:val="none" w:sz="0" w:space="0" w:color="auto"/>
              </w:divBdr>
            </w:div>
          </w:divsChild>
        </w:div>
        <w:div w:id="567809339">
          <w:marLeft w:val="0"/>
          <w:marRight w:val="0"/>
          <w:marTop w:val="0"/>
          <w:marBottom w:val="0"/>
          <w:divBdr>
            <w:top w:val="none" w:sz="0" w:space="0" w:color="auto"/>
            <w:left w:val="none" w:sz="0" w:space="0" w:color="auto"/>
            <w:bottom w:val="none" w:sz="0" w:space="0" w:color="auto"/>
            <w:right w:val="none" w:sz="0" w:space="0" w:color="auto"/>
          </w:divBdr>
          <w:divsChild>
            <w:div w:id="1067723543">
              <w:marLeft w:val="0"/>
              <w:marRight w:val="0"/>
              <w:marTop w:val="0"/>
              <w:marBottom w:val="0"/>
              <w:divBdr>
                <w:top w:val="none" w:sz="0" w:space="0" w:color="auto"/>
                <w:left w:val="none" w:sz="0" w:space="0" w:color="auto"/>
                <w:bottom w:val="none" w:sz="0" w:space="0" w:color="auto"/>
                <w:right w:val="none" w:sz="0" w:space="0" w:color="auto"/>
              </w:divBdr>
            </w:div>
          </w:divsChild>
        </w:div>
        <w:div w:id="570703211">
          <w:marLeft w:val="0"/>
          <w:marRight w:val="0"/>
          <w:marTop w:val="0"/>
          <w:marBottom w:val="0"/>
          <w:divBdr>
            <w:top w:val="none" w:sz="0" w:space="0" w:color="auto"/>
            <w:left w:val="none" w:sz="0" w:space="0" w:color="auto"/>
            <w:bottom w:val="none" w:sz="0" w:space="0" w:color="auto"/>
            <w:right w:val="none" w:sz="0" w:space="0" w:color="auto"/>
          </w:divBdr>
          <w:divsChild>
            <w:div w:id="458375330">
              <w:marLeft w:val="0"/>
              <w:marRight w:val="0"/>
              <w:marTop w:val="0"/>
              <w:marBottom w:val="0"/>
              <w:divBdr>
                <w:top w:val="none" w:sz="0" w:space="0" w:color="auto"/>
                <w:left w:val="none" w:sz="0" w:space="0" w:color="auto"/>
                <w:bottom w:val="none" w:sz="0" w:space="0" w:color="auto"/>
                <w:right w:val="none" w:sz="0" w:space="0" w:color="auto"/>
              </w:divBdr>
            </w:div>
          </w:divsChild>
        </w:div>
        <w:div w:id="585891946">
          <w:marLeft w:val="0"/>
          <w:marRight w:val="0"/>
          <w:marTop w:val="0"/>
          <w:marBottom w:val="0"/>
          <w:divBdr>
            <w:top w:val="none" w:sz="0" w:space="0" w:color="auto"/>
            <w:left w:val="none" w:sz="0" w:space="0" w:color="auto"/>
            <w:bottom w:val="none" w:sz="0" w:space="0" w:color="auto"/>
            <w:right w:val="none" w:sz="0" w:space="0" w:color="auto"/>
          </w:divBdr>
          <w:divsChild>
            <w:div w:id="840587818">
              <w:marLeft w:val="0"/>
              <w:marRight w:val="0"/>
              <w:marTop w:val="0"/>
              <w:marBottom w:val="0"/>
              <w:divBdr>
                <w:top w:val="none" w:sz="0" w:space="0" w:color="auto"/>
                <w:left w:val="none" w:sz="0" w:space="0" w:color="auto"/>
                <w:bottom w:val="none" w:sz="0" w:space="0" w:color="auto"/>
                <w:right w:val="none" w:sz="0" w:space="0" w:color="auto"/>
              </w:divBdr>
            </w:div>
          </w:divsChild>
        </w:div>
        <w:div w:id="589312131">
          <w:marLeft w:val="0"/>
          <w:marRight w:val="0"/>
          <w:marTop w:val="0"/>
          <w:marBottom w:val="0"/>
          <w:divBdr>
            <w:top w:val="none" w:sz="0" w:space="0" w:color="auto"/>
            <w:left w:val="none" w:sz="0" w:space="0" w:color="auto"/>
            <w:bottom w:val="none" w:sz="0" w:space="0" w:color="auto"/>
            <w:right w:val="none" w:sz="0" w:space="0" w:color="auto"/>
          </w:divBdr>
          <w:divsChild>
            <w:div w:id="1567639915">
              <w:marLeft w:val="0"/>
              <w:marRight w:val="0"/>
              <w:marTop w:val="0"/>
              <w:marBottom w:val="0"/>
              <w:divBdr>
                <w:top w:val="none" w:sz="0" w:space="0" w:color="auto"/>
                <w:left w:val="none" w:sz="0" w:space="0" w:color="auto"/>
                <w:bottom w:val="none" w:sz="0" w:space="0" w:color="auto"/>
                <w:right w:val="none" w:sz="0" w:space="0" w:color="auto"/>
              </w:divBdr>
            </w:div>
          </w:divsChild>
        </w:div>
        <w:div w:id="592397128">
          <w:marLeft w:val="0"/>
          <w:marRight w:val="0"/>
          <w:marTop w:val="0"/>
          <w:marBottom w:val="0"/>
          <w:divBdr>
            <w:top w:val="none" w:sz="0" w:space="0" w:color="auto"/>
            <w:left w:val="none" w:sz="0" w:space="0" w:color="auto"/>
            <w:bottom w:val="none" w:sz="0" w:space="0" w:color="auto"/>
            <w:right w:val="none" w:sz="0" w:space="0" w:color="auto"/>
          </w:divBdr>
          <w:divsChild>
            <w:div w:id="1181116257">
              <w:marLeft w:val="0"/>
              <w:marRight w:val="0"/>
              <w:marTop w:val="0"/>
              <w:marBottom w:val="0"/>
              <w:divBdr>
                <w:top w:val="none" w:sz="0" w:space="0" w:color="auto"/>
                <w:left w:val="none" w:sz="0" w:space="0" w:color="auto"/>
                <w:bottom w:val="none" w:sz="0" w:space="0" w:color="auto"/>
                <w:right w:val="none" w:sz="0" w:space="0" w:color="auto"/>
              </w:divBdr>
            </w:div>
          </w:divsChild>
        </w:div>
        <w:div w:id="602802375">
          <w:marLeft w:val="0"/>
          <w:marRight w:val="0"/>
          <w:marTop w:val="0"/>
          <w:marBottom w:val="0"/>
          <w:divBdr>
            <w:top w:val="none" w:sz="0" w:space="0" w:color="auto"/>
            <w:left w:val="none" w:sz="0" w:space="0" w:color="auto"/>
            <w:bottom w:val="none" w:sz="0" w:space="0" w:color="auto"/>
            <w:right w:val="none" w:sz="0" w:space="0" w:color="auto"/>
          </w:divBdr>
          <w:divsChild>
            <w:div w:id="354964630">
              <w:marLeft w:val="0"/>
              <w:marRight w:val="0"/>
              <w:marTop w:val="0"/>
              <w:marBottom w:val="0"/>
              <w:divBdr>
                <w:top w:val="none" w:sz="0" w:space="0" w:color="auto"/>
                <w:left w:val="none" w:sz="0" w:space="0" w:color="auto"/>
                <w:bottom w:val="none" w:sz="0" w:space="0" w:color="auto"/>
                <w:right w:val="none" w:sz="0" w:space="0" w:color="auto"/>
              </w:divBdr>
            </w:div>
          </w:divsChild>
        </w:div>
        <w:div w:id="611209417">
          <w:marLeft w:val="0"/>
          <w:marRight w:val="0"/>
          <w:marTop w:val="0"/>
          <w:marBottom w:val="0"/>
          <w:divBdr>
            <w:top w:val="none" w:sz="0" w:space="0" w:color="auto"/>
            <w:left w:val="none" w:sz="0" w:space="0" w:color="auto"/>
            <w:bottom w:val="none" w:sz="0" w:space="0" w:color="auto"/>
            <w:right w:val="none" w:sz="0" w:space="0" w:color="auto"/>
          </w:divBdr>
          <w:divsChild>
            <w:div w:id="1813135339">
              <w:marLeft w:val="0"/>
              <w:marRight w:val="0"/>
              <w:marTop w:val="0"/>
              <w:marBottom w:val="0"/>
              <w:divBdr>
                <w:top w:val="none" w:sz="0" w:space="0" w:color="auto"/>
                <w:left w:val="none" w:sz="0" w:space="0" w:color="auto"/>
                <w:bottom w:val="none" w:sz="0" w:space="0" w:color="auto"/>
                <w:right w:val="none" w:sz="0" w:space="0" w:color="auto"/>
              </w:divBdr>
            </w:div>
          </w:divsChild>
        </w:div>
        <w:div w:id="611471308">
          <w:marLeft w:val="0"/>
          <w:marRight w:val="0"/>
          <w:marTop w:val="0"/>
          <w:marBottom w:val="0"/>
          <w:divBdr>
            <w:top w:val="none" w:sz="0" w:space="0" w:color="auto"/>
            <w:left w:val="none" w:sz="0" w:space="0" w:color="auto"/>
            <w:bottom w:val="none" w:sz="0" w:space="0" w:color="auto"/>
            <w:right w:val="none" w:sz="0" w:space="0" w:color="auto"/>
          </w:divBdr>
          <w:divsChild>
            <w:div w:id="1351949635">
              <w:marLeft w:val="0"/>
              <w:marRight w:val="0"/>
              <w:marTop w:val="0"/>
              <w:marBottom w:val="0"/>
              <w:divBdr>
                <w:top w:val="none" w:sz="0" w:space="0" w:color="auto"/>
                <w:left w:val="none" w:sz="0" w:space="0" w:color="auto"/>
                <w:bottom w:val="none" w:sz="0" w:space="0" w:color="auto"/>
                <w:right w:val="none" w:sz="0" w:space="0" w:color="auto"/>
              </w:divBdr>
            </w:div>
          </w:divsChild>
        </w:div>
        <w:div w:id="614100398">
          <w:marLeft w:val="0"/>
          <w:marRight w:val="0"/>
          <w:marTop w:val="0"/>
          <w:marBottom w:val="0"/>
          <w:divBdr>
            <w:top w:val="none" w:sz="0" w:space="0" w:color="auto"/>
            <w:left w:val="none" w:sz="0" w:space="0" w:color="auto"/>
            <w:bottom w:val="none" w:sz="0" w:space="0" w:color="auto"/>
            <w:right w:val="none" w:sz="0" w:space="0" w:color="auto"/>
          </w:divBdr>
          <w:divsChild>
            <w:div w:id="235630458">
              <w:marLeft w:val="0"/>
              <w:marRight w:val="0"/>
              <w:marTop w:val="0"/>
              <w:marBottom w:val="0"/>
              <w:divBdr>
                <w:top w:val="none" w:sz="0" w:space="0" w:color="auto"/>
                <w:left w:val="none" w:sz="0" w:space="0" w:color="auto"/>
                <w:bottom w:val="none" w:sz="0" w:space="0" w:color="auto"/>
                <w:right w:val="none" w:sz="0" w:space="0" w:color="auto"/>
              </w:divBdr>
            </w:div>
            <w:div w:id="270744391">
              <w:marLeft w:val="0"/>
              <w:marRight w:val="0"/>
              <w:marTop w:val="0"/>
              <w:marBottom w:val="0"/>
              <w:divBdr>
                <w:top w:val="none" w:sz="0" w:space="0" w:color="auto"/>
                <w:left w:val="none" w:sz="0" w:space="0" w:color="auto"/>
                <w:bottom w:val="none" w:sz="0" w:space="0" w:color="auto"/>
                <w:right w:val="none" w:sz="0" w:space="0" w:color="auto"/>
              </w:divBdr>
            </w:div>
            <w:div w:id="534779134">
              <w:marLeft w:val="0"/>
              <w:marRight w:val="0"/>
              <w:marTop w:val="0"/>
              <w:marBottom w:val="0"/>
              <w:divBdr>
                <w:top w:val="none" w:sz="0" w:space="0" w:color="auto"/>
                <w:left w:val="none" w:sz="0" w:space="0" w:color="auto"/>
                <w:bottom w:val="none" w:sz="0" w:space="0" w:color="auto"/>
                <w:right w:val="none" w:sz="0" w:space="0" w:color="auto"/>
              </w:divBdr>
            </w:div>
            <w:div w:id="609241373">
              <w:marLeft w:val="0"/>
              <w:marRight w:val="0"/>
              <w:marTop w:val="0"/>
              <w:marBottom w:val="0"/>
              <w:divBdr>
                <w:top w:val="none" w:sz="0" w:space="0" w:color="auto"/>
                <w:left w:val="none" w:sz="0" w:space="0" w:color="auto"/>
                <w:bottom w:val="none" w:sz="0" w:space="0" w:color="auto"/>
                <w:right w:val="none" w:sz="0" w:space="0" w:color="auto"/>
              </w:divBdr>
            </w:div>
            <w:div w:id="960842745">
              <w:marLeft w:val="0"/>
              <w:marRight w:val="0"/>
              <w:marTop w:val="0"/>
              <w:marBottom w:val="0"/>
              <w:divBdr>
                <w:top w:val="none" w:sz="0" w:space="0" w:color="auto"/>
                <w:left w:val="none" w:sz="0" w:space="0" w:color="auto"/>
                <w:bottom w:val="none" w:sz="0" w:space="0" w:color="auto"/>
                <w:right w:val="none" w:sz="0" w:space="0" w:color="auto"/>
              </w:divBdr>
            </w:div>
            <w:div w:id="999233364">
              <w:marLeft w:val="0"/>
              <w:marRight w:val="0"/>
              <w:marTop w:val="0"/>
              <w:marBottom w:val="0"/>
              <w:divBdr>
                <w:top w:val="none" w:sz="0" w:space="0" w:color="auto"/>
                <w:left w:val="none" w:sz="0" w:space="0" w:color="auto"/>
                <w:bottom w:val="none" w:sz="0" w:space="0" w:color="auto"/>
                <w:right w:val="none" w:sz="0" w:space="0" w:color="auto"/>
              </w:divBdr>
            </w:div>
            <w:div w:id="1215432073">
              <w:marLeft w:val="0"/>
              <w:marRight w:val="0"/>
              <w:marTop w:val="0"/>
              <w:marBottom w:val="0"/>
              <w:divBdr>
                <w:top w:val="none" w:sz="0" w:space="0" w:color="auto"/>
                <w:left w:val="none" w:sz="0" w:space="0" w:color="auto"/>
                <w:bottom w:val="none" w:sz="0" w:space="0" w:color="auto"/>
                <w:right w:val="none" w:sz="0" w:space="0" w:color="auto"/>
              </w:divBdr>
            </w:div>
            <w:div w:id="1440642307">
              <w:marLeft w:val="0"/>
              <w:marRight w:val="0"/>
              <w:marTop w:val="0"/>
              <w:marBottom w:val="0"/>
              <w:divBdr>
                <w:top w:val="none" w:sz="0" w:space="0" w:color="auto"/>
                <w:left w:val="none" w:sz="0" w:space="0" w:color="auto"/>
                <w:bottom w:val="none" w:sz="0" w:space="0" w:color="auto"/>
                <w:right w:val="none" w:sz="0" w:space="0" w:color="auto"/>
              </w:divBdr>
            </w:div>
            <w:div w:id="1598638721">
              <w:marLeft w:val="0"/>
              <w:marRight w:val="0"/>
              <w:marTop w:val="0"/>
              <w:marBottom w:val="0"/>
              <w:divBdr>
                <w:top w:val="none" w:sz="0" w:space="0" w:color="auto"/>
                <w:left w:val="none" w:sz="0" w:space="0" w:color="auto"/>
                <w:bottom w:val="none" w:sz="0" w:space="0" w:color="auto"/>
                <w:right w:val="none" w:sz="0" w:space="0" w:color="auto"/>
              </w:divBdr>
            </w:div>
            <w:div w:id="1784884966">
              <w:marLeft w:val="0"/>
              <w:marRight w:val="0"/>
              <w:marTop w:val="0"/>
              <w:marBottom w:val="0"/>
              <w:divBdr>
                <w:top w:val="none" w:sz="0" w:space="0" w:color="auto"/>
                <w:left w:val="none" w:sz="0" w:space="0" w:color="auto"/>
                <w:bottom w:val="none" w:sz="0" w:space="0" w:color="auto"/>
                <w:right w:val="none" w:sz="0" w:space="0" w:color="auto"/>
              </w:divBdr>
            </w:div>
            <w:div w:id="1801411417">
              <w:marLeft w:val="0"/>
              <w:marRight w:val="0"/>
              <w:marTop w:val="0"/>
              <w:marBottom w:val="0"/>
              <w:divBdr>
                <w:top w:val="none" w:sz="0" w:space="0" w:color="auto"/>
                <w:left w:val="none" w:sz="0" w:space="0" w:color="auto"/>
                <w:bottom w:val="none" w:sz="0" w:space="0" w:color="auto"/>
                <w:right w:val="none" w:sz="0" w:space="0" w:color="auto"/>
              </w:divBdr>
            </w:div>
            <w:div w:id="1893495551">
              <w:marLeft w:val="0"/>
              <w:marRight w:val="0"/>
              <w:marTop w:val="0"/>
              <w:marBottom w:val="0"/>
              <w:divBdr>
                <w:top w:val="none" w:sz="0" w:space="0" w:color="auto"/>
                <w:left w:val="none" w:sz="0" w:space="0" w:color="auto"/>
                <w:bottom w:val="none" w:sz="0" w:space="0" w:color="auto"/>
                <w:right w:val="none" w:sz="0" w:space="0" w:color="auto"/>
              </w:divBdr>
            </w:div>
            <w:div w:id="2128430091">
              <w:marLeft w:val="0"/>
              <w:marRight w:val="0"/>
              <w:marTop w:val="0"/>
              <w:marBottom w:val="0"/>
              <w:divBdr>
                <w:top w:val="none" w:sz="0" w:space="0" w:color="auto"/>
                <w:left w:val="none" w:sz="0" w:space="0" w:color="auto"/>
                <w:bottom w:val="none" w:sz="0" w:space="0" w:color="auto"/>
                <w:right w:val="none" w:sz="0" w:space="0" w:color="auto"/>
              </w:divBdr>
            </w:div>
          </w:divsChild>
        </w:div>
        <w:div w:id="614799667">
          <w:marLeft w:val="0"/>
          <w:marRight w:val="0"/>
          <w:marTop w:val="0"/>
          <w:marBottom w:val="0"/>
          <w:divBdr>
            <w:top w:val="none" w:sz="0" w:space="0" w:color="auto"/>
            <w:left w:val="none" w:sz="0" w:space="0" w:color="auto"/>
            <w:bottom w:val="none" w:sz="0" w:space="0" w:color="auto"/>
            <w:right w:val="none" w:sz="0" w:space="0" w:color="auto"/>
          </w:divBdr>
          <w:divsChild>
            <w:div w:id="1144129477">
              <w:marLeft w:val="0"/>
              <w:marRight w:val="0"/>
              <w:marTop w:val="0"/>
              <w:marBottom w:val="0"/>
              <w:divBdr>
                <w:top w:val="none" w:sz="0" w:space="0" w:color="auto"/>
                <w:left w:val="none" w:sz="0" w:space="0" w:color="auto"/>
                <w:bottom w:val="none" w:sz="0" w:space="0" w:color="auto"/>
                <w:right w:val="none" w:sz="0" w:space="0" w:color="auto"/>
              </w:divBdr>
            </w:div>
          </w:divsChild>
        </w:div>
        <w:div w:id="644047995">
          <w:marLeft w:val="0"/>
          <w:marRight w:val="0"/>
          <w:marTop w:val="0"/>
          <w:marBottom w:val="0"/>
          <w:divBdr>
            <w:top w:val="none" w:sz="0" w:space="0" w:color="auto"/>
            <w:left w:val="none" w:sz="0" w:space="0" w:color="auto"/>
            <w:bottom w:val="none" w:sz="0" w:space="0" w:color="auto"/>
            <w:right w:val="none" w:sz="0" w:space="0" w:color="auto"/>
          </w:divBdr>
          <w:divsChild>
            <w:div w:id="1375498139">
              <w:marLeft w:val="0"/>
              <w:marRight w:val="0"/>
              <w:marTop w:val="0"/>
              <w:marBottom w:val="0"/>
              <w:divBdr>
                <w:top w:val="none" w:sz="0" w:space="0" w:color="auto"/>
                <w:left w:val="none" w:sz="0" w:space="0" w:color="auto"/>
                <w:bottom w:val="none" w:sz="0" w:space="0" w:color="auto"/>
                <w:right w:val="none" w:sz="0" w:space="0" w:color="auto"/>
              </w:divBdr>
            </w:div>
          </w:divsChild>
        </w:div>
        <w:div w:id="648249224">
          <w:marLeft w:val="0"/>
          <w:marRight w:val="0"/>
          <w:marTop w:val="0"/>
          <w:marBottom w:val="0"/>
          <w:divBdr>
            <w:top w:val="none" w:sz="0" w:space="0" w:color="auto"/>
            <w:left w:val="none" w:sz="0" w:space="0" w:color="auto"/>
            <w:bottom w:val="none" w:sz="0" w:space="0" w:color="auto"/>
            <w:right w:val="none" w:sz="0" w:space="0" w:color="auto"/>
          </w:divBdr>
          <w:divsChild>
            <w:div w:id="117652158">
              <w:marLeft w:val="0"/>
              <w:marRight w:val="0"/>
              <w:marTop w:val="0"/>
              <w:marBottom w:val="0"/>
              <w:divBdr>
                <w:top w:val="none" w:sz="0" w:space="0" w:color="auto"/>
                <w:left w:val="none" w:sz="0" w:space="0" w:color="auto"/>
                <w:bottom w:val="none" w:sz="0" w:space="0" w:color="auto"/>
                <w:right w:val="none" w:sz="0" w:space="0" w:color="auto"/>
              </w:divBdr>
            </w:div>
            <w:div w:id="264309312">
              <w:marLeft w:val="0"/>
              <w:marRight w:val="0"/>
              <w:marTop w:val="0"/>
              <w:marBottom w:val="0"/>
              <w:divBdr>
                <w:top w:val="none" w:sz="0" w:space="0" w:color="auto"/>
                <w:left w:val="none" w:sz="0" w:space="0" w:color="auto"/>
                <w:bottom w:val="none" w:sz="0" w:space="0" w:color="auto"/>
                <w:right w:val="none" w:sz="0" w:space="0" w:color="auto"/>
              </w:divBdr>
            </w:div>
            <w:div w:id="273752470">
              <w:marLeft w:val="0"/>
              <w:marRight w:val="0"/>
              <w:marTop w:val="0"/>
              <w:marBottom w:val="0"/>
              <w:divBdr>
                <w:top w:val="none" w:sz="0" w:space="0" w:color="auto"/>
                <w:left w:val="none" w:sz="0" w:space="0" w:color="auto"/>
                <w:bottom w:val="none" w:sz="0" w:space="0" w:color="auto"/>
                <w:right w:val="none" w:sz="0" w:space="0" w:color="auto"/>
              </w:divBdr>
            </w:div>
            <w:div w:id="851139887">
              <w:marLeft w:val="0"/>
              <w:marRight w:val="0"/>
              <w:marTop w:val="0"/>
              <w:marBottom w:val="0"/>
              <w:divBdr>
                <w:top w:val="none" w:sz="0" w:space="0" w:color="auto"/>
                <w:left w:val="none" w:sz="0" w:space="0" w:color="auto"/>
                <w:bottom w:val="none" w:sz="0" w:space="0" w:color="auto"/>
                <w:right w:val="none" w:sz="0" w:space="0" w:color="auto"/>
              </w:divBdr>
            </w:div>
            <w:div w:id="1550916974">
              <w:marLeft w:val="0"/>
              <w:marRight w:val="0"/>
              <w:marTop w:val="0"/>
              <w:marBottom w:val="0"/>
              <w:divBdr>
                <w:top w:val="none" w:sz="0" w:space="0" w:color="auto"/>
                <w:left w:val="none" w:sz="0" w:space="0" w:color="auto"/>
                <w:bottom w:val="none" w:sz="0" w:space="0" w:color="auto"/>
                <w:right w:val="none" w:sz="0" w:space="0" w:color="auto"/>
              </w:divBdr>
            </w:div>
            <w:div w:id="1553694398">
              <w:marLeft w:val="0"/>
              <w:marRight w:val="0"/>
              <w:marTop w:val="0"/>
              <w:marBottom w:val="0"/>
              <w:divBdr>
                <w:top w:val="none" w:sz="0" w:space="0" w:color="auto"/>
                <w:left w:val="none" w:sz="0" w:space="0" w:color="auto"/>
                <w:bottom w:val="none" w:sz="0" w:space="0" w:color="auto"/>
                <w:right w:val="none" w:sz="0" w:space="0" w:color="auto"/>
              </w:divBdr>
            </w:div>
            <w:div w:id="1602452521">
              <w:marLeft w:val="0"/>
              <w:marRight w:val="0"/>
              <w:marTop w:val="0"/>
              <w:marBottom w:val="0"/>
              <w:divBdr>
                <w:top w:val="none" w:sz="0" w:space="0" w:color="auto"/>
                <w:left w:val="none" w:sz="0" w:space="0" w:color="auto"/>
                <w:bottom w:val="none" w:sz="0" w:space="0" w:color="auto"/>
                <w:right w:val="none" w:sz="0" w:space="0" w:color="auto"/>
              </w:divBdr>
            </w:div>
          </w:divsChild>
        </w:div>
        <w:div w:id="664816854">
          <w:marLeft w:val="0"/>
          <w:marRight w:val="0"/>
          <w:marTop w:val="0"/>
          <w:marBottom w:val="0"/>
          <w:divBdr>
            <w:top w:val="none" w:sz="0" w:space="0" w:color="auto"/>
            <w:left w:val="none" w:sz="0" w:space="0" w:color="auto"/>
            <w:bottom w:val="none" w:sz="0" w:space="0" w:color="auto"/>
            <w:right w:val="none" w:sz="0" w:space="0" w:color="auto"/>
          </w:divBdr>
          <w:divsChild>
            <w:div w:id="1795900839">
              <w:marLeft w:val="0"/>
              <w:marRight w:val="0"/>
              <w:marTop w:val="0"/>
              <w:marBottom w:val="0"/>
              <w:divBdr>
                <w:top w:val="none" w:sz="0" w:space="0" w:color="auto"/>
                <w:left w:val="none" w:sz="0" w:space="0" w:color="auto"/>
                <w:bottom w:val="none" w:sz="0" w:space="0" w:color="auto"/>
                <w:right w:val="none" w:sz="0" w:space="0" w:color="auto"/>
              </w:divBdr>
            </w:div>
          </w:divsChild>
        </w:div>
        <w:div w:id="667288010">
          <w:marLeft w:val="0"/>
          <w:marRight w:val="0"/>
          <w:marTop w:val="0"/>
          <w:marBottom w:val="0"/>
          <w:divBdr>
            <w:top w:val="none" w:sz="0" w:space="0" w:color="auto"/>
            <w:left w:val="none" w:sz="0" w:space="0" w:color="auto"/>
            <w:bottom w:val="none" w:sz="0" w:space="0" w:color="auto"/>
            <w:right w:val="none" w:sz="0" w:space="0" w:color="auto"/>
          </w:divBdr>
          <w:divsChild>
            <w:div w:id="1080827293">
              <w:marLeft w:val="0"/>
              <w:marRight w:val="0"/>
              <w:marTop w:val="0"/>
              <w:marBottom w:val="0"/>
              <w:divBdr>
                <w:top w:val="none" w:sz="0" w:space="0" w:color="auto"/>
                <w:left w:val="none" w:sz="0" w:space="0" w:color="auto"/>
                <w:bottom w:val="none" w:sz="0" w:space="0" w:color="auto"/>
                <w:right w:val="none" w:sz="0" w:space="0" w:color="auto"/>
              </w:divBdr>
            </w:div>
          </w:divsChild>
        </w:div>
        <w:div w:id="667363000">
          <w:marLeft w:val="0"/>
          <w:marRight w:val="0"/>
          <w:marTop w:val="0"/>
          <w:marBottom w:val="0"/>
          <w:divBdr>
            <w:top w:val="none" w:sz="0" w:space="0" w:color="auto"/>
            <w:left w:val="none" w:sz="0" w:space="0" w:color="auto"/>
            <w:bottom w:val="none" w:sz="0" w:space="0" w:color="auto"/>
            <w:right w:val="none" w:sz="0" w:space="0" w:color="auto"/>
          </w:divBdr>
          <w:divsChild>
            <w:div w:id="4670913">
              <w:marLeft w:val="0"/>
              <w:marRight w:val="0"/>
              <w:marTop w:val="0"/>
              <w:marBottom w:val="0"/>
              <w:divBdr>
                <w:top w:val="none" w:sz="0" w:space="0" w:color="auto"/>
                <w:left w:val="none" w:sz="0" w:space="0" w:color="auto"/>
                <w:bottom w:val="none" w:sz="0" w:space="0" w:color="auto"/>
                <w:right w:val="none" w:sz="0" w:space="0" w:color="auto"/>
              </w:divBdr>
            </w:div>
          </w:divsChild>
        </w:div>
        <w:div w:id="674265101">
          <w:marLeft w:val="0"/>
          <w:marRight w:val="0"/>
          <w:marTop w:val="0"/>
          <w:marBottom w:val="0"/>
          <w:divBdr>
            <w:top w:val="none" w:sz="0" w:space="0" w:color="auto"/>
            <w:left w:val="none" w:sz="0" w:space="0" w:color="auto"/>
            <w:bottom w:val="none" w:sz="0" w:space="0" w:color="auto"/>
            <w:right w:val="none" w:sz="0" w:space="0" w:color="auto"/>
          </w:divBdr>
          <w:divsChild>
            <w:div w:id="1712876376">
              <w:marLeft w:val="0"/>
              <w:marRight w:val="0"/>
              <w:marTop w:val="0"/>
              <w:marBottom w:val="0"/>
              <w:divBdr>
                <w:top w:val="none" w:sz="0" w:space="0" w:color="auto"/>
                <w:left w:val="none" w:sz="0" w:space="0" w:color="auto"/>
                <w:bottom w:val="none" w:sz="0" w:space="0" w:color="auto"/>
                <w:right w:val="none" w:sz="0" w:space="0" w:color="auto"/>
              </w:divBdr>
            </w:div>
          </w:divsChild>
        </w:div>
        <w:div w:id="678703148">
          <w:marLeft w:val="0"/>
          <w:marRight w:val="0"/>
          <w:marTop w:val="0"/>
          <w:marBottom w:val="0"/>
          <w:divBdr>
            <w:top w:val="none" w:sz="0" w:space="0" w:color="auto"/>
            <w:left w:val="none" w:sz="0" w:space="0" w:color="auto"/>
            <w:bottom w:val="none" w:sz="0" w:space="0" w:color="auto"/>
            <w:right w:val="none" w:sz="0" w:space="0" w:color="auto"/>
          </w:divBdr>
          <w:divsChild>
            <w:div w:id="1652060255">
              <w:marLeft w:val="0"/>
              <w:marRight w:val="0"/>
              <w:marTop w:val="0"/>
              <w:marBottom w:val="0"/>
              <w:divBdr>
                <w:top w:val="none" w:sz="0" w:space="0" w:color="auto"/>
                <w:left w:val="none" w:sz="0" w:space="0" w:color="auto"/>
                <w:bottom w:val="none" w:sz="0" w:space="0" w:color="auto"/>
                <w:right w:val="none" w:sz="0" w:space="0" w:color="auto"/>
              </w:divBdr>
            </w:div>
          </w:divsChild>
        </w:div>
        <w:div w:id="680159495">
          <w:marLeft w:val="0"/>
          <w:marRight w:val="0"/>
          <w:marTop w:val="0"/>
          <w:marBottom w:val="0"/>
          <w:divBdr>
            <w:top w:val="none" w:sz="0" w:space="0" w:color="auto"/>
            <w:left w:val="none" w:sz="0" w:space="0" w:color="auto"/>
            <w:bottom w:val="none" w:sz="0" w:space="0" w:color="auto"/>
            <w:right w:val="none" w:sz="0" w:space="0" w:color="auto"/>
          </w:divBdr>
          <w:divsChild>
            <w:div w:id="1143766349">
              <w:marLeft w:val="0"/>
              <w:marRight w:val="0"/>
              <w:marTop w:val="0"/>
              <w:marBottom w:val="0"/>
              <w:divBdr>
                <w:top w:val="none" w:sz="0" w:space="0" w:color="auto"/>
                <w:left w:val="none" w:sz="0" w:space="0" w:color="auto"/>
                <w:bottom w:val="none" w:sz="0" w:space="0" w:color="auto"/>
                <w:right w:val="none" w:sz="0" w:space="0" w:color="auto"/>
              </w:divBdr>
            </w:div>
          </w:divsChild>
        </w:div>
        <w:div w:id="687369324">
          <w:marLeft w:val="0"/>
          <w:marRight w:val="0"/>
          <w:marTop w:val="0"/>
          <w:marBottom w:val="0"/>
          <w:divBdr>
            <w:top w:val="none" w:sz="0" w:space="0" w:color="auto"/>
            <w:left w:val="none" w:sz="0" w:space="0" w:color="auto"/>
            <w:bottom w:val="none" w:sz="0" w:space="0" w:color="auto"/>
            <w:right w:val="none" w:sz="0" w:space="0" w:color="auto"/>
          </w:divBdr>
          <w:divsChild>
            <w:div w:id="2140222809">
              <w:marLeft w:val="0"/>
              <w:marRight w:val="0"/>
              <w:marTop w:val="0"/>
              <w:marBottom w:val="0"/>
              <w:divBdr>
                <w:top w:val="none" w:sz="0" w:space="0" w:color="auto"/>
                <w:left w:val="none" w:sz="0" w:space="0" w:color="auto"/>
                <w:bottom w:val="none" w:sz="0" w:space="0" w:color="auto"/>
                <w:right w:val="none" w:sz="0" w:space="0" w:color="auto"/>
              </w:divBdr>
            </w:div>
          </w:divsChild>
        </w:div>
        <w:div w:id="693648736">
          <w:marLeft w:val="0"/>
          <w:marRight w:val="0"/>
          <w:marTop w:val="0"/>
          <w:marBottom w:val="0"/>
          <w:divBdr>
            <w:top w:val="none" w:sz="0" w:space="0" w:color="auto"/>
            <w:left w:val="none" w:sz="0" w:space="0" w:color="auto"/>
            <w:bottom w:val="none" w:sz="0" w:space="0" w:color="auto"/>
            <w:right w:val="none" w:sz="0" w:space="0" w:color="auto"/>
          </w:divBdr>
          <w:divsChild>
            <w:div w:id="1697653026">
              <w:marLeft w:val="0"/>
              <w:marRight w:val="0"/>
              <w:marTop w:val="0"/>
              <w:marBottom w:val="0"/>
              <w:divBdr>
                <w:top w:val="none" w:sz="0" w:space="0" w:color="auto"/>
                <w:left w:val="none" w:sz="0" w:space="0" w:color="auto"/>
                <w:bottom w:val="none" w:sz="0" w:space="0" w:color="auto"/>
                <w:right w:val="none" w:sz="0" w:space="0" w:color="auto"/>
              </w:divBdr>
            </w:div>
          </w:divsChild>
        </w:div>
        <w:div w:id="699741351">
          <w:marLeft w:val="0"/>
          <w:marRight w:val="0"/>
          <w:marTop w:val="0"/>
          <w:marBottom w:val="0"/>
          <w:divBdr>
            <w:top w:val="none" w:sz="0" w:space="0" w:color="auto"/>
            <w:left w:val="none" w:sz="0" w:space="0" w:color="auto"/>
            <w:bottom w:val="none" w:sz="0" w:space="0" w:color="auto"/>
            <w:right w:val="none" w:sz="0" w:space="0" w:color="auto"/>
          </w:divBdr>
          <w:divsChild>
            <w:div w:id="803692995">
              <w:marLeft w:val="0"/>
              <w:marRight w:val="0"/>
              <w:marTop w:val="0"/>
              <w:marBottom w:val="0"/>
              <w:divBdr>
                <w:top w:val="none" w:sz="0" w:space="0" w:color="auto"/>
                <w:left w:val="none" w:sz="0" w:space="0" w:color="auto"/>
                <w:bottom w:val="none" w:sz="0" w:space="0" w:color="auto"/>
                <w:right w:val="none" w:sz="0" w:space="0" w:color="auto"/>
              </w:divBdr>
            </w:div>
          </w:divsChild>
        </w:div>
        <w:div w:id="701906469">
          <w:marLeft w:val="0"/>
          <w:marRight w:val="0"/>
          <w:marTop w:val="0"/>
          <w:marBottom w:val="0"/>
          <w:divBdr>
            <w:top w:val="none" w:sz="0" w:space="0" w:color="auto"/>
            <w:left w:val="none" w:sz="0" w:space="0" w:color="auto"/>
            <w:bottom w:val="none" w:sz="0" w:space="0" w:color="auto"/>
            <w:right w:val="none" w:sz="0" w:space="0" w:color="auto"/>
          </w:divBdr>
          <w:divsChild>
            <w:div w:id="1217162559">
              <w:marLeft w:val="0"/>
              <w:marRight w:val="0"/>
              <w:marTop w:val="0"/>
              <w:marBottom w:val="0"/>
              <w:divBdr>
                <w:top w:val="none" w:sz="0" w:space="0" w:color="auto"/>
                <w:left w:val="none" w:sz="0" w:space="0" w:color="auto"/>
                <w:bottom w:val="none" w:sz="0" w:space="0" w:color="auto"/>
                <w:right w:val="none" w:sz="0" w:space="0" w:color="auto"/>
              </w:divBdr>
            </w:div>
          </w:divsChild>
        </w:div>
        <w:div w:id="704448154">
          <w:marLeft w:val="0"/>
          <w:marRight w:val="0"/>
          <w:marTop w:val="0"/>
          <w:marBottom w:val="0"/>
          <w:divBdr>
            <w:top w:val="none" w:sz="0" w:space="0" w:color="auto"/>
            <w:left w:val="none" w:sz="0" w:space="0" w:color="auto"/>
            <w:bottom w:val="none" w:sz="0" w:space="0" w:color="auto"/>
            <w:right w:val="none" w:sz="0" w:space="0" w:color="auto"/>
          </w:divBdr>
          <w:divsChild>
            <w:div w:id="1409034841">
              <w:marLeft w:val="0"/>
              <w:marRight w:val="0"/>
              <w:marTop w:val="0"/>
              <w:marBottom w:val="0"/>
              <w:divBdr>
                <w:top w:val="none" w:sz="0" w:space="0" w:color="auto"/>
                <w:left w:val="none" w:sz="0" w:space="0" w:color="auto"/>
                <w:bottom w:val="none" w:sz="0" w:space="0" w:color="auto"/>
                <w:right w:val="none" w:sz="0" w:space="0" w:color="auto"/>
              </w:divBdr>
            </w:div>
          </w:divsChild>
        </w:div>
        <w:div w:id="714504992">
          <w:marLeft w:val="0"/>
          <w:marRight w:val="0"/>
          <w:marTop w:val="0"/>
          <w:marBottom w:val="0"/>
          <w:divBdr>
            <w:top w:val="none" w:sz="0" w:space="0" w:color="auto"/>
            <w:left w:val="none" w:sz="0" w:space="0" w:color="auto"/>
            <w:bottom w:val="none" w:sz="0" w:space="0" w:color="auto"/>
            <w:right w:val="none" w:sz="0" w:space="0" w:color="auto"/>
          </w:divBdr>
          <w:divsChild>
            <w:div w:id="1691253486">
              <w:marLeft w:val="0"/>
              <w:marRight w:val="0"/>
              <w:marTop w:val="0"/>
              <w:marBottom w:val="0"/>
              <w:divBdr>
                <w:top w:val="none" w:sz="0" w:space="0" w:color="auto"/>
                <w:left w:val="none" w:sz="0" w:space="0" w:color="auto"/>
                <w:bottom w:val="none" w:sz="0" w:space="0" w:color="auto"/>
                <w:right w:val="none" w:sz="0" w:space="0" w:color="auto"/>
              </w:divBdr>
            </w:div>
          </w:divsChild>
        </w:div>
        <w:div w:id="715351353">
          <w:marLeft w:val="0"/>
          <w:marRight w:val="0"/>
          <w:marTop w:val="0"/>
          <w:marBottom w:val="0"/>
          <w:divBdr>
            <w:top w:val="none" w:sz="0" w:space="0" w:color="auto"/>
            <w:left w:val="none" w:sz="0" w:space="0" w:color="auto"/>
            <w:bottom w:val="none" w:sz="0" w:space="0" w:color="auto"/>
            <w:right w:val="none" w:sz="0" w:space="0" w:color="auto"/>
          </w:divBdr>
          <w:divsChild>
            <w:div w:id="1399085310">
              <w:marLeft w:val="0"/>
              <w:marRight w:val="0"/>
              <w:marTop w:val="0"/>
              <w:marBottom w:val="0"/>
              <w:divBdr>
                <w:top w:val="none" w:sz="0" w:space="0" w:color="auto"/>
                <w:left w:val="none" w:sz="0" w:space="0" w:color="auto"/>
                <w:bottom w:val="none" w:sz="0" w:space="0" w:color="auto"/>
                <w:right w:val="none" w:sz="0" w:space="0" w:color="auto"/>
              </w:divBdr>
            </w:div>
          </w:divsChild>
        </w:div>
        <w:div w:id="718548847">
          <w:marLeft w:val="0"/>
          <w:marRight w:val="0"/>
          <w:marTop w:val="0"/>
          <w:marBottom w:val="0"/>
          <w:divBdr>
            <w:top w:val="none" w:sz="0" w:space="0" w:color="auto"/>
            <w:left w:val="none" w:sz="0" w:space="0" w:color="auto"/>
            <w:bottom w:val="none" w:sz="0" w:space="0" w:color="auto"/>
            <w:right w:val="none" w:sz="0" w:space="0" w:color="auto"/>
          </w:divBdr>
          <w:divsChild>
            <w:div w:id="1739665419">
              <w:marLeft w:val="0"/>
              <w:marRight w:val="0"/>
              <w:marTop w:val="0"/>
              <w:marBottom w:val="0"/>
              <w:divBdr>
                <w:top w:val="none" w:sz="0" w:space="0" w:color="auto"/>
                <w:left w:val="none" w:sz="0" w:space="0" w:color="auto"/>
                <w:bottom w:val="none" w:sz="0" w:space="0" w:color="auto"/>
                <w:right w:val="none" w:sz="0" w:space="0" w:color="auto"/>
              </w:divBdr>
            </w:div>
          </w:divsChild>
        </w:div>
        <w:div w:id="725179372">
          <w:marLeft w:val="0"/>
          <w:marRight w:val="0"/>
          <w:marTop w:val="0"/>
          <w:marBottom w:val="0"/>
          <w:divBdr>
            <w:top w:val="none" w:sz="0" w:space="0" w:color="auto"/>
            <w:left w:val="none" w:sz="0" w:space="0" w:color="auto"/>
            <w:bottom w:val="none" w:sz="0" w:space="0" w:color="auto"/>
            <w:right w:val="none" w:sz="0" w:space="0" w:color="auto"/>
          </w:divBdr>
          <w:divsChild>
            <w:div w:id="247203675">
              <w:marLeft w:val="0"/>
              <w:marRight w:val="0"/>
              <w:marTop w:val="0"/>
              <w:marBottom w:val="0"/>
              <w:divBdr>
                <w:top w:val="none" w:sz="0" w:space="0" w:color="auto"/>
                <w:left w:val="none" w:sz="0" w:space="0" w:color="auto"/>
                <w:bottom w:val="none" w:sz="0" w:space="0" w:color="auto"/>
                <w:right w:val="none" w:sz="0" w:space="0" w:color="auto"/>
              </w:divBdr>
            </w:div>
          </w:divsChild>
        </w:div>
        <w:div w:id="730688718">
          <w:marLeft w:val="0"/>
          <w:marRight w:val="0"/>
          <w:marTop w:val="0"/>
          <w:marBottom w:val="0"/>
          <w:divBdr>
            <w:top w:val="none" w:sz="0" w:space="0" w:color="auto"/>
            <w:left w:val="none" w:sz="0" w:space="0" w:color="auto"/>
            <w:bottom w:val="none" w:sz="0" w:space="0" w:color="auto"/>
            <w:right w:val="none" w:sz="0" w:space="0" w:color="auto"/>
          </w:divBdr>
          <w:divsChild>
            <w:div w:id="1203591719">
              <w:marLeft w:val="0"/>
              <w:marRight w:val="0"/>
              <w:marTop w:val="0"/>
              <w:marBottom w:val="0"/>
              <w:divBdr>
                <w:top w:val="none" w:sz="0" w:space="0" w:color="auto"/>
                <w:left w:val="none" w:sz="0" w:space="0" w:color="auto"/>
                <w:bottom w:val="none" w:sz="0" w:space="0" w:color="auto"/>
                <w:right w:val="none" w:sz="0" w:space="0" w:color="auto"/>
              </w:divBdr>
            </w:div>
          </w:divsChild>
        </w:div>
        <w:div w:id="731974360">
          <w:marLeft w:val="0"/>
          <w:marRight w:val="0"/>
          <w:marTop w:val="0"/>
          <w:marBottom w:val="0"/>
          <w:divBdr>
            <w:top w:val="none" w:sz="0" w:space="0" w:color="auto"/>
            <w:left w:val="none" w:sz="0" w:space="0" w:color="auto"/>
            <w:bottom w:val="none" w:sz="0" w:space="0" w:color="auto"/>
            <w:right w:val="none" w:sz="0" w:space="0" w:color="auto"/>
          </w:divBdr>
          <w:divsChild>
            <w:div w:id="682053282">
              <w:marLeft w:val="0"/>
              <w:marRight w:val="0"/>
              <w:marTop w:val="0"/>
              <w:marBottom w:val="0"/>
              <w:divBdr>
                <w:top w:val="none" w:sz="0" w:space="0" w:color="auto"/>
                <w:left w:val="none" w:sz="0" w:space="0" w:color="auto"/>
                <w:bottom w:val="none" w:sz="0" w:space="0" w:color="auto"/>
                <w:right w:val="none" w:sz="0" w:space="0" w:color="auto"/>
              </w:divBdr>
            </w:div>
          </w:divsChild>
        </w:div>
        <w:div w:id="736049302">
          <w:marLeft w:val="0"/>
          <w:marRight w:val="0"/>
          <w:marTop w:val="0"/>
          <w:marBottom w:val="0"/>
          <w:divBdr>
            <w:top w:val="none" w:sz="0" w:space="0" w:color="auto"/>
            <w:left w:val="none" w:sz="0" w:space="0" w:color="auto"/>
            <w:bottom w:val="none" w:sz="0" w:space="0" w:color="auto"/>
            <w:right w:val="none" w:sz="0" w:space="0" w:color="auto"/>
          </w:divBdr>
          <w:divsChild>
            <w:div w:id="1683969411">
              <w:marLeft w:val="0"/>
              <w:marRight w:val="0"/>
              <w:marTop w:val="0"/>
              <w:marBottom w:val="0"/>
              <w:divBdr>
                <w:top w:val="none" w:sz="0" w:space="0" w:color="auto"/>
                <w:left w:val="none" w:sz="0" w:space="0" w:color="auto"/>
                <w:bottom w:val="none" w:sz="0" w:space="0" w:color="auto"/>
                <w:right w:val="none" w:sz="0" w:space="0" w:color="auto"/>
              </w:divBdr>
            </w:div>
          </w:divsChild>
        </w:div>
        <w:div w:id="739012855">
          <w:marLeft w:val="0"/>
          <w:marRight w:val="0"/>
          <w:marTop w:val="0"/>
          <w:marBottom w:val="0"/>
          <w:divBdr>
            <w:top w:val="none" w:sz="0" w:space="0" w:color="auto"/>
            <w:left w:val="none" w:sz="0" w:space="0" w:color="auto"/>
            <w:bottom w:val="none" w:sz="0" w:space="0" w:color="auto"/>
            <w:right w:val="none" w:sz="0" w:space="0" w:color="auto"/>
          </w:divBdr>
          <w:divsChild>
            <w:div w:id="2046906048">
              <w:marLeft w:val="0"/>
              <w:marRight w:val="0"/>
              <w:marTop w:val="0"/>
              <w:marBottom w:val="0"/>
              <w:divBdr>
                <w:top w:val="none" w:sz="0" w:space="0" w:color="auto"/>
                <w:left w:val="none" w:sz="0" w:space="0" w:color="auto"/>
                <w:bottom w:val="none" w:sz="0" w:space="0" w:color="auto"/>
                <w:right w:val="none" w:sz="0" w:space="0" w:color="auto"/>
              </w:divBdr>
            </w:div>
          </w:divsChild>
        </w:div>
        <w:div w:id="739056372">
          <w:marLeft w:val="0"/>
          <w:marRight w:val="0"/>
          <w:marTop w:val="0"/>
          <w:marBottom w:val="0"/>
          <w:divBdr>
            <w:top w:val="none" w:sz="0" w:space="0" w:color="auto"/>
            <w:left w:val="none" w:sz="0" w:space="0" w:color="auto"/>
            <w:bottom w:val="none" w:sz="0" w:space="0" w:color="auto"/>
            <w:right w:val="none" w:sz="0" w:space="0" w:color="auto"/>
          </w:divBdr>
          <w:divsChild>
            <w:div w:id="627397882">
              <w:marLeft w:val="0"/>
              <w:marRight w:val="0"/>
              <w:marTop w:val="0"/>
              <w:marBottom w:val="0"/>
              <w:divBdr>
                <w:top w:val="none" w:sz="0" w:space="0" w:color="auto"/>
                <w:left w:val="none" w:sz="0" w:space="0" w:color="auto"/>
                <w:bottom w:val="none" w:sz="0" w:space="0" w:color="auto"/>
                <w:right w:val="none" w:sz="0" w:space="0" w:color="auto"/>
              </w:divBdr>
            </w:div>
          </w:divsChild>
        </w:div>
        <w:div w:id="748159545">
          <w:marLeft w:val="0"/>
          <w:marRight w:val="0"/>
          <w:marTop w:val="0"/>
          <w:marBottom w:val="0"/>
          <w:divBdr>
            <w:top w:val="none" w:sz="0" w:space="0" w:color="auto"/>
            <w:left w:val="none" w:sz="0" w:space="0" w:color="auto"/>
            <w:bottom w:val="none" w:sz="0" w:space="0" w:color="auto"/>
            <w:right w:val="none" w:sz="0" w:space="0" w:color="auto"/>
          </w:divBdr>
          <w:divsChild>
            <w:div w:id="1419869551">
              <w:marLeft w:val="0"/>
              <w:marRight w:val="0"/>
              <w:marTop w:val="0"/>
              <w:marBottom w:val="0"/>
              <w:divBdr>
                <w:top w:val="none" w:sz="0" w:space="0" w:color="auto"/>
                <w:left w:val="none" w:sz="0" w:space="0" w:color="auto"/>
                <w:bottom w:val="none" w:sz="0" w:space="0" w:color="auto"/>
                <w:right w:val="none" w:sz="0" w:space="0" w:color="auto"/>
              </w:divBdr>
            </w:div>
          </w:divsChild>
        </w:div>
        <w:div w:id="754085469">
          <w:marLeft w:val="0"/>
          <w:marRight w:val="0"/>
          <w:marTop w:val="0"/>
          <w:marBottom w:val="0"/>
          <w:divBdr>
            <w:top w:val="none" w:sz="0" w:space="0" w:color="auto"/>
            <w:left w:val="none" w:sz="0" w:space="0" w:color="auto"/>
            <w:bottom w:val="none" w:sz="0" w:space="0" w:color="auto"/>
            <w:right w:val="none" w:sz="0" w:space="0" w:color="auto"/>
          </w:divBdr>
          <w:divsChild>
            <w:div w:id="226916008">
              <w:marLeft w:val="0"/>
              <w:marRight w:val="0"/>
              <w:marTop w:val="0"/>
              <w:marBottom w:val="0"/>
              <w:divBdr>
                <w:top w:val="none" w:sz="0" w:space="0" w:color="auto"/>
                <w:left w:val="none" w:sz="0" w:space="0" w:color="auto"/>
                <w:bottom w:val="none" w:sz="0" w:space="0" w:color="auto"/>
                <w:right w:val="none" w:sz="0" w:space="0" w:color="auto"/>
              </w:divBdr>
            </w:div>
          </w:divsChild>
        </w:div>
        <w:div w:id="758062112">
          <w:marLeft w:val="0"/>
          <w:marRight w:val="0"/>
          <w:marTop w:val="0"/>
          <w:marBottom w:val="0"/>
          <w:divBdr>
            <w:top w:val="none" w:sz="0" w:space="0" w:color="auto"/>
            <w:left w:val="none" w:sz="0" w:space="0" w:color="auto"/>
            <w:bottom w:val="none" w:sz="0" w:space="0" w:color="auto"/>
            <w:right w:val="none" w:sz="0" w:space="0" w:color="auto"/>
          </w:divBdr>
          <w:divsChild>
            <w:div w:id="124204804">
              <w:marLeft w:val="0"/>
              <w:marRight w:val="0"/>
              <w:marTop w:val="0"/>
              <w:marBottom w:val="0"/>
              <w:divBdr>
                <w:top w:val="none" w:sz="0" w:space="0" w:color="auto"/>
                <w:left w:val="none" w:sz="0" w:space="0" w:color="auto"/>
                <w:bottom w:val="none" w:sz="0" w:space="0" w:color="auto"/>
                <w:right w:val="none" w:sz="0" w:space="0" w:color="auto"/>
              </w:divBdr>
            </w:div>
            <w:div w:id="1035807201">
              <w:marLeft w:val="0"/>
              <w:marRight w:val="0"/>
              <w:marTop w:val="0"/>
              <w:marBottom w:val="0"/>
              <w:divBdr>
                <w:top w:val="none" w:sz="0" w:space="0" w:color="auto"/>
                <w:left w:val="none" w:sz="0" w:space="0" w:color="auto"/>
                <w:bottom w:val="none" w:sz="0" w:space="0" w:color="auto"/>
                <w:right w:val="none" w:sz="0" w:space="0" w:color="auto"/>
              </w:divBdr>
            </w:div>
          </w:divsChild>
        </w:div>
        <w:div w:id="760181321">
          <w:marLeft w:val="0"/>
          <w:marRight w:val="0"/>
          <w:marTop w:val="0"/>
          <w:marBottom w:val="0"/>
          <w:divBdr>
            <w:top w:val="none" w:sz="0" w:space="0" w:color="auto"/>
            <w:left w:val="none" w:sz="0" w:space="0" w:color="auto"/>
            <w:bottom w:val="none" w:sz="0" w:space="0" w:color="auto"/>
            <w:right w:val="none" w:sz="0" w:space="0" w:color="auto"/>
          </w:divBdr>
          <w:divsChild>
            <w:div w:id="1244024845">
              <w:marLeft w:val="0"/>
              <w:marRight w:val="0"/>
              <w:marTop w:val="0"/>
              <w:marBottom w:val="0"/>
              <w:divBdr>
                <w:top w:val="none" w:sz="0" w:space="0" w:color="auto"/>
                <w:left w:val="none" w:sz="0" w:space="0" w:color="auto"/>
                <w:bottom w:val="none" w:sz="0" w:space="0" w:color="auto"/>
                <w:right w:val="none" w:sz="0" w:space="0" w:color="auto"/>
              </w:divBdr>
            </w:div>
          </w:divsChild>
        </w:div>
        <w:div w:id="766148516">
          <w:marLeft w:val="0"/>
          <w:marRight w:val="0"/>
          <w:marTop w:val="0"/>
          <w:marBottom w:val="0"/>
          <w:divBdr>
            <w:top w:val="none" w:sz="0" w:space="0" w:color="auto"/>
            <w:left w:val="none" w:sz="0" w:space="0" w:color="auto"/>
            <w:bottom w:val="none" w:sz="0" w:space="0" w:color="auto"/>
            <w:right w:val="none" w:sz="0" w:space="0" w:color="auto"/>
          </w:divBdr>
          <w:divsChild>
            <w:div w:id="564267920">
              <w:marLeft w:val="0"/>
              <w:marRight w:val="0"/>
              <w:marTop w:val="0"/>
              <w:marBottom w:val="0"/>
              <w:divBdr>
                <w:top w:val="none" w:sz="0" w:space="0" w:color="auto"/>
                <w:left w:val="none" w:sz="0" w:space="0" w:color="auto"/>
                <w:bottom w:val="none" w:sz="0" w:space="0" w:color="auto"/>
                <w:right w:val="none" w:sz="0" w:space="0" w:color="auto"/>
              </w:divBdr>
            </w:div>
          </w:divsChild>
        </w:div>
        <w:div w:id="767042142">
          <w:marLeft w:val="0"/>
          <w:marRight w:val="0"/>
          <w:marTop w:val="0"/>
          <w:marBottom w:val="0"/>
          <w:divBdr>
            <w:top w:val="none" w:sz="0" w:space="0" w:color="auto"/>
            <w:left w:val="none" w:sz="0" w:space="0" w:color="auto"/>
            <w:bottom w:val="none" w:sz="0" w:space="0" w:color="auto"/>
            <w:right w:val="none" w:sz="0" w:space="0" w:color="auto"/>
          </w:divBdr>
          <w:divsChild>
            <w:div w:id="34475087">
              <w:marLeft w:val="0"/>
              <w:marRight w:val="0"/>
              <w:marTop w:val="0"/>
              <w:marBottom w:val="0"/>
              <w:divBdr>
                <w:top w:val="none" w:sz="0" w:space="0" w:color="auto"/>
                <w:left w:val="none" w:sz="0" w:space="0" w:color="auto"/>
                <w:bottom w:val="none" w:sz="0" w:space="0" w:color="auto"/>
                <w:right w:val="none" w:sz="0" w:space="0" w:color="auto"/>
              </w:divBdr>
            </w:div>
            <w:div w:id="2048555006">
              <w:marLeft w:val="0"/>
              <w:marRight w:val="0"/>
              <w:marTop w:val="0"/>
              <w:marBottom w:val="0"/>
              <w:divBdr>
                <w:top w:val="none" w:sz="0" w:space="0" w:color="auto"/>
                <w:left w:val="none" w:sz="0" w:space="0" w:color="auto"/>
                <w:bottom w:val="none" w:sz="0" w:space="0" w:color="auto"/>
                <w:right w:val="none" w:sz="0" w:space="0" w:color="auto"/>
              </w:divBdr>
            </w:div>
          </w:divsChild>
        </w:div>
        <w:div w:id="781150420">
          <w:marLeft w:val="0"/>
          <w:marRight w:val="0"/>
          <w:marTop w:val="0"/>
          <w:marBottom w:val="0"/>
          <w:divBdr>
            <w:top w:val="none" w:sz="0" w:space="0" w:color="auto"/>
            <w:left w:val="none" w:sz="0" w:space="0" w:color="auto"/>
            <w:bottom w:val="none" w:sz="0" w:space="0" w:color="auto"/>
            <w:right w:val="none" w:sz="0" w:space="0" w:color="auto"/>
          </w:divBdr>
          <w:divsChild>
            <w:div w:id="42870667">
              <w:marLeft w:val="0"/>
              <w:marRight w:val="0"/>
              <w:marTop w:val="0"/>
              <w:marBottom w:val="0"/>
              <w:divBdr>
                <w:top w:val="none" w:sz="0" w:space="0" w:color="auto"/>
                <w:left w:val="none" w:sz="0" w:space="0" w:color="auto"/>
                <w:bottom w:val="none" w:sz="0" w:space="0" w:color="auto"/>
                <w:right w:val="none" w:sz="0" w:space="0" w:color="auto"/>
              </w:divBdr>
            </w:div>
            <w:div w:id="264194622">
              <w:marLeft w:val="0"/>
              <w:marRight w:val="0"/>
              <w:marTop w:val="0"/>
              <w:marBottom w:val="0"/>
              <w:divBdr>
                <w:top w:val="none" w:sz="0" w:space="0" w:color="auto"/>
                <w:left w:val="none" w:sz="0" w:space="0" w:color="auto"/>
                <w:bottom w:val="none" w:sz="0" w:space="0" w:color="auto"/>
                <w:right w:val="none" w:sz="0" w:space="0" w:color="auto"/>
              </w:divBdr>
            </w:div>
            <w:div w:id="288165204">
              <w:marLeft w:val="0"/>
              <w:marRight w:val="0"/>
              <w:marTop w:val="0"/>
              <w:marBottom w:val="0"/>
              <w:divBdr>
                <w:top w:val="none" w:sz="0" w:space="0" w:color="auto"/>
                <w:left w:val="none" w:sz="0" w:space="0" w:color="auto"/>
                <w:bottom w:val="none" w:sz="0" w:space="0" w:color="auto"/>
                <w:right w:val="none" w:sz="0" w:space="0" w:color="auto"/>
              </w:divBdr>
            </w:div>
            <w:div w:id="677928734">
              <w:marLeft w:val="0"/>
              <w:marRight w:val="0"/>
              <w:marTop w:val="0"/>
              <w:marBottom w:val="0"/>
              <w:divBdr>
                <w:top w:val="none" w:sz="0" w:space="0" w:color="auto"/>
                <w:left w:val="none" w:sz="0" w:space="0" w:color="auto"/>
                <w:bottom w:val="none" w:sz="0" w:space="0" w:color="auto"/>
                <w:right w:val="none" w:sz="0" w:space="0" w:color="auto"/>
              </w:divBdr>
            </w:div>
            <w:div w:id="1126503286">
              <w:marLeft w:val="0"/>
              <w:marRight w:val="0"/>
              <w:marTop w:val="0"/>
              <w:marBottom w:val="0"/>
              <w:divBdr>
                <w:top w:val="none" w:sz="0" w:space="0" w:color="auto"/>
                <w:left w:val="none" w:sz="0" w:space="0" w:color="auto"/>
                <w:bottom w:val="none" w:sz="0" w:space="0" w:color="auto"/>
                <w:right w:val="none" w:sz="0" w:space="0" w:color="auto"/>
              </w:divBdr>
            </w:div>
            <w:div w:id="1126970544">
              <w:marLeft w:val="0"/>
              <w:marRight w:val="0"/>
              <w:marTop w:val="0"/>
              <w:marBottom w:val="0"/>
              <w:divBdr>
                <w:top w:val="none" w:sz="0" w:space="0" w:color="auto"/>
                <w:left w:val="none" w:sz="0" w:space="0" w:color="auto"/>
                <w:bottom w:val="none" w:sz="0" w:space="0" w:color="auto"/>
                <w:right w:val="none" w:sz="0" w:space="0" w:color="auto"/>
              </w:divBdr>
            </w:div>
            <w:div w:id="1188257307">
              <w:marLeft w:val="0"/>
              <w:marRight w:val="0"/>
              <w:marTop w:val="0"/>
              <w:marBottom w:val="0"/>
              <w:divBdr>
                <w:top w:val="none" w:sz="0" w:space="0" w:color="auto"/>
                <w:left w:val="none" w:sz="0" w:space="0" w:color="auto"/>
                <w:bottom w:val="none" w:sz="0" w:space="0" w:color="auto"/>
                <w:right w:val="none" w:sz="0" w:space="0" w:color="auto"/>
              </w:divBdr>
            </w:div>
            <w:div w:id="1339774277">
              <w:marLeft w:val="0"/>
              <w:marRight w:val="0"/>
              <w:marTop w:val="0"/>
              <w:marBottom w:val="0"/>
              <w:divBdr>
                <w:top w:val="none" w:sz="0" w:space="0" w:color="auto"/>
                <w:left w:val="none" w:sz="0" w:space="0" w:color="auto"/>
                <w:bottom w:val="none" w:sz="0" w:space="0" w:color="auto"/>
                <w:right w:val="none" w:sz="0" w:space="0" w:color="auto"/>
              </w:divBdr>
            </w:div>
            <w:div w:id="1456682135">
              <w:marLeft w:val="0"/>
              <w:marRight w:val="0"/>
              <w:marTop w:val="0"/>
              <w:marBottom w:val="0"/>
              <w:divBdr>
                <w:top w:val="none" w:sz="0" w:space="0" w:color="auto"/>
                <w:left w:val="none" w:sz="0" w:space="0" w:color="auto"/>
                <w:bottom w:val="none" w:sz="0" w:space="0" w:color="auto"/>
                <w:right w:val="none" w:sz="0" w:space="0" w:color="auto"/>
              </w:divBdr>
            </w:div>
          </w:divsChild>
        </w:div>
        <w:div w:id="783428144">
          <w:marLeft w:val="0"/>
          <w:marRight w:val="0"/>
          <w:marTop w:val="0"/>
          <w:marBottom w:val="0"/>
          <w:divBdr>
            <w:top w:val="none" w:sz="0" w:space="0" w:color="auto"/>
            <w:left w:val="none" w:sz="0" w:space="0" w:color="auto"/>
            <w:bottom w:val="none" w:sz="0" w:space="0" w:color="auto"/>
            <w:right w:val="none" w:sz="0" w:space="0" w:color="auto"/>
          </w:divBdr>
          <w:divsChild>
            <w:div w:id="430781545">
              <w:marLeft w:val="0"/>
              <w:marRight w:val="0"/>
              <w:marTop w:val="0"/>
              <w:marBottom w:val="0"/>
              <w:divBdr>
                <w:top w:val="none" w:sz="0" w:space="0" w:color="auto"/>
                <w:left w:val="none" w:sz="0" w:space="0" w:color="auto"/>
                <w:bottom w:val="none" w:sz="0" w:space="0" w:color="auto"/>
                <w:right w:val="none" w:sz="0" w:space="0" w:color="auto"/>
              </w:divBdr>
            </w:div>
          </w:divsChild>
        </w:div>
        <w:div w:id="793405713">
          <w:marLeft w:val="0"/>
          <w:marRight w:val="0"/>
          <w:marTop w:val="0"/>
          <w:marBottom w:val="0"/>
          <w:divBdr>
            <w:top w:val="none" w:sz="0" w:space="0" w:color="auto"/>
            <w:left w:val="none" w:sz="0" w:space="0" w:color="auto"/>
            <w:bottom w:val="none" w:sz="0" w:space="0" w:color="auto"/>
            <w:right w:val="none" w:sz="0" w:space="0" w:color="auto"/>
          </w:divBdr>
          <w:divsChild>
            <w:div w:id="1957177988">
              <w:marLeft w:val="0"/>
              <w:marRight w:val="0"/>
              <w:marTop w:val="0"/>
              <w:marBottom w:val="0"/>
              <w:divBdr>
                <w:top w:val="none" w:sz="0" w:space="0" w:color="auto"/>
                <w:left w:val="none" w:sz="0" w:space="0" w:color="auto"/>
                <w:bottom w:val="none" w:sz="0" w:space="0" w:color="auto"/>
                <w:right w:val="none" w:sz="0" w:space="0" w:color="auto"/>
              </w:divBdr>
            </w:div>
          </w:divsChild>
        </w:div>
        <w:div w:id="808592375">
          <w:marLeft w:val="0"/>
          <w:marRight w:val="0"/>
          <w:marTop w:val="0"/>
          <w:marBottom w:val="0"/>
          <w:divBdr>
            <w:top w:val="none" w:sz="0" w:space="0" w:color="auto"/>
            <w:left w:val="none" w:sz="0" w:space="0" w:color="auto"/>
            <w:bottom w:val="none" w:sz="0" w:space="0" w:color="auto"/>
            <w:right w:val="none" w:sz="0" w:space="0" w:color="auto"/>
          </w:divBdr>
          <w:divsChild>
            <w:div w:id="1636527753">
              <w:marLeft w:val="0"/>
              <w:marRight w:val="0"/>
              <w:marTop w:val="0"/>
              <w:marBottom w:val="0"/>
              <w:divBdr>
                <w:top w:val="none" w:sz="0" w:space="0" w:color="auto"/>
                <w:left w:val="none" w:sz="0" w:space="0" w:color="auto"/>
                <w:bottom w:val="none" w:sz="0" w:space="0" w:color="auto"/>
                <w:right w:val="none" w:sz="0" w:space="0" w:color="auto"/>
              </w:divBdr>
            </w:div>
          </w:divsChild>
        </w:div>
        <w:div w:id="812983936">
          <w:marLeft w:val="0"/>
          <w:marRight w:val="0"/>
          <w:marTop w:val="0"/>
          <w:marBottom w:val="0"/>
          <w:divBdr>
            <w:top w:val="none" w:sz="0" w:space="0" w:color="auto"/>
            <w:left w:val="none" w:sz="0" w:space="0" w:color="auto"/>
            <w:bottom w:val="none" w:sz="0" w:space="0" w:color="auto"/>
            <w:right w:val="none" w:sz="0" w:space="0" w:color="auto"/>
          </w:divBdr>
          <w:divsChild>
            <w:div w:id="837234586">
              <w:marLeft w:val="0"/>
              <w:marRight w:val="0"/>
              <w:marTop w:val="0"/>
              <w:marBottom w:val="0"/>
              <w:divBdr>
                <w:top w:val="none" w:sz="0" w:space="0" w:color="auto"/>
                <w:left w:val="none" w:sz="0" w:space="0" w:color="auto"/>
                <w:bottom w:val="none" w:sz="0" w:space="0" w:color="auto"/>
                <w:right w:val="none" w:sz="0" w:space="0" w:color="auto"/>
              </w:divBdr>
            </w:div>
          </w:divsChild>
        </w:div>
        <w:div w:id="817963173">
          <w:marLeft w:val="0"/>
          <w:marRight w:val="0"/>
          <w:marTop w:val="0"/>
          <w:marBottom w:val="0"/>
          <w:divBdr>
            <w:top w:val="none" w:sz="0" w:space="0" w:color="auto"/>
            <w:left w:val="none" w:sz="0" w:space="0" w:color="auto"/>
            <w:bottom w:val="none" w:sz="0" w:space="0" w:color="auto"/>
            <w:right w:val="none" w:sz="0" w:space="0" w:color="auto"/>
          </w:divBdr>
          <w:divsChild>
            <w:div w:id="1036155146">
              <w:marLeft w:val="0"/>
              <w:marRight w:val="0"/>
              <w:marTop w:val="0"/>
              <w:marBottom w:val="0"/>
              <w:divBdr>
                <w:top w:val="none" w:sz="0" w:space="0" w:color="auto"/>
                <w:left w:val="none" w:sz="0" w:space="0" w:color="auto"/>
                <w:bottom w:val="none" w:sz="0" w:space="0" w:color="auto"/>
                <w:right w:val="none" w:sz="0" w:space="0" w:color="auto"/>
              </w:divBdr>
            </w:div>
          </w:divsChild>
        </w:div>
        <w:div w:id="818613260">
          <w:marLeft w:val="0"/>
          <w:marRight w:val="0"/>
          <w:marTop w:val="0"/>
          <w:marBottom w:val="0"/>
          <w:divBdr>
            <w:top w:val="none" w:sz="0" w:space="0" w:color="auto"/>
            <w:left w:val="none" w:sz="0" w:space="0" w:color="auto"/>
            <w:bottom w:val="none" w:sz="0" w:space="0" w:color="auto"/>
            <w:right w:val="none" w:sz="0" w:space="0" w:color="auto"/>
          </w:divBdr>
          <w:divsChild>
            <w:div w:id="227494124">
              <w:marLeft w:val="0"/>
              <w:marRight w:val="0"/>
              <w:marTop w:val="0"/>
              <w:marBottom w:val="0"/>
              <w:divBdr>
                <w:top w:val="none" w:sz="0" w:space="0" w:color="auto"/>
                <w:left w:val="none" w:sz="0" w:space="0" w:color="auto"/>
                <w:bottom w:val="none" w:sz="0" w:space="0" w:color="auto"/>
                <w:right w:val="none" w:sz="0" w:space="0" w:color="auto"/>
              </w:divBdr>
            </w:div>
          </w:divsChild>
        </w:div>
        <w:div w:id="838351482">
          <w:marLeft w:val="0"/>
          <w:marRight w:val="0"/>
          <w:marTop w:val="0"/>
          <w:marBottom w:val="0"/>
          <w:divBdr>
            <w:top w:val="none" w:sz="0" w:space="0" w:color="auto"/>
            <w:left w:val="none" w:sz="0" w:space="0" w:color="auto"/>
            <w:bottom w:val="none" w:sz="0" w:space="0" w:color="auto"/>
            <w:right w:val="none" w:sz="0" w:space="0" w:color="auto"/>
          </w:divBdr>
          <w:divsChild>
            <w:div w:id="1544710840">
              <w:marLeft w:val="0"/>
              <w:marRight w:val="0"/>
              <w:marTop w:val="0"/>
              <w:marBottom w:val="0"/>
              <w:divBdr>
                <w:top w:val="none" w:sz="0" w:space="0" w:color="auto"/>
                <w:left w:val="none" w:sz="0" w:space="0" w:color="auto"/>
                <w:bottom w:val="none" w:sz="0" w:space="0" w:color="auto"/>
                <w:right w:val="none" w:sz="0" w:space="0" w:color="auto"/>
              </w:divBdr>
            </w:div>
          </w:divsChild>
        </w:div>
        <w:div w:id="840970842">
          <w:marLeft w:val="0"/>
          <w:marRight w:val="0"/>
          <w:marTop w:val="0"/>
          <w:marBottom w:val="0"/>
          <w:divBdr>
            <w:top w:val="none" w:sz="0" w:space="0" w:color="auto"/>
            <w:left w:val="none" w:sz="0" w:space="0" w:color="auto"/>
            <w:bottom w:val="none" w:sz="0" w:space="0" w:color="auto"/>
            <w:right w:val="none" w:sz="0" w:space="0" w:color="auto"/>
          </w:divBdr>
          <w:divsChild>
            <w:div w:id="1400053903">
              <w:marLeft w:val="0"/>
              <w:marRight w:val="0"/>
              <w:marTop w:val="0"/>
              <w:marBottom w:val="0"/>
              <w:divBdr>
                <w:top w:val="none" w:sz="0" w:space="0" w:color="auto"/>
                <w:left w:val="none" w:sz="0" w:space="0" w:color="auto"/>
                <w:bottom w:val="none" w:sz="0" w:space="0" w:color="auto"/>
                <w:right w:val="none" w:sz="0" w:space="0" w:color="auto"/>
              </w:divBdr>
            </w:div>
          </w:divsChild>
        </w:div>
        <w:div w:id="845511245">
          <w:marLeft w:val="0"/>
          <w:marRight w:val="0"/>
          <w:marTop w:val="0"/>
          <w:marBottom w:val="0"/>
          <w:divBdr>
            <w:top w:val="none" w:sz="0" w:space="0" w:color="auto"/>
            <w:left w:val="none" w:sz="0" w:space="0" w:color="auto"/>
            <w:bottom w:val="none" w:sz="0" w:space="0" w:color="auto"/>
            <w:right w:val="none" w:sz="0" w:space="0" w:color="auto"/>
          </w:divBdr>
          <w:divsChild>
            <w:div w:id="828789313">
              <w:marLeft w:val="0"/>
              <w:marRight w:val="0"/>
              <w:marTop w:val="0"/>
              <w:marBottom w:val="0"/>
              <w:divBdr>
                <w:top w:val="none" w:sz="0" w:space="0" w:color="auto"/>
                <w:left w:val="none" w:sz="0" w:space="0" w:color="auto"/>
                <w:bottom w:val="none" w:sz="0" w:space="0" w:color="auto"/>
                <w:right w:val="none" w:sz="0" w:space="0" w:color="auto"/>
              </w:divBdr>
            </w:div>
          </w:divsChild>
        </w:div>
        <w:div w:id="852494376">
          <w:marLeft w:val="0"/>
          <w:marRight w:val="0"/>
          <w:marTop w:val="0"/>
          <w:marBottom w:val="0"/>
          <w:divBdr>
            <w:top w:val="none" w:sz="0" w:space="0" w:color="auto"/>
            <w:left w:val="none" w:sz="0" w:space="0" w:color="auto"/>
            <w:bottom w:val="none" w:sz="0" w:space="0" w:color="auto"/>
            <w:right w:val="none" w:sz="0" w:space="0" w:color="auto"/>
          </w:divBdr>
          <w:divsChild>
            <w:div w:id="1989049587">
              <w:marLeft w:val="0"/>
              <w:marRight w:val="0"/>
              <w:marTop w:val="0"/>
              <w:marBottom w:val="0"/>
              <w:divBdr>
                <w:top w:val="none" w:sz="0" w:space="0" w:color="auto"/>
                <w:left w:val="none" w:sz="0" w:space="0" w:color="auto"/>
                <w:bottom w:val="none" w:sz="0" w:space="0" w:color="auto"/>
                <w:right w:val="none" w:sz="0" w:space="0" w:color="auto"/>
              </w:divBdr>
            </w:div>
          </w:divsChild>
        </w:div>
        <w:div w:id="852494732">
          <w:marLeft w:val="0"/>
          <w:marRight w:val="0"/>
          <w:marTop w:val="0"/>
          <w:marBottom w:val="0"/>
          <w:divBdr>
            <w:top w:val="none" w:sz="0" w:space="0" w:color="auto"/>
            <w:left w:val="none" w:sz="0" w:space="0" w:color="auto"/>
            <w:bottom w:val="none" w:sz="0" w:space="0" w:color="auto"/>
            <w:right w:val="none" w:sz="0" w:space="0" w:color="auto"/>
          </w:divBdr>
          <w:divsChild>
            <w:div w:id="2034766413">
              <w:marLeft w:val="0"/>
              <w:marRight w:val="0"/>
              <w:marTop w:val="0"/>
              <w:marBottom w:val="0"/>
              <w:divBdr>
                <w:top w:val="none" w:sz="0" w:space="0" w:color="auto"/>
                <w:left w:val="none" w:sz="0" w:space="0" w:color="auto"/>
                <w:bottom w:val="none" w:sz="0" w:space="0" w:color="auto"/>
                <w:right w:val="none" w:sz="0" w:space="0" w:color="auto"/>
              </w:divBdr>
            </w:div>
          </w:divsChild>
        </w:div>
        <w:div w:id="853112774">
          <w:marLeft w:val="0"/>
          <w:marRight w:val="0"/>
          <w:marTop w:val="0"/>
          <w:marBottom w:val="0"/>
          <w:divBdr>
            <w:top w:val="none" w:sz="0" w:space="0" w:color="auto"/>
            <w:left w:val="none" w:sz="0" w:space="0" w:color="auto"/>
            <w:bottom w:val="none" w:sz="0" w:space="0" w:color="auto"/>
            <w:right w:val="none" w:sz="0" w:space="0" w:color="auto"/>
          </w:divBdr>
          <w:divsChild>
            <w:div w:id="1174801323">
              <w:marLeft w:val="0"/>
              <w:marRight w:val="0"/>
              <w:marTop w:val="0"/>
              <w:marBottom w:val="0"/>
              <w:divBdr>
                <w:top w:val="none" w:sz="0" w:space="0" w:color="auto"/>
                <w:left w:val="none" w:sz="0" w:space="0" w:color="auto"/>
                <w:bottom w:val="none" w:sz="0" w:space="0" w:color="auto"/>
                <w:right w:val="none" w:sz="0" w:space="0" w:color="auto"/>
              </w:divBdr>
            </w:div>
          </w:divsChild>
        </w:div>
        <w:div w:id="861818630">
          <w:marLeft w:val="0"/>
          <w:marRight w:val="0"/>
          <w:marTop w:val="0"/>
          <w:marBottom w:val="0"/>
          <w:divBdr>
            <w:top w:val="none" w:sz="0" w:space="0" w:color="auto"/>
            <w:left w:val="none" w:sz="0" w:space="0" w:color="auto"/>
            <w:bottom w:val="none" w:sz="0" w:space="0" w:color="auto"/>
            <w:right w:val="none" w:sz="0" w:space="0" w:color="auto"/>
          </w:divBdr>
          <w:divsChild>
            <w:div w:id="1274825287">
              <w:marLeft w:val="0"/>
              <w:marRight w:val="0"/>
              <w:marTop w:val="0"/>
              <w:marBottom w:val="0"/>
              <w:divBdr>
                <w:top w:val="none" w:sz="0" w:space="0" w:color="auto"/>
                <w:left w:val="none" w:sz="0" w:space="0" w:color="auto"/>
                <w:bottom w:val="none" w:sz="0" w:space="0" w:color="auto"/>
                <w:right w:val="none" w:sz="0" w:space="0" w:color="auto"/>
              </w:divBdr>
            </w:div>
          </w:divsChild>
        </w:div>
        <w:div w:id="864174330">
          <w:marLeft w:val="0"/>
          <w:marRight w:val="0"/>
          <w:marTop w:val="0"/>
          <w:marBottom w:val="0"/>
          <w:divBdr>
            <w:top w:val="none" w:sz="0" w:space="0" w:color="auto"/>
            <w:left w:val="none" w:sz="0" w:space="0" w:color="auto"/>
            <w:bottom w:val="none" w:sz="0" w:space="0" w:color="auto"/>
            <w:right w:val="none" w:sz="0" w:space="0" w:color="auto"/>
          </w:divBdr>
          <w:divsChild>
            <w:div w:id="831600268">
              <w:marLeft w:val="0"/>
              <w:marRight w:val="0"/>
              <w:marTop w:val="0"/>
              <w:marBottom w:val="0"/>
              <w:divBdr>
                <w:top w:val="none" w:sz="0" w:space="0" w:color="auto"/>
                <w:left w:val="none" w:sz="0" w:space="0" w:color="auto"/>
                <w:bottom w:val="none" w:sz="0" w:space="0" w:color="auto"/>
                <w:right w:val="none" w:sz="0" w:space="0" w:color="auto"/>
              </w:divBdr>
            </w:div>
          </w:divsChild>
        </w:div>
        <w:div w:id="867448851">
          <w:marLeft w:val="0"/>
          <w:marRight w:val="0"/>
          <w:marTop w:val="0"/>
          <w:marBottom w:val="0"/>
          <w:divBdr>
            <w:top w:val="none" w:sz="0" w:space="0" w:color="auto"/>
            <w:left w:val="none" w:sz="0" w:space="0" w:color="auto"/>
            <w:bottom w:val="none" w:sz="0" w:space="0" w:color="auto"/>
            <w:right w:val="none" w:sz="0" w:space="0" w:color="auto"/>
          </w:divBdr>
          <w:divsChild>
            <w:div w:id="1487471981">
              <w:marLeft w:val="0"/>
              <w:marRight w:val="0"/>
              <w:marTop w:val="0"/>
              <w:marBottom w:val="0"/>
              <w:divBdr>
                <w:top w:val="none" w:sz="0" w:space="0" w:color="auto"/>
                <w:left w:val="none" w:sz="0" w:space="0" w:color="auto"/>
                <w:bottom w:val="none" w:sz="0" w:space="0" w:color="auto"/>
                <w:right w:val="none" w:sz="0" w:space="0" w:color="auto"/>
              </w:divBdr>
            </w:div>
          </w:divsChild>
        </w:div>
        <w:div w:id="877399737">
          <w:marLeft w:val="0"/>
          <w:marRight w:val="0"/>
          <w:marTop w:val="0"/>
          <w:marBottom w:val="0"/>
          <w:divBdr>
            <w:top w:val="none" w:sz="0" w:space="0" w:color="auto"/>
            <w:left w:val="none" w:sz="0" w:space="0" w:color="auto"/>
            <w:bottom w:val="none" w:sz="0" w:space="0" w:color="auto"/>
            <w:right w:val="none" w:sz="0" w:space="0" w:color="auto"/>
          </w:divBdr>
          <w:divsChild>
            <w:div w:id="262499347">
              <w:marLeft w:val="0"/>
              <w:marRight w:val="0"/>
              <w:marTop w:val="0"/>
              <w:marBottom w:val="0"/>
              <w:divBdr>
                <w:top w:val="none" w:sz="0" w:space="0" w:color="auto"/>
                <w:left w:val="none" w:sz="0" w:space="0" w:color="auto"/>
                <w:bottom w:val="none" w:sz="0" w:space="0" w:color="auto"/>
                <w:right w:val="none" w:sz="0" w:space="0" w:color="auto"/>
              </w:divBdr>
            </w:div>
          </w:divsChild>
        </w:div>
        <w:div w:id="881555607">
          <w:marLeft w:val="0"/>
          <w:marRight w:val="0"/>
          <w:marTop w:val="0"/>
          <w:marBottom w:val="0"/>
          <w:divBdr>
            <w:top w:val="none" w:sz="0" w:space="0" w:color="auto"/>
            <w:left w:val="none" w:sz="0" w:space="0" w:color="auto"/>
            <w:bottom w:val="none" w:sz="0" w:space="0" w:color="auto"/>
            <w:right w:val="none" w:sz="0" w:space="0" w:color="auto"/>
          </w:divBdr>
          <w:divsChild>
            <w:div w:id="468133822">
              <w:marLeft w:val="0"/>
              <w:marRight w:val="0"/>
              <w:marTop w:val="0"/>
              <w:marBottom w:val="0"/>
              <w:divBdr>
                <w:top w:val="none" w:sz="0" w:space="0" w:color="auto"/>
                <w:left w:val="none" w:sz="0" w:space="0" w:color="auto"/>
                <w:bottom w:val="none" w:sz="0" w:space="0" w:color="auto"/>
                <w:right w:val="none" w:sz="0" w:space="0" w:color="auto"/>
              </w:divBdr>
            </w:div>
          </w:divsChild>
        </w:div>
        <w:div w:id="893353467">
          <w:marLeft w:val="0"/>
          <w:marRight w:val="0"/>
          <w:marTop w:val="0"/>
          <w:marBottom w:val="0"/>
          <w:divBdr>
            <w:top w:val="none" w:sz="0" w:space="0" w:color="auto"/>
            <w:left w:val="none" w:sz="0" w:space="0" w:color="auto"/>
            <w:bottom w:val="none" w:sz="0" w:space="0" w:color="auto"/>
            <w:right w:val="none" w:sz="0" w:space="0" w:color="auto"/>
          </w:divBdr>
          <w:divsChild>
            <w:div w:id="938490098">
              <w:marLeft w:val="0"/>
              <w:marRight w:val="0"/>
              <w:marTop w:val="0"/>
              <w:marBottom w:val="0"/>
              <w:divBdr>
                <w:top w:val="none" w:sz="0" w:space="0" w:color="auto"/>
                <w:left w:val="none" w:sz="0" w:space="0" w:color="auto"/>
                <w:bottom w:val="none" w:sz="0" w:space="0" w:color="auto"/>
                <w:right w:val="none" w:sz="0" w:space="0" w:color="auto"/>
              </w:divBdr>
            </w:div>
          </w:divsChild>
        </w:div>
        <w:div w:id="896669385">
          <w:marLeft w:val="0"/>
          <w:marRight w:val="0"/>
          <w:marTop w:val="0"/>
          <w:marBottom w:val="0"/>
          <w:divBdr>
            <w:top w:val="none" w:sz="0" w:space="0" w:color="auto"/>
            <w:left w:val="none" w:sz="0" w:space="0" w:color="auto"/>
            <w:bottom w:val="none" w:sz="0" w:space="0" w:color="auto"/>
            <w:right w:val="none" w:sz="0" w:space="0" w:color="auto"/>
          </w:divBdr>
          <w:divsChild>
            <w:div w:id="1444106691">
              <w:marLeft w:val="0"/>
              <w:marRight w:val="0"/>
              <w:marTop w:val="0"/>
              <w:marBottom w:val="0"/>
              <w:divBdr>
                <w:top w:val="none" w:sz="0" w:space="0" w:color="auto"/>
                <w:left w:val="none" w:sz="0" w:space="0" w:color="auto"/>
                <w:bottom w:val="none" w:sz="0" w:space="0" w:color="auto"/>
                <w:right w:val="none" w:sz="0" w:space="0" w:color="auto"/>
              </w:divBdr>
            </w:div>
          </w:divsChild>
        </w:div>
        <w:div w:id="902830329">
          <w:marLeft w:val="0"/>
          <w:marRight w:val="0"/>
          <w:marTop w:val="0"/>
          <w:marBottom w:val="0"/>
          <w:divBdr>
            <w:top w:val="none" w:sz="0" w:space="0" w:color="auto"/>
            <w:left w:val="none" w:sz="0" w:space="0" w:color="auto"/>
            <w:bottom w:val="none" w:sz="0" w:space="0" w:color="auto"/>
            <w:right w:val="none" w:sz="0" w:space="0" w:color="auto"/>
          </w:divBdr>
          <w:divsChild>
            <w:div w:id="257716730">
              <w:marLeft w:val="0"/>
              <w:marRight w:val="0"/>
              <w:marTop w:val="0"/>
              <w:marBottom w:val="0"/>
              <w:divBdr>
                <w:top w:val="none" w:sz="0" w:space="0" w:color="auto"/>
                <w:left w:val="none" w:sz="0" w:space="0" w:color="auto"/>
                <w:bottom w:val="none" w:sz="0" w:space="0" w:color="auto"/>
                <w:right w:val="none" w:sz="0" w:space="0" w:color="auto"/>
              </w:divBdr>
            </w:div>
          </w:divsChild>
        </w:div>
        <w:div w:id="903414861">
          <w:marLeft w:val="0"/>
          <w:marRight w:val="0"/>
          <w:marTop w:val="0"/>
          <w:marBottom w:val="0"/>
          <w:divBdr>
            <w:top w:val="none" w:sz="0" w:space="0" w:color="auto"/>
            <w:left w:val="none" w:sz="0" w:space="0" w:color="auto"/>
            <w:bottom w:val="none" w:sz="0" w:space="0" w:color="auto"/>
            <w:right w:val="none" w:sz="0" w:space="0" w:color="auto"/>
          </w:divBdr>
          <w:divsChild>
            <w:div w:id="835344745">
              <w:marLeft w:val="0"/>
              <w:marRight w:val="0"/>
              <w:marTop w:val="0"/>
              <w:marBottom w:val="0"/>
              <w:divBdr>
                <w:top w:val="none" w:sz="0" w:space="0" w:color="auto"/>
                <w:left w:val="none" w:sz="0" w:space="0" w:color="auto"/>
                <w:bottom w:val="none" w:sz="0" w:space="0" w:color="auto"/>
                <w:right w:val="none" w:sz="0" w:space="0" w:color="auto"/>
              </w:divBdr>
            </w:div>
          </w:divsChild>
        </w:div>
        <w:div w:id="929701312">
          <w:marLeft w:val="0"/>
          <w:marRight w:val="0"/>
          <w:marTop w:val="0"/>
          <w:marBottom w:val="0"/>
          <w:divBdr>
            <w:top w:val="none" w:sz="0" w:space="0" w:color="auto"/>
            <w:left w:val="none" w:sz="0" w:space="0" w:color="auto"/>
            <w:bottom w:val="none" w:sz="0" w:space="0" w:color="auto"/>
            <w:right w:val="none" w:sz="0" w:space="0" w:color="auto"/>
          </w:divBdr>
          <w:divsChild>
            <w:div w:id="1691686958">
              <w:marLeft w:val="0"/>
              <w:marRight w:val="0"/>
              <w:marTop w:val="0"/>
              <w:marBottom w:val="0"/>
              <w:divBdr>
                <w:top w:val="none" w:sz="0" w:space="0" w:color="auto"/>
                <w:left w:val="none" w:sz="0" w:space="0" w:color="auto"/>
                <w:bottom w:val="none" w:sz="0" w:space="0" w:color="auto"/>
                <w:right w:val="none" w:sz="0" w:space="0" w:color="auto"/>
              </w:divBdr>
            </w:div>
          </w:divsChild>
        </w:div>
        <w:div w:id="933168520">
          <w:marLeft w:val="0"/>
          <w:marRight w:val="0"/>
          <w:marTop w:val="0"/>
          <w:marBottom w:val="0"/>
          <w:divBdr>
            <w:top w:val="none" w:sz="0" w:space="0" w:color="auto"/>
            <w:left w:val="none" w:sz="0" w:space="0" w:color="auto"/>
            <w:bottom w:val="none" w:sz="0" w:space="0" w:color="auto"/>
            <w:right w:val="none" w:sz="0" w:space="0" w:color="auto"/>
          </w:divBdr>
          <w:divsChild>
            <w:div w:id="1513031862">
              <w:marLeft w:val="0"/>
              <w:marRight w:val="0"/>
              <w:marTop w:val="0"/>
              <w:marBottom w:val="0"/>
              <w:divBdr>
                <w:top w:val="none" w:sz="0" w:space="0" w:color="auto"/>
                <w:left w:val="none" w:sz="0" w:space="0" w:color="auto"/>
                <w:bottom w:val="none" w:sz="0" w:space="0" w:color="auto"/>
                <w:right w:val="none" w:sz="0" w:space="0" w:color="auto"/>
              </w:divBdr>
            </w:div>
          </w:divsChild>
        </w:div>
        <w:div w:id="944265026">
          <w:marLeft w:val="0"/>
          <w:marRight w:val="0"/>
          <w:marTop w:val="0"/>
          <w:marBottom w:val="0"/>
          <w:divBdr>
            <w:top w:val="none" w:sz="0" w:space="0" w:color="auto"/>
            <w:left w:val="none" w:sz="0" w:space="0" w:color="auto"/>
            <w:bottom w:val="none" w:sz="0" w:space="0" w:color="auto"/>
            <w:right w:val="none" w:sz="0" w:space="0" w:color="auto"/>
          </w:divBdr>
          <w:divsChild>
            <w:div w:id="1531797949">
              <w:marLeft w:val="0"/>
              <w:marRight w:val="0"/>
              <w:marTop w:val="0"/>
              <w:marBottom w:val="0"/>
              <w:divBdr>
                <w:top w:val="none" w:sz="0" w:space="0" w:color="auto"/>
                <w:left w:val="none" w:sz="0" w:space="0" w:color="auto"/>
                <w:bottom w:val="none" w:sz="0" w:space="0" w:color="auto"/>
                <w:right w:val="none" w:sz="0" w:space="0" w:color="auto"/>
              </w:divBdr>
            </w:div>
          </w:divsChild>
        </w:div>
        <w:div w:id="948508250">
          <w:marLeft w:val="0"/>
          <w:marRight w:val="0"/>
          <w:marTop w:val="0"/>
          <w:marBottom w:val="0"/>
          <w:divBdr>
            <w:top w:val="none" w:sz="0" w:space="0" w:color="auto"/>
            <w:left w:val="none" w:sz="0" w:space="0" w:color="auto"/>
            <w:bottom w:val="none" w:sz="0" w:space="0" w:color="auto"/>
            <w:right w:val="none" w:sz="0" w:space="0" w:color="auto"/>
          </w:divBdr>
          <w:divsChild>
            <w:div w:id="2053994909">
              <w:marLeft w:val="0"/>
              <w:marRight w:val="0"/>
              <w:marTop w:val="0"/>
              <w:marBottom w:val="0"/>
              <w:divBdr>
                <w:top w:val="none" w:sz="0" w:space="0" w:color="auto"/>
                <w:left w:val="none" w:sz="0" w:space="0" w:color="auto"/>
                <w:bottom w:val="none" w:sz="0" w:space="0" w:color="auto"/>
                <w:right w:val="none" w:sz="0" w:space="0" w:color="auto"/>
              </w:divBdr>
            </w:div>
          </w:divsChild>
        </w:div>
        <w:div w:id="948701204">
          <w:marLeft w:val="0"/>
          <w:marRight w:val="0"/>
          <w:marTop w:val="0"/>
          <w:marBottom w:val="0"/>
          <w:divBdr>
            <w:top w:val="none" w:sz="0" w:space="0" w:color="auto"/>
            <w:left w:val="none" w:sz="0" w:space="0" w:color="auto"/>
            <w:bottom w:val="none" w:sz="0" w:space="0" w:color="auto"/>
            <w:right w:val="none" w:sz="0" w:space="0" w:color="auto"/>
          </w:divBdr>
          <w:divsChild>
            <w:div w:id="1334801778">
              <w:marLeft w:val="0"/>
              <w:marRight w:val="0"/>
              <w:marTop w:val="0"/>
              <w:marBottom w:val="0"/>
              <w:divBdr>
                <w:top w:val="none" w:sz="0" w:space="0" w:color="auto"/>
                <w:left w:val="none" w:sz="0" w:space="0" w:color="auto"/>
                <w:bottom w:val="none" w:sz="0" w:space="0" w:color="auto"/>
                <w:right w:val="none" w:sz="0" w:space="0" w:color="auto"/>
              </w:divBdr>
            </w:div>
          </w:divsChild>
        </w:div>
        <w:div w:id="953903289">
          <w:marLeft w:val="0"/>
          <w:marRight w:val="0"/>
          <w:marTop w:val="0"/>
          <w:marBottom w:val="0"/>
          <w:divBdr>
            <w:top w:val="none" w:sz="0" w:space="0" w:color="auto"/>
            <w:left w:val="none" w:sz="0" w:space="0" w:color="auto"/>
            <w:bottom w:val="none" w:sz="0" w:space="0" w:color="auto"/>
            <w:right w:val="none" w:sz="0" w:space="0" w:color="auto"/>
          </w:divBdr>
          <w:divsChild>
            <w:div w:id="1914076387">
              <w:marLeft w:val="0"/>
              <w:marRight w:val="0"/>
              <w:marTop w:val="0"/>
              <w:marBottom w:val="0"/>
              <w:divBdr>
                <w:top w:val="none" w:sz="0" w:space="0" w:color="auto"/>
                <w:left w:val="none" w:sz="0" w:space="0" w:color="auto"/>
                <w:bottom w:val="none" w:sz="0" w:space="0" w:color="auto"/>
                <w:right w:val="none" w:sz="0" w:space="0" w:color="auto"/>
              </w:divBdr>
            </w:div>
          </w:divsChild>
        </w:div>
        <w:div w:id="955789205">
          <w:marLeft w:val="0"/>
          <w:marRight w:val="0"/>
          <w:marTop w:val="0"/>
          <w:marBottom w:val="0"/>
          <w:divBdr>
            <w:top w:val="none" w:sz="0" w:space="0" w:color="auto"/>
            <w:left w:val="none" w:sz="0" w:space="0" w:color="auto"/>
            <w:bottom w:val="none" w:sz="0" w:space="0" w:color="auto"/>
            <w:right w:val="none" w:sz="0" w:space="0" w:color="auto"/>
          </w:divBdr>
          <w:divsChild>
            <w:div w:id="372583679">
              <w:marLeft w:val="0"/>
              <w:marRight w:val="0"/>
              <w:marTop w:val="0"/>
              <w:marBottom w:val="0"/>
              <w:divBdr>
                <w:top w:val="none" w:sz="0" w:space="0" w:color="auto"/>
                <w:left w:val="none" w:sz="0" w:space="0" w:color="auto"/>
                <w:bottom w:val="none" w:sz="0" w:space="0" w:color="auto"/>
                <w:right w:val="none" w:sz="0" w:space="0" w:color="auto"/>
              </w:divBdr>
            </w:div>
          </w:divsChild>
        </w:div>
        <w:div w:id="957837278">
          <w:marLeft w:val="0"/>
          <w:marRight w:val="0"/>
          <w:marTop w:val="0"/>
          <w:marBottom w:val="0"/>
          <w:divBdr>
            <w:top w:val="none" w:sz="0" w:space="0" w:color="auto"/>
            <w:left w:val="none" w:sz="0" w:space="0" w:color="auto"/>
            <w:bottom w:val="none" w:sz="0" w:space="0" w:color="auto"/>
            <w:right w:val="none" w:sz="0" w:space="0" w:color="auto"/>
          </w:divBdr>
          <w:divsChild>
            <w:div w:id="917714449">
              <w:marLeft w:val="0"/>
              <w:marRight w:val="0"/>
              <w:marTop w:val="0"/>
              <w:marBottom w:val="0"/>
              <w:divBdr>
                <w:top w:val="none" w:sz="0" w:space="0" w:color="auto"/>
                <w:left w:val="none" w:sz="0" w:space="0" w:color="auto"/>
                <w:bottom w:val="none" w:sz="0" w:space="0" w:color="auto"/>
                <w:right w:val="none" w:sz="0" w:space="0" w:color="auto"/>
              </w:divBdr>
            </w:div>
          </w:divsChild>
        </w:div>
        <w:div w:id="962079517">
          <w:marLeft w:val="0"/>
          <w:marRight w:val="0"/>
          <w:marTop w:val="0"/>
          <w:marBottom w:val="0"/>
          <w:divBdr>
            <w:top w:val="none" w:sz="0" w:space="0" w:color="auto"/>
            <w:left w:val="none" w:sz="0" w:space="0" w:color="auto"/>
            <w:bottom w:val="none" w:sz="0" w:space="0" w:color="auto"/>
            <w:right w:val="none" w:sz="0" w:space="0" w:color="auto"/>
          </w:divBdr>
          <w:divsChild>
            <w:div w:id="1587835300">
              <w:marLeft w:val="0"/>
              <w:marRight w:val="0"/>
              <w:marTop w:val="0"/>
              <w:marBottom w:val="0"/>
              <w:divBdr>
                <w:top w:val="none" w:sz="0" w:space="0" w:color="auto"/>
                <w:left w:val="none" w:sz="0" w:space="0" w:color="auto"/>
                <w:bottom w:val="none" w:sz="0" w:space="0" w:color="auto"/>
                <w:right w:val="none" w:sz="0" w:space="0" w:color="auto"/>
              </w:divBdr>
            </w:div>
          </w:divsChild>
        </w:div>
        <w:div w:id="963652955">
          <w:marLeft w:val="0"/>
          <w:marRight w:val="0"/>
          <w:marTop w:val="0"/>
          <w:marBottom w:val="0"/>
          <w:divBdr>
            <w:top w:val="none" w:sz="0" w:space="0" w:color="auto"/>
            <w:left w:val="none" w:sz="0" w:space="0" w:color="auto"/>
            <w:bottom w:val="none" w:sz="0" w:space="0" w:color="auto"/>
            <w:right w:val="none" w:sz="0" w:space="0" w:color="auto"/>
          </w:divBdr>
          <w:divsChild>
            <w:div w:id="125392944">
              <w:marLeft w:val="0"/>
              <w:marRight w:val="0"/>
              <w:marTop w:val="0"/>
              <w:marBottom w:val="0"/>
              <w:divBdr>
                <w:top w:val="none" w:sz="0" w:space="0" w:color="auto"/>
                <w:left w:val="none" w:sz="0" w:space="0" w:color="auto"/>
                <w:bottom w:val="none" w:sz="0" w:space="0" w:color="auto"/>
                <w:right w:val="none" w:sz="0" w:space="0" w:color="auto"/>
              </w:divBdr>
            </w:div>
          </w:divsChild>
        </w:div>
        <w:div w:id="972711504">
          <w:marLeft w:val="0"/>
          <w:marRight w:val="0"/>
          <w:marTop w:val="0"/>
          <w:marBottom w:val="0"/>
          <w:divBdr>
            <w:top w:val="none" w:sz="0" w:space="0" w:color="auto"/>
            <w:left w:val="none" w:sz="0" w:space="0" w:color="auto"/>
            <w:bottom w:val="none" w:sz="0" w:space="0" w:color="auto"/>
            <w:right w:val="none" w:sz="0" w:space="0" w:color="auto"/>
          </w:divBdr>
          <w:divsChild>
            <w:div w:id="1358117213">
              <w:marLeft w:val="0"/>
              <w:marRight w:val="0"/>
              <w:marTop w:val="0"/>
              <w:marBottom w:val="0"/>
              <w:divBdr>
                <w:top w:val="none" w:sz="0" w:space="0" w:color="auto"/>
                <w:left w:val="none" w:sz="0" w:space="0" w:color="auto"/>
                <w:bottom w:val="none" w:sz="0" w:space="0" w:color="auto"/>
                <w:right w:val="none" w:sz="0" w:space="0" w:color="auto"/>
              </w:divBdr>
            </w:div>
          </w:divsChild>
        </w:div>
        <w:div w:id="977881759">
          <w:marLeft w:val="0"/>
          <w:marRight w:val="0"/>
          <w:marTop w:val="0"/>
          <w:marBottom w:val="0"/>
          <w:divBdr>
            <w:top w:val="none" w:sz="0" w:space="0" w:color="auto"/>
            <w:left w:val="none" w:sz="0" w:space="0" w:color="auto"/>
            <w:bottom w:val="none" w:sz="0" w:space="0" w:color="auto"/>
            <w:right w:val="none" w:sz="0" w:space="0" w:color="auto"/>
          </w:divBdr>
          <w:divsChild>
            <w:div w:id="1026754485">
              <w:marLeft w:val="0"/>
              <w:marRight w:val="0"/>
              <w:marTop w:val="0"/>
              <w:marBottom w:val="0"/>
              <w:divBdr>
                <w:top w:val="none" w:sz="0" w:space="0" w:color="auto"/>
                <w:left w:val="none" w:sz="0" w:space="0" w:color="auto"/>
                <w:bottom w:val="none" w:sz="0" w:space="0" w:color="auto"/>
                <w:right w:val="none" w:sz="0" w:space="0" w:color="auto"/>
              </w:divBdr>
            </w:div>
          </w:divsChild>
        </w:div>
        <w:div w:id="1008752458">
          <w:marLeft w:val="0"/>
          <w:marRight w:val="0"/>
          <w:marTop w:val="0"/>
          <w:marBottom w:val="0"/>
          <w:divBdr>
            <w:top w:val="none" w:sz="0" w:space="0" w:color="auto"/>
            <w:left w:val="none" w:sz="0" w:space="0" w:color="auto"/>
            <w:bottom w:val="none" w:sz="0" w:space="0" w:color="auto"/>
            <w:right w:val="none" w:sz="0" w:space="0" w:color="auto"/>
          </w:divBdr>
          <w:divsChild>
            <w:div w:id="1875337885">
              <w:marLeft w:val="0"/>
              <w:marRight w:val="0"/>
              <w:marTop w:val="0"/>
              <w:marBottom w:val="0"/>
              <w:divBdr>
                <w:top w:val="none" w:sz="0" w:space="0" w:color="auto"/>
                <w:left w:val="none" w:sz="0" w:space="0" w:color="auto"/>
                <w:bottom w:val="none" w:sz="0" w:space="0" w:color="auto"/>
                <w:right w:val="none" w:sz="0" w:space="0" w:color="auto"/>
              </w:divBdr>
            </w:div>
          </w:divsChild>
        </w:div>
        <w:div w:id="1010060500">
          <w:marLeft w:val="0"/>
          <w:marRight w:val="0"/>
          <w:marTop w:val="0"/>
          <w:marBottom w:val="0"/>
          <w:divBdr>
            <w:top w:val="none" w:sz="0" w:space="0" w:color="auto"/>
            <w:left w:val="none" w:sz="0" w:space="0" w:color="auto"/>
            <w:bottom w:val="none" w:sz="0" w:space="0" w:color="auto"/>
            <w:right w:val="none" w:sz="0" w:space="0" w:color="auto"/>
          </w:divBdr>
          <w:divsChild>
            <w:div w:id="97529881">
              <w:marLeft w:val="0"/>
              <w:marRight w:val="0"/>
              <w:marTop w:val="0"/>
              <w:marBottom w:val="0"/>
              <w:divBdr>
                <w:top w:val="none" w:sz="0" w:space="0" w:color="auto"/>
                <w:left w:val="none" w:sz="0" w:space="0" w:color="auto"/>
                <w:bottom w:val="none" w:sz="0" w:space="0" w:color="auto"/>
                <w:right w:val="none" w:sz="0" w:space="0" w:color="auto"/>
              </w:divBdr>
            </w:div>
          </w:divsChild>
        </w:div>
        <w:div w:id="1016351743">
          <w:marLeft w:val="0"/>
          <w:marRight w:val="0"/>
          <w:marTop w:val="0"/>
          <w:marBottom w:val="0"/>
          <w:divBdr>
            <w:top w:val="none" w:sz="0" w:space="0" w:color="auto"/>
            <w:left w:val="none" w:sz="0" w:space="0" w:color="auto"/>
            <w:bottom w:val="none" w:sz="0" w:space="0" w:color="auto"/>
            <w:right w:val="none" w:sz="0" w:space="0" w:color="auto"/>
          </w:divBdr>
          <w:divsChild>
            <w:div w:id="98720817">
              <w:marLeft w:val="0"/>
              <w:marRight w:val="0"/>
              <w:marTop w:val="0"/>
              <w:marBottom w:val="0"/>
              <w:divBdr>
                <w:top w:val="none" w:sz="0" w:space="0" w:color="auto"/>
                <w:left w:val="none" w:sz="0" w:space="0" w:color="auto"/>
                <w:bottom w:val="none" w:sz="0" w:space="0" w:color="auto"/>
                <w:right w:val="none" w:sz="0" w:space="0" w:color="auto"/>
              </w:divBdr>
            </w:div>
            <w:div w:id="720056338">
              <w:marLeft w:val="0"/>
              <w:marRight w:val="0"/>
              <w:marTop w:val="0"/>
              <w:marBottom w:val="0"/>
              <w:divBdr>
                <w:top w:val="none" w:sz="0" w:space="0" w:color="auto"/>
                <w:left w:val="none" w:sz="0" w:space="0" w:color="auto"/>
                <w:bottom w:val="none" w:sz="0" w:space="0" w:color="auto"/>
                <w:right w:val="none" w:sz="0" w:space="0" w:color="auto"/>
              </w:divBdr>
            </w:div>
            <w:div w:id="1613777526">
              <w:marLeft w:val="0"/>
              <w:marRight w:val="0"/>
              <w:marTop w:val="0"/>
              <w:marBottom w:val="0"/>
              <w:divBdr>
                <w:top w:val="none" w:sz="0" w:space="0" w:color="auto"/>
                <w:left w:val="none" w:sz="0" w:space="0" w:color="auto"/>
                <w:bottom w:val="none" w:sz="0" w:space="0" w:color="auto"/>
                <w:right w:val="none" w:sz="0" w:space="0" w:color="auto"/>
              </w:divBdr>
            </w:div>
          </w:divsChild>
        </w:div>
        <w:div w:id="1016929170">
          <w:marLeft w:val="0"/>
          <w:marRight w:val="0"/>
          <w:marTop w:val="0"/>
          <w:marBottom w:val="0"/>
          <w:divBdr>
            <w:top w:val="none" w:sz="0" w:space="0" w:color="auto"/>
            <w:left w:val="none" w:sz="0" w:space="0" w:color="auto"/>
            <w:bottom w:val="none" w:sz="0" w:space="0" w:color="auto"/>
            <w:right w:val="none" w:sz="0" w:space="0" w:color="auto"/>
          </w:divBdr>
          <w:divsChild>
            <w:div w:id="725950111">
              <w:marLeft w:val="0"/>
              <w:marRight w:val="0"/>
              <w:marTop w:val="0"/>
              <w:marBottom w:val="0"/>
              <w:divBdr>
                <w:top w:val="none" w:sz="0" w:space="0" w:color="auto"/>
                <w:left w:val="none" w:sz="0" w:space="0" w:color="auto"/>
                <w:bottom w:val="none" w:sz="0" w:space="0" w:color="auto"/>
                <w:right w:val="none" w:sz="0" w:space="0" w:color="auto"/>
              </w:divBdr>
            </w:div>
          </w:divsChild>
        </w:div>
        <w:div w:id="1019892807">
          <w:marLeft w:val="0"/>
          <w:marRight w:val="0"/>
          <w:marTop w:val="0"/>
          <w:marBottom w:val="0"/>
          <w:divBdr>
            <w:top w:val="none" w:sz="0" w:space="0" w:color="auto"/>
            <w:left w:val="none" w:sz="0" w:space="0" w:color="auto"/>
            <w:bottom w:val="none" w:sz="0" w:space="0" w:color="auto"/>
            <w:right w:val="none" w:sz="0" w:space="0" w:color="auto"/>
          </w:divBdr>
          <w:divsChild>
            <w:div w:id="698702619">
              <w:marLeft w:val="0"/>
              <w:marRight w:val="0"/>
              <w:marTop w:val="0"/>
              <w:marBottom w:val="0"/>
              <w:divBdr>
                <w:top w:val="none" w:sz="0" w:space="0" w:color="auto"/>
                <w:left w:val="none" w:sz="0" w:space="0" w:color="auto"/>
                <w:bottom w:val="none" w:sz="0" w:space="0" w:color="auto"/>
                <w:right w:val="none" w:sz="0" w:space="0" w:color="auto"/>
              </w:divBdr>
            </w:div>
          </w:divsChild>
        </w:div>
        <w:div w:id="1021971044">
          <w:marLeft w:val="0"/>
          <w:marRight w:val="0"/>
          <w:marTop w:val="0"/>
          <w:marBottom w:val="0"/>
          <w:divBdr>
            <w:top w:val="none" w:sz="0" w:space="0" w:color="auto"/>
            <w:left w:val="none" w:sz="0" w:space="0" w:color="auto"/>
            <w:bottom w:val="none" w:sz="0" w:space="0" w:color="auto"/>
            <w:right w:val="none" w:sz="0" w:space="0" w:color="auto"/>
          </w:divBdr>
          <w:divsChild>
            <w:div w:id="2116511726">
              <w:marLeft w:val="0"/>
              <w:marRight w:val="0"/>
              <w:marTop w:val="0"/>
              <w:marBottom w:val="0"/>
              <w:divBdr>
                <w:top w:val="none" w:sz="0" w:space="0" w:color="auto"/>
                <w:left w:val="none" w:sz="0" w:space="0" w:color="auto"/>
                <w:bottom w:val="none" w:sz="0" w:space="0" w:color="auto"/>
                <w:right w:val="none" w:sz="0" w:space="0" w:color="auto"/>
              </w:divBdr>
            </w:div>
          </w:divsChild>
        </w:div>
        <w:div w:id="1025597779">
          <w:marLeft w:val="0"/>
          <w:marRight w:val="0"/>
          <w:marTop w:val="0"/>
          <w:marBottom w:val="0"/>
          <w:divBdr>
            <w:top w:val="none" w:sz="0" w:space="0" w:color="auto"/>
            <w:left w:val="none" w:sz="0" w:space="0" w:color="auto"/>
            <w:bottom w:val="none" w:sz="0" w:space="0" w:color="auto"/>
            <w:right w:val="none" w:sz="0" w:space="0" w:color="auto"/>
          </w:divBdr>
          <w:divsChild>
            <w:div w:id="1059019600">
              <w:marLeft w:val="0"/>
              <w:marRight w:val="0"/>
              <w:marTop w:val="0"/>
              <w:marBottom w:val="0"/>
              <w:divBdr>
                <w:top w:val="none" w:sz="0" w:space="0" w:color="auto"/>
                <w:left w:val="none" w:sz="0" w:space="0" w:color="auto"/>
                <w:bottom w:val="none" w:sz="0" w:space="0" w:color="auto"/>
                <w:right w:val="none" w:sz="0" w:space="0" w:color="auto"/>
              </w:divBdr>
            </w:div>
          </w:divsChild>
        </w:div>
        <w:div w:id="1036471734">
          <w:marLeft w:val="0"/>
          <w:marRight w:val="0"/>
          <w:marTop w:val="0"/>
          <w:marBottom w:val="0"/>
          <w:divBdr>
            <w:top w:val="none" w:sz="0" w:space="0" w:color="auto"/>
            <w:left w:val="none" w:sz="0" w:space="0" w:color="auto"/>
            <w:bottom w:val="none" w:sz="0" w:space="0" w:color="auto"/>
            <w:right w:val="none" w:sz="0" w:space="0" w:color="auto"/>
          </w:divBdr>
          <w:divsChild>
            <w:div w:id="392121131">
              <w:marLeft w:val="0"/>
              <w:marRight w:val="0"/>
              <w:marTop w:val="0"/>
              <w:marBottom w:val="0"/>
              <w:divBdr>
                <w:top w:val="none" w:sz="0" w:space="0" w:color="auto"/>
                <w:left w:val="none" w:sz="0" w:space="0" w:color="auto"/>
                <w:bottom w:val="none" w:sz="0" w:space="0" w:color="auto"/>
                <w:right w:val="none" w:sz="0" w:space="0" w:color="auto"/>
              </w:divBdr>
            </w:div>
          </w:divsChild>
        </w:div>
        <w:div w:id="1037000457">
          <w:marLeft w:val="0"/>
          <w:marRight w:val="0"/>
          <w:marTop w:val="0"/>
          <w:marBottom w:val="0"/>
          <w:divBdr>
            <w:top w:val="none" w:sz="0" w:space="0" w:color="auto"/>
            <w:left w:val="none" w:sz="0" w:space="0" w:color="auto"/>
            <w:bottom w:val="none" w:sz="0" w:space="0" w:color="auto"/>
            <w:right w:val="none" w:sz="0" w:space="0" w:color="auto"/>
          </w:divBdr>
          <w:divsChild>
            <w:div w:id="63114696">
              <w:marLeft w:val="0"/>
              <w:marRight w:val="0"/>
              <w:marTop w:val="0"/>
              <w:marBottom w:val="0"/>
              <w:divBdr>
                <w:top w:val="none" w:sz="0" w:space="0" w:color="auto"/>
                <w:left w:val="none" w:sz="0" w:space="0" w:color="auto"/>
                <w:bottom w:val="none" w:sz="0" w:space="0" w:color="auto"/>
                <w:right w:val="none" w:sz="0" w:space="0" w:color="auto"/>
              </w:divBdr>
            </w:div>
          </w:divsChild>
        </w:div>
        <w:div w:id="1047677664">
          <w:marLeft w:val="0"/>
          <w:marRight w:val="0"/>
          <w:marTop w:val="0"/>
          <w:marBottom w:val="0"/>
          <w:divBdr>
            <w:top w:val="none" w:sz="0" w:space="0" w:color="auto"/>
            <w:left w:val="none" w:sz="0" w:space="0" w:color="auto"/>
            <w:bottom w:val="none" w:sz="0" w:space="0" w:color="auto"/>
            <w:right w:val="none" w:sz="0" w:space="0" w:color="auto"/>
          </w:divBdr>
          <w:divsChild>
            <w:div w:id="1026324543">
              <w:marLeft w:val="0"/>
              <w:marRight w:val="0"/>
              <w:marTop w:val="0"/>
              <w:marBottom w:val="0"/>
              <w:divBdr>
                <w:top w:val="none" w:sz="0" w:space="0" w:color="auto"/>
                <w:left w:val="none" w:sz="0" w:space="0" w:color="auto"/>
                <w:bottom w:val="none" w:sz="0" w:space="0" w:color="auto"/>
                <w:right w:val="none" w:sz="0" w:space="0" w:color="auto"/>
              </w:divBdr>
            </w:div>
          </w:divsChild>
        </w:div>
        <w:div w:id="1052388044">
          <w:marLeft w:val="0"/>
          <w:marRight w:val="0"/>
          <w:marTop w:val="0"/>
          <w:marBottom w:val="0"/>
          <w:divBdr>
            <w:top w:val="none" w:sz="0" w:space="0" w:color="auto"/>
            <w:left w:val="none" w:sz="0" w:space="0" w:color="auto"/>
            <w:bottom w:val="none" w:sz="0" w:space="0" w:color="auto"/>
            <w:right w:val="none" w:sz="0" w:space="0" w:color="auto"/>
          </w:divBdr>
          <w:divsChild>
            <w:div w:id="1918519743">
              <w:marLeft w:val="0"/>
              <w:marRight w:val="0"/>
              <w:marTop w:val="0"/>
              <w:marBottom w:val="0"/>
              <w:divBdr>
                <w:top w:val="none" w:sz="0" w:space="0" w:color="auto"/>
                <w:left w:val="none" w:sz="0" w:space="0" w:color="auto"/>
                <w:bottom w:val="none" w:sz="0" w:space="0" w:color="auto"/>
                <w:right w:val="none" w:sz="0" w:space="0" w:color="auto"/>
              </w:divBdr>
            </w:div>
          </w:divsChild>
        </w:div>
        <w:div w:id="1062603732">
          <w:marLeft w:val="0"/>
          <w:marRight w:val="0"/>
          <w:marTop w:val="0"/>
          <w:marBottom w:val="0"/>
          <w:divBdr>
            <w:top w:val="none" w:sz="0" w:space="0" w:color="auto"/>
            <w:left w:val="none" w:sz="0" w:space="0" w:color="auto"/>
            <w:bottom w:val="none" w:sz="0" w:space="0" w:color="auto"/>
            <w:right w:val="none" w:sz="0" w:space="0" w:color="auto"/>
          </w:divBdr>
          <w:divsChild>
            <w:div w:id="1707563603">
              <w:marLeft w:val="0"/>
              <w:marRight w:val="0"/>
              <w:marTop w:val="0"/>
              <w:marBottom w:val="0"/>
              <w:divBdr>
                <w:top w:val="none" w:sz="0" w:space="0" w:color="auto"/>
                <w:left w:val="none" w:sz="0" w:space="0" w:color="auto"/>
                <w:bottom w:val="none" w:sz="0" w:space="0" w:color="auto"/>
                <w:right w:val="none" w:sz="0" w:space="0" w:color="auto"/>
              </w:divBdr>
            </w:div>
          </w:divsChild>
        </w:div>
        <w:div w:id="1065181626">
          <w:marLeft w:val="0"/>
          <w:marRight w:val="0"/>
          <w:marTop w:val="0"/>
          <w:marBottom w:val="0"/>
          <w:divBdr>
            <w:top w:val="none" w:sz="0" w:space="0" w:color="auto"/>
            <w:left w:val="none" w:sz="0" w:space="0" w:color="auto"/>
            <w:bottom w:val="none" w:sz="0" w:space="0" w:color="auto"/>
            <w:right w:val="none" w:sz="0" w:space="0" w:color="auto"/>
          </w:divBdr>
          <w:divsChild>
            <w:div w:id="1367178631">
              <w:marLeft w:val="0"/>
              <w:marRight w:val="0"/>
              <w:marTop w:val="0"/>
              <w:marBottom w:val="0"/>
              <w:divBdr>
                <w:top w:val="none" w:sz="0" w:space="0" w:color="auto"/>
                <w:left w:val="none" w:sz="0" w:space="0" w:color="auto"/>
                <w:bottom w:val="none" w:sz="0" w:space="0" w:color="auto"/>
                <w:right w:val="none" w:sz="0" w:space="0" w:color="auto"/>
              </w:divBdr>
            </w:div>
          </w:divsChild>
        </w:div>
        <w:div w:id="1065224258">
          <w:marLeft w:val="0"/>
          <w:marRight w:val="0"/>
          <w:marTop w:val="0"/>
          <w:marBottom w:val="0"/>
          <w:divBdr>
            <w:top w:val="none" w:sz="0" w:space="0" w:color="auto"/>
            <w:left w:val="none" w:sz="0" w:space="0" w:color="auto"/>
            <w:bottom w:val="none" w:sz="0" w:space="0" w:color="auto"/>
            <w:right w:val="none" w:sz="0" w:space="0" w:color="auto"/>
          </w:divBdr>
          <w:divsChild>
            <w:div w:id="2106148877">
              <w:marLeft w:val="0"/>
              <w:marRight w:val="0"/>
              <w:marTop w:val="0"/>
              <w:marBottom w:val="0"/>
              <w:divBdr>
                <w:top w:val="none" w:sz="0" w:space="0" w:color="auto"/>
                <w:left w:val="none" w:sz="0" w:space="0" w:color="auto"/>
                <w:bottom w:val="none" w:sz="0" w:space="0" w:color="auto"/>
                <w:right w:val="none" w:sz="0" w:space="0" w:color="auto"/>
              </w:divBdr>
            </w:div>
          </w:divsChild>
        </w:div>
        <w:div w:id="1068697860">
          <w:marLeft w:val="0"/>
          <w:marRight w:val="0"/>
          <w:marTop w:val="0"/>
          <w:marBottom w:val="0"/>
          <w:divBdr>
            <w:top w:val="none" w:sz="0" w:space="0" w:color="auto"/>
            <w:left w:val="none" w:sz="0" w:space="0" w:color="auto"/>
            <w:bottom w:val="none" w:sz="0" w:space="0" w:color="auto"/>
            <w:right w:val="none" w:sz="0" w:space="0" w:color="auto"/>
          </w:divBdr>
          <w:divsChild>
            <w:div w:id="134373995">
              <w:marLeft w:val="0"/>
              <w:marRight w:val="0"/>
              <w:marTop w:val="0"/>
              <w:marBottom w:val="0"/>
              <w:divBdr>
                <w:top w:val="none" w:sz="0" w:space="0" w:color="auto"/>
                <w:left w:val="none" w:sz="0" w:space="0" w:color="auto"/>
                <w:bottom w:val="none" w:sz="0" w:space="0" w:color="auto"/>
                <w:right w:val="none" w:sz="0" w:space="0" w:color="auto"/>
              </w:divBdr>
            </w:div>
          </w:divsChild>
        </w:div>
        <w:div w:id="1069302495">
          <w:marLeft w:val="0"/>
          <w:marRight w:val="0"/>
          <w:marTop w:val="0"/>
          <w:marBottom w:val="0"/>
          <w:divBdr>
            <w:top w:val="none" w:sz="0" w:space="0" w:color="auto"/>
            <w:left w:val="none" w:sz="0" w:space="0" w:color="auto"/>
            <w:bottom w:val="none" w:sz="0" w:space="0" w:color="auto"/>
            <w:right w:val="none" w:sz="0" w:space="0" w:color="auto"/>
          </w:divBdr>
          <w:divsChild>
            <w:div w:id="1016617088">
              <w:marLeft w:val="0"/>
              <w:marRight w:val="0"/>
              <w:marTop w:val="0"/>
              <w:marBottom w:val="0"/>
              <w:divBdr>
                <w:top w:val="none" w:sz="0" w:space="0" w:color="auto"/>
                <w:left w:val="none" w:sz="0" w:space="0" w:color="auto"/>
                <w:bottom w:val="none" w:sz="0" w:space="0" w:color="auto"/>
                <w:right w:val="none" w:sz="0" w:space="0" w:color="auto"/>
              </w:divBdr>
            </w:div>
            <w:div w:id="1400245157">
              <w:marLeft w:val="0"/>
              <w:marRight w:val="0"/>
              <w:marTop w:val="0"/>
              <w:marBottom w:val="0"/>
              <w:divBdr>
                <w:top w:val="none" w:sz="0" w:space="0" w:color="auto"/>
                <w:left w:val="none" w:sz="0" w:space="0" w:color="auto"/>
                <w:bottom w:val="none" w:sz="0" w:space="0" w:color="auto"/>
                <w:right w:val="none" w:sz="0" w:space="0" w:color="auto"/>
              </w:divBdr>
            </w:div>
            <w:div w:id="1423530188">
              <w:marLeft w:val="0"/>
              <w:marRight w:val="0"/>
              <w:marTop w:val="0"/>
              <w:marBottom w:val="0"/>
              <w:divBdr>
                <w:top w:val="none" w:sz="0" w:space="0" w:color="auto"/>
                <w:left w:val="none" w:sz="0" w:space="0" w:color="auto"/>
                <w:bottom w:val="none" w:sz="0" w:space="0" w:color="auto"/>
                <w:right w:val="none" w:sz="0" w:space="0" w:color="auto"/>
              </w:divBdr>
            </w:div>
          </w:divsChild>
        </w:div>
        <w:div w:id="1070033550">
          <w:marLeft w:val="0"/>
          <w:marRight w:val="0"/>
          <w:marTop w:val="0"/>
          <w:marBottom w:val="0"/>
          <w:divBdr>
            <w:top w:val="none" w:sz="0" w:space="0" w:color="auto"/>
            <w:left w:val="none" w:sz="0" w:space="0" w:color="auto"/>
            <w:bottom w:val="none" w:sz="0" w:space="0" w:color="auto"/>
            <w:right w:val="none" w:sz="0" w:space="0" w:color="auto"/>
          </w:divBdr>
          <w:divsChild>
            <w:div w:id="1241215553">
              <w:marLeft w:val="0"/>
              <w:marRight w:val="0"/>
              <w:marTop w:val="0"/>
              <w:marBottom w:val="0"/>
              <w:divBdr>
                <w:top w:val="none" w:sz="0" w:space="0" w:color="auto"/>
                <w:left w:val="none" w:sz="0" w:space="0" w:color="auto"/>
                <w:bottom w:val="none" w:sz="0" w:space="0" w:color="auto"/>
                <w:right w:val="none" w:sz="0" w:space="0" w:color="auto"/>
              </w:divBdr>
            </w:div>
          </w:divsChild>
        </w:div>
        <w:div w:id="1072703266">
          <w:marLeft w:val="0"/>
          <w:marRight w:val="0"/>
          <w:marTop w:val="0"/>
          <w:marBottom w:val="0"/>
          <w:divBdr>
            <w:top w:val="none" w:sz="0" w:space="0" w:color="auto"/>
            <w:left w:val="none" w:sz="0" w:space="0" w:color="auto"/>
            <w:bottom w:val="none" w:sz="0" w:space="0" w:color="auto"/>
            <w:right w:val="none" w:sz="0" w:space="0" w:color="auto"/>
          </w:divBdr>
          <w:divsChild>
            <w:div w:id="39213563">
              <w:marLeft w:val="0"/>
              <w:marRight w:val="0"/>
              <w:marTop w:val="0"/>
              <w:marBottom w:val="0"/>
              <w:divBdr>
                <w:top w:val="none" w:sz="0" w:space="0" w:color="auto"/>
                <w:left w:val="none" w:sz="0" w:space="0" w:color="auto"/>
                <w:bottom w:val="none" w:sz="0" w:space="0" w:color="auto"/>
                <w:right w:val="none" w:sz="0" w:space="0" w:color="auto"/>
              </w:divBdr>
            </w:div>
            <w:div w:id="437917182">
              <w:marLeft w:val="0"/>
              <w:marRight w:val="0"/>
              <w:marTop w:val="0"/>
              <w:marBottom w:val="0"/>
              <w:divBdr>
                <w:top w:val="none" w:sz="0" w:space="0" w:color="auto"/>
                <w:left w:val="none" w:sz="0" w:space="0" w:color="auto"/>
                <w:bottom w:val="none" w:sz="0" w:space="0" w:color="auto"/>
                <w:right w:val="none" w:sz="0" w:space="0" w:color="auto"/>
              </w:divBdr>
            </w:div>
          </w:divsChild>
        </w:div>
        <w:div w:id="1078862069">
          <w:marLeft w:val="0"/>
          <w:marRight w:val="0"/>
          <w:marTop w:val="0"/>
          <w:marBottom w:val="0"/>
          <w:divBdr>
            <w:top w:val="none" w:sz="0" w:space="0" w:color="auto"/>
            <w:left w:val="none" w:sz="0" w:space="0" w:color="auto"/>
            <w:bottom w:val="none" w:sz="0" w:space="0" w:color="auto"/>
            <w:right w:val="none" w:sz="0" w:space="0" w:color="auto"/>
          </w:divBdr>
          <w:divsChild>
            <w:div w:id="1967854942">
              <w:marLeft w:val="0"/>
              <w:marRight w:val="0"/>
              <w:marTop w:val="0"/>
              <w:marBottom w:val="0"/>
              <w:divBdr>
                <w:top w:val="none" w:sz="0" w:space="0" w:color="auto"/>
                <w:left w:val="none" w:sz="0" w:space="0" w:color="auto"/>
                <w:bottom w:val="none" w:sz="0" w:space="0" w:color="auto"/>
                <w:right w:val="none" w:sz="0" w:space="0" w:color="auto"/>
              </w:divBdr>
            </w:div>
          </w:divsChild>
        </w:div>
        <w:div w:id="1081369238">
          <w:marLeft w:val="0"/>
          <w:marRight w:val="0"/>
          <w:marTop w:val="0"/>
          <w:marBottom w:val="0"/>
          <w:divBdr>
            <w:top w:val="none" w:sz="0" w:space="0" w:color="auto"/>
            <w:left w:val="none" w:sz="0" w:space="0" w:color="auto"/>
            <w:bottom w:val="none" w:sz="0" w:space="0" w:color="auto"/>
            <w:right w:val="none" w:sz="0" w:space="0" w:color="auto"/>
          </w:divBdr>
          <w:divsChild>
            <w:div w:id="1498569342">
              <w:marLeft w:val="0"/>
              <w:marRight w:val="0"/>
              <w:marTop w:val="0"/>
              <w:marBottom w:val="0"/>
              <w:divBdr>
                <w:top w:val="none" w:sz="0" w:space="0" w:color="auto"/>
                <w:left w:val="none" w:sz="0" w:space="0" w:color="auto"/>
                <w:bottom w:val="none" w:sz="0" w:space="0" w:color="auto"/>
                <w:right w:val="none" w:sz="0" w:space="0" w:color="auto"/>
              </w:divBdr>
            </w:div>
          </w:divsChild>
        </w:div>
        <w:div w:id="1081684712">
          <w:marLeft w:val="0"/>
          <w:marRight w:val="0"/>
          <w:marTop w:val="0"/>
          <w:marBottom w:val="0"/>
          <w:divBdr>
            <w:top w:val="none" w:sz="0" w:space="0" w:color="auto"/>
            <w:left w:val="none" w:sz="0" w:space="0" w:color="auto"/>
            <w:bottom w:val="none" w:sz="0" w:space="0" w:color="auto"/>
            <w:right w:val="none" w:sz="0" w:space="0" w:color="auto"/>
          </w:divBdr>
          <w:divsChild>
            <w:div w:id="61296947">
              <w:marLeft w:val="0"/>
              <w:marRight w:val="0"/>
              <w:marTop w:val="0"/>
              <w:marBottom w:val="0"/>
              <w:divBdr>
                <w:top w:val="none" w:sz="0" w:space="0" w:color="auto"/>
                <w:left w:val="none" w:sz="0" w:space="0" w:color="auto"/>
                <w:bottom w:val="none" w:sz="0" w:space="0" w:color="auto"/>
                <w:right w:val="none" w:sz="0" w:space="0" w:color="auto"/>
              </w:divBdr>
            </w:div>
          </w:divsChild>
        </w:div>
        <w:div w:id="1082097540">
          <w:marLeft w:val="0"/>
          <w:marRight w:val="0"/>
          <w:marTop w:val="0"/>
          <w:marBottom w:val="0"/>
          <w:divBdr>
            <w:top w:val="none" w:sz="0" w:space="0" w:color="auto"/>
            <w:left w:val="none" w:sz="0" w:space="0" w:color="auto"/>
            <w:bottom w:val="none" w:sz="0" w:space="0" w:color="auto"/>
            <w:right w:val="none" w:sz="0" w:space="0" w:color="auto"/>
          </w:divBdr>
          <w:divsChild>
            <w:div w:id="573399452">
              <w:marLeft w:val="0"/>
              <w:marRight w:val="0"/>
              <w:marTop w:val="0"/>
              <w:marBottom w:val="0"/>
              <w:divBdr>
                <w:top w:val="none" w:sz="0" w:space="0" w:color="auto"/>
                <w:left w:val="none" w:sz="0" w:space="0" w:color="auto"/>
                <w:bottom w:val="none" w:sz="0" w:space="0" w:color="auto"/>
                <w:right w:val="none" w:sz="0" w:space="0" w:color="auto"/>
              </w:divBdr>
            </w:div>
          </w:divsChild>
        </w:div>
        <w:div w:id="1084297989">
          <w:marLeft w:val="0"/>
          <w:marRight w:val="0"/>
          <w:marTop w:val="0"/>
          <w:marBottom w:val="0"/>
          <w:divBdr>
            <w:top w:val="none" w:sz="0" w:space="0" w:color="auto"/>
            <w:left w:val="none" w:sz="0" w:space="0" w:color="auto"/>
            <w:bottom w:val="none" w:sz="0" w:space="0" w:color="auto"/>
            <w:right w:val="none" w:sz="0" w:space="0" w:color="auto"/>
          </w:divBdr>
          <w:divsChild>
            <w:div w:id="240648360">
              <w:marLeft w:val="0"/>
              <w:marRight w:val="0"/>
              <w:marTop w:val="0"/>
              <w:marBottom w:val="0"/>
              <w:divBdr>
                <w:top w:val="none" w:sz="0" w:space="0" w:color="auto"/>
                <w:left w:val="none" w:sz="0" w:space="0" w:color="auto"/>
                <w:bottom w:val="none" w:sz="0" w:space="0" w:color="auto"/>
                <w:right w:val="none" w:sz="0" w:space="0" w:color="auto"/>
              </w:divBdr>
            </w:div>
          </w:divsChild>
        </w:div>
        <w:div w:id="1087654937">
          <w:marLeft w:val="0"/>
          <w:marRight w:val="0"/>
          <w:marTop w:val="0"/>
          <w:marBottom w:val="0"/>
          <w:divBdr>
            <w:top w:val="none" w:sz="0" w:space="0" w:color="auto"/>
            <w:left w:val="none" w:sz="0" w:space="0" w:color="auto"/>
            <w:bottom w:val="none" w:sz="0" w:space="0" w:color="auto"/>
            <w:right w:val="none" w:sz="0" w:space="0" w:color="auto"/>
          </w:divBdr>
          <w:divsChild>
            <w:div w:id="240876144">
              <w:marLeft w:val="0"/>
              <w:marRight w:val="0"/>
              <w:marTop w:val="0"/>
              <w:marBottom w:val="0"/>
              <w:divBdr>
                <w:top w:val="none" w:sz="0" w:space="0" w:color="auto"/>
                <w:left w:val="none" w:sz="0" w:space="0" w:color="auto"/>
                <w:bottom w:val="none" w:sz="0" w:space="0" w:color="auto"/>
                <w:right w:val="none" w:sz="0" w:space="0" w:color="auto"/>
              </w:divBdr>
            </w:div>
          </w:divsChild>
        </w:div>
        <w:div w:id="1091925044">
          <w:marLeft w:val="0"/>
          <w:marRight w:val="0"/>
          <w:marTop w:val="0"/>
          <w:marBottom w:val="0"/>
          <w:divBdr>
            <w:top w:val="none" w:sz="0" w:space="0" w:color="auto"/>
            <w:left w:val="none" w:sz="0" w:space="0" w:color="auto"/>
            <w:bottom w:val="none" w:sz="0" w:space="0" w:color="auto"/>
            <w:right w:val="none" w:sz="0" w:space="0" w:color="auto"/>
          </w:divBdr>
          <w:divsChild>
            <w:div w:id="1840805981">
              <w:marLeft w:val="0"/>
              <w:marRight w:val="0"/>
              <w:marTop w:val="0"/>
              <w:marBottom w:val="0"/>
              <w:divBdr>
                <w:top w:val="none" w:sz="0" w:space="0" w:color="auto"/>
                <w:left w:val="none" w:sz="0" w:space="0" w:color="auto"/>
                <w:bottom w:val="none" w:sz="0" w:space="0" w:color="auto"/>
                <w:right w:val="none" w:sz="0" w:space="0" w:color="auto"/>
              </w:divBdr>
            </w:div>
          </w:divsChild>
        </w:div>
        <w:div w:id="1102654288">
          <w:marLeft w:val="0"/>
          <w:marRight w:val="0"/>
          <w:marTop w:val="0"/>
          <w:marBottom w:val="0"/>
          <w:divBdr>
            <w:top w:val="none" w:sz="0" w:space="0" w:color="auto"/>
            <w:left w:val="none" w:sz="0" w:space="0" w:color="auto"/>
            <w:bottom w:val="none" w:sz="0" w:space="0" w:color="auto"/>
            <w:right w:val="none" w:sz="0" w:space="0" w:color="auto"/>
          </w:divBdr>
          <w:divsChild>
            <w:div w:id="1481338536">
              <w:marLeft w:val="0"/>
              <w:marRight w:val="0"/>
              <w:marTop w:val="0"/>
              <w:marBottom w:val="0"/>
              <w:divBdr>
                <w:top w:val="none" w:sz="0" w:space="0" w:color="auto"/>
                <w:left w:val="none" w:sz="0" w:space="0" w:color="auto"/>
                <w:bottom w:val="none" w:sz="0" w:space="0" w:color="auto"/>
                <w:right w:val="none" w:sz="0" w:space="0" w:color="auto"/>
              </w:divBdr>
            </w:div>
          </w:divsChild>
        </w:div>
        <w:div w:id="1112749629">
          <w:marLeft w:val="0"/>
          <w:marRight w:val="0"/>
          <w:marTop w:val="0"/>
          <w:marBottom w:val="0"/>
          <w:divBdr>
            <w:top w:val="none" w:sz="0" w:space="0" w:color="auto"/>
            <w:left w:val="none" w:sz="0" w:space="0" w:color="auto"/>
            <w:bottom w:val="none" w:sz="0" w:space="0" w:color="auto"/>
            <w:right w:val="none" w:sz="0" w:space="0" w:color="auto"/>
          </w:divBdr>
          <w:divsChild>
            <w:div w:id="280187985">
              <w:marLeft w:val="0"/>
              <w:marRight w:val="0"/>
              <w:marTop w:val="0"/>
              <w:marBottom w:val="0"/>
              <w:divBdr>
                <w:top w:val="none" w:sz="0" w:space="0" w:color="auto"/>
                <w:left w:val="none" w:sz="0" w:space="0" w:color="auto"/>
                <w:bottom w:val="none" w:sz="0" w:space="0" w:color="auto"/>
                <w:right w:val="none" w:sz="0" w:space="0" w:color="auto"/>
              </w:divBdr>
            </w:div>
          </w:divsChild>
        </w:div>
        <w:div w:id="1114013218">
          <w:marLeft w:val="0"/>
          <w:marRight w:val="0"/>
          <w:marTop w:val="0"/>
          <w:marBottom w:val="0"/>
          <w:divBdr>
            <w:top w:val="none" w:sz="0" w:space="0" w:color="auto"/>
            <w:left w:val="none" w:sz="0" w:space="0" w:color="auto"/>
            <w:bottom w:val="none" w:sz="0" w:space="0" w:color="auto"/>
            <w:right w:val="none" w:sz="0" w:space="0" w:color="auto"/>
          </w:divBdr>
          <w:divsChild>
            <w:div w:id="1553419291">
              <w:marLeft w:val="0"/>
              <w:marRight w:val="0"/>
              <w:marTop w:val="0"/>
              <w:marBottom w:val="0"/>
              <w:divBdr>
                <w:top w:val="none" w:sz="0" w:space="0" w:color="auto"/>
                <w:left w:val="none" w:sz="0" w:space="0" w:color="auto"/>
                <w:bottom w:val="none" w:sz="0" w:space="0" w:color="auto"/>
                <w:right w:val="none" w:sz="0" w:space="0" w:color="auto"/>
              </w:divBdr>
            </w:div>
          </w:divsChild>
        </w:div>
        <w:div w:id="1128862516">
          <w:marLeft w:val="0"/>
          <w:marRight w:val="0"/>
          <w:marTop w:val="0"/>
          <w:marBottom w:val="0"/>
          <w:divBdr>
            <w:top w:val="none" w:sz="0" w:space="0" w:color="auto"/>
            <w:left w:val="none" w:sz="0" w:space="0" w:color="auto"/>
            <w:bottom w:val="none" w:sz="0" w:space="0" w:color="auto"/>
            <w:right w:val="none" w:sz="0" w:space="0" w:color="auto"/>
          </w:divBdr>
          <w:divsChild>
            <w:div w:id="1747848385">
              <w:marLeft w:val="0"/>
              <w:marRight w:val="0"/>
              <w:marTop w:val="0"/>
              <w:marBottom w:val="0"/>
              <w:divBdr>
                <w:top w:val="none" w:sz="0" w:space="0" w:color="auto"/>
                <w:left w:val="none" w:sz="0" w:space="0" w:color="auto"/>
                <w:bottom w:val="none" w:sz="0" w:space="0" w:color="auto"/>
                <w:right w:val="none" w:sz="0" w:space="0" w:color="auto"/>
              </w:divBdr>
            </w:div>
          </w:divsChild>
        </w:div>
        <w:div w:id="1141656401">
          <w:marLeft w:val="0"/>
          <w:marRight w:val="0"/>
          <w:marTop w:val="0"/>
          <w:marBottom w:val="0"/>
          <w:divBdr>
            <w:top w:val="none" w:sz="0" w:space="0" w:color="auto"/>
            <w:left w:val="none" w:sz="0" w:space="0" w:color="auto"/>
            <w:bottom w:val="none" w:sz="0" w:space="0" w:color="auto"/>
            <w:right w:val="none" w:sz="0" w:space="0" w:color="auto"/>
          </w:divBdr>
          <w:divsChild>
            <w:div w:id="1830293934">
              <w:marLeft w:val="0"/>
              <w:marRight w:val="0"/>
              <w:marTop w:val="0"/>
              <w:marBottom w:val="0"/>
              <w:divBdr>
                <w:top w:val="none" w:sz="0" w:space="0" w:color="auto"/>
                <w:left w:val="none" w:sz="0" w:space="0" w:color="auto"/>
                <w:bottom w:val="none" w:sz="0" w:space="0" w:color="auto"/>
                <w:right w:val="none" w:sz="0" w:space="0" w:color="auto"/>
              </w:divBdr>
            </w:div>
          </w:divsChild>
        </w:div>
        <w:div w:id="1155487830">
          <w:marLeft w:val="0"/>
          <w:marRight w:val="0"/>
          <w:marTop w:val="0"/>
          <w:marBottom w:val="0"/>
          <w:divBdr>
            <w:top w:val="none" w:sz="0" w:space="0" w:color="auto"/>
            <w:left w:val="none" w:sz="0" w:space="0" w:color="auto"/>
            <w:bottom w:val="none" w:sz="0" w:space="0" w:color="auto"/>
            <w:right w:val="none" w:sz="0" w:space="0" w:color="auto"/>
          </w:divBdr>
          <w:divsChild>
            <w:div w:id="2010478542">
              <w:marLeft w:val="0"/>
              <w:marRight w:val="0"/>
              <w:marTop w:val="0"/>
              <w:marBottom w:val="0"/>
              <w:divBdr>
                <w:top w:val="none" w:sz="0" w:space="0" w:color="auto"/>
                <w:left w:val="none" w:sz="0" w:space="0" w:color="auto"/>
                <w:bottom w:val="none" w:sz="0" w:space="0" w:color="auto"/>
                <w:right w:val="none" w:sz="0" w:space="0" w:color="auto"/>
              </w:divBdr>
            </w:div>
          </w:divsChild>
        </w:div>
        <w:div w:id="1160737044">
          <w:marLeft w:val="0"/>
          <w:marRight w:val="0"/>
          <w:marTop w:val="0"/>
          <w:marBottom w:val="0"/>
          <w:divBdr>
            <w:top w:val="none" w:sz="0" w:space="0" w:color="auto"/>
            <w:left w:val="none" w:sz="0" w:space="0" w:color="auto"/>
            <w:bottom w:val="none" w:sz="0" w:space="0" w:color="auto"/>
            <w:right w:val="none" w:sz="0" w:space="0" w:color="auto"/>
          </w:divBdr>
          <w:divsChild>
            <w:div w:id="1237784956">
              <w:marLeft w:val="0"/>
              <w:marRight w:val="0"/>
              <w:marTop w:val="0"/>
              <w:marBottom w:val="0"/>
              <w:divBdr>
                <w:top w:val="none" w:sz="0" w:space="0" w:color="auto"/>
                <w:left w:val="none" w:sz="0" w:space="0" w:color="auto"/>
                <w:bottom w:val="none" w:sz="0" w:space="0" w:color="auto"/>
                <w:right w:val="none" w:sz="0" w:space="0" w:color="auto"/>
              </w:divBdr>
            </w:div>
          </w:divsChild>
        </w:div>
        <w:div w:id="1161195756">
          <w:marLeft w:val="0"/>
          <w:marRight w:val="0"/>
          <w:marTop w:val="0"/>
          <w:marBottom w:val="0"/>
          <w:divBdr>
            <w:top w:val="none" w:sz="0" w:space="0" w:color="auto"/>
            <w:left w:val="none" w:sz="0" w:space="0" w:color="auto"/>
            <w:bottom w:val="none" w:sz="0" w:space="0" w:color="auto"/>
            <w:right w:val="none" w:sz="0" w:space="0" w:color="auto"/>
          </w:divBdr>
          <w:divsChild>
            <w:div w:id="1093742310">
              <w:marLeft w:val="0"/>
              <w:marRight w:val="0"/>
              <w:marTop w:val="0"/>
              <w:marBottom w:val="0"/>
              <w:divBdr>
                <w:top w:val="none" w:sz="0" w:space="0" w:color="auto"/>
                <w:left w:val="none" w:sz="0" w:space="0" w:color="auto"/>
                <w:bottom w:val="none" w:sz="0" w:space="0" w:color="auto"/>
                <w:right w:val="none" w:sz="0" w:space="0" w:color="auto"/>
              </w:divBdr>
            </w:div>
          </w:divsChild>
        </w:div>
        <w:div w:id="1163861595">
          <w:marLeft w:val="0"/>
          <w:marRight w:val="0"/>
          <w:marTop w:val="0"/>
          <w:marBottom w:val="0"/>
          <w:divBdr>
            <w:top w:val="none" w:sz="0" w:space="0" w:color="auto"/>
            <w:left w:val="none" w:sz="0" w:space="0" w:color="auto"/>
            <w:bottom w:val="none" w:sz="0" w:space="0" w:color="auto"/>
            <w:right w:val="none" w:sz="0" w:space="0" w:color="auto"/>
          </w:divBdr>
          <w:divsChild>
            <w:div w:id="234553362">
              <w:marLeft w:val="0"/>
              <w:marRight w:val="0"/>
              <w:marTop w:val="0"/>
              <w:marBottom w:val="0"/>
              <w:divBdr>
                <w:top w:val="none" w:sz="0" w:space="0" w:color="auto"/>
                <w:left w:val="none" w:sz="0" w:space="0" w:color="auto"/>
                <w:bottom w:val="none" w:sz="0" w:space="0" w:color="auto"/>
                <w:right w:val="none" w:sz="0" w:space="0" w:color="auto"/>
              </w:divBdr>
            </w:div>
          </w:divsChild>
        </w:div>
        <w:div w:id="1168908132">
          <w:marLeft w:val="0"/>
          <w:marRight w:val="0"/>
          <w:marTop w:val="0"/>
          <w:marBottom w:val="0"/>
          <w:divBdr>
            <w:top w:val="none" w:sz="0" w:space="0" w:color="auto"/>
            <w:left w:val="none" w:sz="0" w:space="0" w:color="auto"/>
            <w:bottom w:val="none" w:sz="0" w:space="0" w:color="auto"/>
            <w:right w:val="none" w:sz="0" w:space="0" w:color="auto"/>
          </w:divBdr>
          <w:divsChild>
            <w:div w:id="1716345644">
              <w:marLeft w:val="0"/>
              <w:marRight w:val="0"/>
              <w:marTop w:val="0"/>
              <w:marBottom w:val="0"/>
              <w:divBdr>
                <w:top w:val="none" w:sz="0" w:space="0" w:color="auto"/>
                <w:left w:val="none" w:sz="0" w:space="0" w:color="auto"/>
                <w:bottom w:val="none" w:sz="0" w:space="0" w:color="auto"/>
                <w:right w:val="none" w:sz="0" w:space="0" w:color="auto"/>
              </w:divBdr>
            </w:div>
          </w:divsChild>
        </w:div>
        <w:div w:id="1174109019">
          <w:marLeft w:val="0"/>
          <w:marRight w:val="0"/>
          <w:marTop w:val="0"/>
          <w:marBottom w:val="0"/>
          <w:divBdr>
            <w:top w:val="none" w:sz="0" w:space="0" w:color="auto"/>
            <w:left w:val="none" w:sz="0" w:space="0" w:color="auto"/>
            <w:bottom w:val="none" w:sz="0" w:space="0" w:color="auto"/>
            <w:right w:val="none" w:sz="0" w:space="0" w:color="auto"/>
          </w:divBdr>
          <w:divsChild>
            <w:div w:id="1242910190">
              <w:marLeft w:val="0"/>
              <w:marRight w:val="0"/>
              <w:marTop w:val="0"/>
              <w:marBottom w:val="0"/>
              <w:divBdr>
                <w:top w:val="none" w:sz="0" w:space="0" w:color="auto"/>
                <w:left w:val="none" w:sz="0" w:space="0" w:color="auto"/>
                <w:bottom w:val="none" w:sz="0" w:space="0" w:color="auto"/>
                <w:right w:val="none" w:sz="0" w:space="0" w:color="auto"/>
              </w:divBdr>
            </w:div>
          </w:divsChild>
        </w:div>
        <w:div w:id="1175651391">
          <w:marLeft w:val="0"/>
          <w:marRight w:val="0"/>
          <w:marTop w:val="0"/>
          <w:marBottom w:val="0"/>
          <w:divBdr>
            <w:top w:val="none" w:sz="0" w:space="0" w:color="auto"/>
            <w:left w:val="none" w:sz="0" w:space="0" w:color="auto"/>
            <w:bottom w:val="none" w:sz="0" w:space="0" w:color="auto"/>
            <w:right w:val="none" w:sz="0" w:space="0" w:color="auto"/>
          </w:divBdr>
          <w:divsChild>
            <w:div w:id="1542398851">
              <w:marLeft w:val="0"/>
              <w:marRight w:val="0"/>
              <w:marTop w:val="0"/>
              <w:marBottom w:val="0"/>
              <w:divBdr>
                <w:top w:val="none" w:sz="0" w:space="0" w:color="auto"/>
                <w:left w:val="none" w:sz="0" w:space="0" w:color="auto"/>
                <w:bottom w:val="none" w:sz="0" w:space="0" w:color="auto"/>
                <w:right w:val="none" w:sz="0" w:space="0" w:color="auto"/>
              </w:divBdr>
            </w:div>
            <w:div w:id="1805807282">
              <w:marLeft w:val="0"/>
              <w:marRight w:val="0"/>
              <w:marTop w:val="0"/>
              <w:marBottom w:val="0"/>
              <w:divBdr>
                <w:top w:val="none" w:sz="0" w:space="0" w:color="auto"/>
                <w:left w:val="none" w:sz="0" w:space="0" w:color="auto"/>
                <w:bottom w:val="none" w:sz="0" w:space="0" w:color="auto"/>
                <w:right w:val="none" w:sz="0" w:space="0" w:color="auto"/>
              </w:divBdr>
            </w:div>
          </w:divsChild>
        </w:div>
        <w:div w:id="1195921103">
          <w:marLeft w:val="0"/>
          <w:marRight w:val="0"/>
          <w:marTop w:val="0"/>
          <w:marBottom w:val="0"/>
          <w:divBdr>
            <w:top w:val="none" w:sz="0" w:space="0" w:color="auto"/>
            <w:left w:val="none" w:sz="0" w:space="0" w:color="auto"/>
            <w:bottom w:val="none" w:sz="0" w:space="0" w:color="auto"/>
            <w:right w:val="none" w:sz="0" w:space="0" w:color="auto"/>
          </w:divBdr>
          <w:divsChild>
            <w:div w:id="1786195546">
              <w:marLeft w:val="0"/>
              <w:marRight w:val="0"/>
              <w:marTop w:val="0"/>
              <w:marBottom w:val="0"/>
              <w:divBdr>
                <w:top w:val="none" w:sz="0" w:space="0" w:color="auto"/>
                <w:left w:val="none" w:sz="0" w:space="0" w:color="auto"/>
                <w:bottom w:val="none" w:sz="0" w:space="0" w:color="auto"/>
                <w:right w:val="none" w:sz="0" w:space="0" w:color="auto"/>
              </w:divBdr>
            </w:div>
          </w:divsChild>
        </w:div>
        <w:div w:id="1197306786">
          <w:marLeft w:val="0"/>
          <w:marRight w:val="0"/>
          <w:marTop w:val="0"/>
          <w:marBottom w:val="0"/>
          <w:divBdr>
            <w:top w:val="none" w:sz="0" w:space="0" w:color="auto"/>
            <w:left w:val="none" w:sz="0" w:space="0" w:color="auto"/>
            <w:bottom w:val="none" w:sz="0" w:space="0" w:color="auto"/>
            <w:right w:val="none" w:sz="0" w:space="0" w:color="auto"/>
          </w:divBdr>
          <w:divsChild>
            <w:div w:id="560025501">
              <w:marLeft w:val="0"/>
              <w:marRight w:val="0"/>
              <w:marTop w:val="0"/>
              <w:marBottom w:val="0"/>
              <w:divBdr>
                <w:top w:val="none" w:sz="0" w:space="0" w:color="auto"/>
                <w:left w:val="none" w:sz="0" w:space="0" w:color="auto"/>
                <w:bottom w:val="none" w:sz="0" w:space="0" w:color="auto"/>
                <w:right w:val="none" w:sz="0" w:space="0" w:color="auto"/>
              </w:divBdr>
            </w:div>
          </w:divsChild>
        </w:div>
        <w:div w:id="1209688771">
          <w:marLeft w:val="0"/>
          <w:marRight w:val="0"/>
          <w:marTop w:val="0"/>
          <w:marBottom w:val="0"/>
          <w:divBdr>
            <w:top w:val="none" w:sz="0" w:space="0" w:color="auto"/>
            <w:left w:val="none" w:sz="0" w:space="0" w:color="auto"/>
            <w:bottom w:val="none" w:sz="0" w:space="0" w:color="auto"/>
            <w:right w:val="none" w:sz="0" w:space="0" w:color="auto"/>
          </w:divBdr>
          <w:divsChild>
            <w:div w:id="845631228">
              <w:marLeft w:val="0"/>
              <w:marRight w:val="0"/>
              <w:marTop w:val="0"/>
              <w:marBottom w:val="0"/>
              <w:divBdr>
                <w:top w:val="none" w:sz="0" w:space="0" w:color="auto"/>
                <w:left w:val="none" w:sz="0" w:space="0" w:color="auto"/>
                <w:bottom w:val="none" w:sz="0" w:space="0" w:color="auto"/>
                <w:right w:val="none" w:sz="0" w:space="0" w:color="auto"/>
              </w:divBdr>
            </w:div>
          </w:divsChild>
        </w:div>
        <w:div w:id="1214851061">
          <w:marLeft w:val="0"/>
          <w:marRight w:val="0"/>
          <w:marTop w:val="0"/>
          <w:marBottom w:val="0"/>
          <w:divBdr>
            <w:top w:val="none" w:sz="0" w:space="0" w:color="auto"/>
            <w:left w:val="none" w:sz="0" w:space="0" w:color="auto"/>
            <w:bottom w:val="none" w:sz="0" w:space="0" w:color="auto"/>
            <w:right w:val="none" w:sz="0" w:space="0" w:color="auto"/>
          </w:divBdr>
          <w:divsChild>
            <w:div w:id="1929652105">
              <w:marLeft w:val="0"/>
              <w:marRight w:val="0"/>
              <w:marTop w:val="0"/>
              <w:marBottom w:val="0"/>
              <w:divBdr>
                <w:top w:val="none" w:sz="0" w:space="0" w:color="auto"/>
                <w:left w:val="none" w:sz="0" w:space="0" w:color="auto"/>
                <w:bottom w:val="none" w:sz="0" w:space="0" w:color="auto"/>
                <w:right w:val="none" w:sz="0" w:space="0" w:color="auto"/>
              </w:divBdr>
            </w:div>
          </w:divsChild>
        </w:div>
        <w:div w:id="1219055011">
          <w:marLeft w:val="0"/>
          <w:marRight w:val="0"/>
          <w:marTop w:val="0"/>
          <w:marBottom w:val="0"/>
          <w:divBdr>
            <w:top w:val="none" w:sz="0" w:space="0" w:color="auto"/>
            <w:left w:val="none" w:sz="0" w:space="0" w:color="auto"/>
            <w:bottom w:val="none" w:sz="0" w:space="0" w:color="auto"/>
            <w:right w:val="none" w:sz="0" w:space="0" w:color="auto"/>
          </w:divBdr>
          <w:divsChild>
            <w:div w:id="1620800155">
              <w:marLeft w:val="0"/>
              <w:marRight w:val="0"/>
              <w:marTop w:val="0"/>
              <w:marBottom w:val="0"/>
              <w:divBdr>
                <w:top w:val="none" w:sz="0" w:space="0" w:color="auto"/>
                <w:left w:val="none" w:sz="0" w:space="0" w:color="auto"/>
                <w:bottom w:val="none" w:sz="0" w:space="0" w:color="auto"/>
                <w:right w:val="none" w:sz="0" w:space="0" w:color="auto"/>
              </w:divBdr>
            </w:div>
          </w:divsChild>
        </w:div>
        <w:div w:id="1245148198">
          <w:marLeft w:val="0"/>
          <w:marRight w:val="0"/>
          <w:marTop w:val="0"/>
          <w:marBottom w:val="0"/>
          <w:divBdr>
            <w:top w:val="none" w:sz="0" w:space="0" w:color="auto"/>
            <w:left w:val="none" w:sz="0" w:space="0" w:color="auto"/>
            <w:bottom w:val="none" w:sz="0" w:space="0" w:color="auto"/>
            <w:right w:val="none" w:sz="0" w:space="0" w:color="auto"/>
          </w:divBdr>
          <w:divsChild>
            <w:div w:id="289744263">
              <w:marLeft w:val="0"/>
              <w:marRight w:val="0"/>
              <w:marTop w:val="0"/>
              <w:marBottom w:val="0"/>
              <w:divBdr>
                <w:top w:val="none" w:sz="0" w:space="0" w:color="auto"/>
                <w:left w:val="none" w:sz="0" w:space="0" w:color="auto"/>
                <w:bottom w:val="none" w:sz="0" w:space="0" w:color="auto"/>
                <w:right w:val="none" w:sz="0" w:space="0" w:color="auto"/>
              </w:divBdr>
            </w:div>
          </w:divsChild>
        </w:div>
        <w:div w:id="1251158891">
          <w:marLeft w:val="0"/>
          <w:marRight w:val="0"/>
          <w:marTop w:val="0"/>
          <w:marBottom w:val="0"/>
          <w:divBdr>
            <w:top w:val="none" w:sz="0" w:space="0" w:color="auto"/>
            <w:left w:val="none" w:sz="0" w:space="0" w:color="auto"/>
            <w:bottom w:val="none" w:sz="0" w:space="0" w:color="auto"/>
            <w:right w:val="none" w:sz="0" w:space="0" w:color="auto"/>
          </w:divBdr>
          <w:divsChild>
            <w:div w:id="1757509012">
              <w:marLeft w:val="0"/>
              <w:marRight w:val="0"/>
              <w:marTop w:val="0"/>
              <w:marBottom w:val="0"/>
              <w:divBdr>
                <w:top w:val="none" w:sz="0" w:space="0" w:color="auto"/>
                <w:left w:val="none" w:sz="0" w:space="0" w:color="auto"/>
                <w:bottom w:val="none" w:sz="0" w:space="0" w:color="auto"/>
                <w:right w:val="none" w:sz="0" w:space="0" w:color="auto"/>
              </w:divBdr>
            </w:div>
          </w:divsChild>
        </w:div>
        <w:div w:id="1259211881">
          <w:marLeft w:val="0"/>
          <w:marRight w:val="0"/>
          <w:marTop w:val="0"/>
          <w:marBottom w:val="0"/>
          <w:divBdr>
            <w:top w:val="none" w:sz="0" w:space="0" w:color="auto"/>
            <w:left w:val="none" w:sz="0" w:space="0" w:color="auto"/>
            <w:bottom w:val="none" w:sz="0" w:space="0" w:color="auto"/>
            <w:right w:val="none" w:sz="0" w:space="0" w:color="auto"/>
          </w:divBdr>
          <w:divsChild>
            <w:div w:id="228465214">
              <w:marLeft w:val="0"/>
              <w:marRight w:val="0"/>
              <w:marTop w:val="0"/>
              <w:marBottom w:val="0"/>
              <w:divBdr>
                <w:top w:val="none" w:sz="0" w:space="0" w:color="auto"/>
                <w:left w:val="none" w:sz="0" w:space="0" w:color="auto"/>
                <w:bottom w:val="none" w:sz="0" w:space="0" w:color="auto"/>
                <w:right w:val="none" w:sz="0" w:space="0" w:color="auto"/>
              </w:divBdr>
            </w:div>
          </w:divsChild>
        </w:div>
        <w:div w:id="1275362095">
          <w:marLeft w:val="0"/>
          <w:marRight w:val="0"/>
          <w:marTop w:val="0"/>
          <w:marBottom w:val="0"/>
          <w:divBdr>
            <w:top w:val="none" w:sz="0" w:space="0" w:color="auto"/>
            <w:left w:val="none" w:sz="0" w:space="0" w:color="auto"/>
            <w:bottom w:val="none" w:sz="0" w:space="0" w:color="auto"/>
            <w:right w:val="none" w:sz="0" w:space="0" w:color="auto"/>
          </w:divBdr>
          <w:divsChild>
            <w:div w:id="1378316011">
              <w:marLeft w:val="0"/>
              <w:marRight w:val="0"/>
              <w:marTop w:val="0"/>
              <w:marBottom w:val="0"/>
              <w:divBdr>
                <w:top w:val="none" w:sz="0" w:space="0" w:color="auto"/>
                <w:left w:val="none" w:sz="0" w:space="0" w:color="auto"/>
                <w:bottom w:val="none" w:sz="0" w:space="0" w:color="auto"/>
                <w:right w:val="none" w:sz="0" w:space="0" w:color="auto"/>
              </w:divBdr>
            </w:div>
          </w:divsChild>
        </w:div>
        <w:div w:id="1278484161">
          <w:marLeft w:val="0"/>
          <w:marRight w:val="0"/>
          <w:marTop w:val="0"/>
          <w:marBottom w:val="0"/>
          <w:divBdr>
            <w:top w:val="none" w:sz="0" w:space="0" w:color="auto"/>
            <w:left w:val="none" w:sz="0" w:space="0" w:color="auto"/>
            <w:bottom w:val="none" w:sz="0" w:space="0" w:color="auto"/>
            <w:right w:val="none" w:sz="0" w:space="0" w:color="auto"/>
          </w:divBdr>
          <w:divsChild>
            <w:div w:id="14700301">
              <w:marLeft w:val="0"/>
              <w:marRight w:val="0"/>
              <w:marTop w:val="0"/>
              <w:marBottom w:val="0"/>
              <w:divBdr>
                <w:top w:val="none" w:sz="0" w:space="0" w:color="auto"/>
                <w:left w:val="none" w:sz="0" w:space="0" w:color="auto"/>
                <w:bottom w:val="none" w:sz="0" w:space="0" w:color="auto"/>
                <w:right w:val="none" w:sz="0" w:space="0" w:color="auto"/>
              </w:divBdr>
            </w:div>
          </w:divsChild>
        </w:div>
        <w:div w:id="1280793017">
          <w:marLeft w:val="0"/>
          <w:marRight w:val="0"/>
          <w:marTop w:val="0"/>
          <w:marBottom w:val="0"/>
          <w:divBdr>
            <w:top w:val="none" w:sz="0" w:space="0" w:color="auto"/>
            <w:left w:val="none" w:sz="0" w:space="0" w:color="auto"/>
            <w:bottom w:val="none" w:sz="0" w:space="0" w:color="auto"/>
            <w:right w:val="none" w:sz="0" w:space="0" w:color="auto"/>
          </w:divBdr>
          <w:divsChild>
            <w:div w:id="514002573">
              <w:marLeft w:val="0"/>
              <w:marRight w:val="0"/>
              <w:marTop w:val="0"/>
              <w:marBottom w:val="0"/>
              <w:divBdr>
                <w:top w:val="none" w:sz="0" w:space="0" w:color="auto"/>
                <w:left w:val="none" w:sz="0" w:space="0" w:color="auto"/>
                <w:bottom w:val="none" w:sz="0" w:space="0" w:color="auto"/>
                <w:right w:val="none" w:sz="0" w:space="0" w:color="auto"/>
              </w:divBdr>
            </w:div>
          </w:divsChild>
        </w:div>
        <w:div w:id="1290630459">
          <w:marLeft w:val="0"/>
          <w:marRight w:val="0"/>
          <w:marTop w:val="0"/>
          <w:marBottom w:val="0"/>
          <w:divBdr>
            <w:top w:val="none" w:sz="0" w:space="0" w:color="auto"/>
            <w:left w:val="none" w:sz="0" w:space="0" w:color="auto"/>
            <w:bottom w:val="none" w:sz="0" w:space="0" w:color="auto"/>
            <w:right w:val="none" w:sz="0" w:space="0" w:color="auto"/>
          </w:divBdr>
          <w:divsChild>
            <w:div w:id="823741410">
              <w:marLeft w:val="0"/>
              <w:marRight w:val="0"/>
              <w:marTop w:val="0"/>
              <w:marBottom w:val="0"/>
              <w:divBdr>
                <w:top w:val="none" w:sz="0" w:space="0" w:color="auto"/>
                <w:left w:val="none" w:sz="0" w:space="0" w:color="auto"/>
                <w:bottom w:val="none" w:sz="0" w:space="0" w:color="auto"/>
                <w:right w:val="none" w:sz="0" w:space="0" w:color="auto"/>
              </w:divBdr>
            </w:div>
          </w:divsChild>
        </w:div>
        <w:div w:id="1292245493">
          <w:marLeft w:val="0"/>
          <w:marRight w:val="0"/>
          <w:marTop w:val="0"/>
          <w:marBottom w:val="0"/>
          <w:divBdr>
            <w:top w:val="none" w:sz="0" w:space="0" w:color="auto"/>
            <w:left w:val="none" w:sz="0" w:space="0" w:color="auto"/>
            <w:bottom w:val="none" w:sz="0" w:space="0" w:color="auto"/>
            <w:right w:val="none" w:sz="0" w:space="0" w:color="auto"/>
          </w:divBdr>
          <w:divsChild>
            <w:div w:id="2112357395">
              <w:marLeft w:val="0"/>
              <w:marRight w:val="0"/>
              <w:marTop w:val="0"/>
              <w:marBottom w:val="0"/>
              <w:divBdr>
                <w:top w:val="none" w:sz="0" w:space="0" w:color="auto"/>
                <w:left w:val="none" w:sz="0" w:space="0" w:color="auto"/>
                <w:bottom w:val="none" w:sz="0" w:space="0" w:color="auto"/>
                <w:right w:val="none" w:sz="0" w:space="0" w:color="auto"/>
              </w:divBdr>
            </w:div>
          </w:divsChild>
        </w:div>
        <w:div w:id="1294141499">
          <w:marLeft w:val="0"/>
          <w:marRight w:val="0"/>
          <w:marTop w:val="0"/>
          <w:marBottom w:val="0"/>
          <w:divBdr>
            <w:top w:val="none" w:sz="0" w:space="0" w:color="auto"/>
            <w:left w:val="none" w:sz="0" w:space="0" w:color="auto"/>
            <w:bottom w:val="none" w:sz="0" w:space="0" w:color="auto"/>
            <w:right w:val="none" w:sz="0" w:space="0" w:color="auto"/>
          </w:divBdr>
          <w:divsChild>
            <w:div w:id="1675568373">
              <w:marLeft w:val="0"/>
              <w:marRight w:val="0"/>
              <w:marTop w:val="0"/>
              <w:marBottom w:val="0"/>
              <w:divBdr>
                <w:top w:val="none" w:sz="0" w:space="0" w:color="auto"/>
                <w:left w:val="none" w:sz="0" w:space="0" w:color="auto"/>
                <w:bottom w:val="none" w:sz="0" w:space="0" w:color="auto"/>
                <w:right w:val="none" w:sz="0" w:space="0" w:color="auto"/>
              </w:divBdr>
            </w:div>
          </w:divsChild>
        </w:div>
        <w:div w:id="1299140474">
          <w:marLeft w:val="0"/>
          <w:marRight w:val="0"/>
          <w:marTop w:val="0"/>
          <w:marBottom w:val="0"/>
          <w:divBdr>
            <w:top w:val="none" w:sz="0" w:space="0" w:color="auto"/>
            <w:left w:val="none" w:sz="0" w:space="0" w:color="auto"/>
            <w:bottom w:val="none" w:sz="0" w:space="0" w:color="auto"/>
            <w:right w:val="none" w:sz="0" w:space="0" w:color="auto"/>
          </w:divBdr>
          <w:divsChild>
            <w:div w:id="628829189">
              <w:marLeft w:val="0"/>
              <w:marRight w:val="0"/>
              <w:marTop w:val="0"/>
              <w:marBottom w:val="0"/>
              <w:divBdr>
                <w:top w:val="none" w:sz="0" w:space="0" w:color="auto"/>
                <w:left w:val="none" w:sz="0" w:space="0" w:color="auto"/>
                <w:bottom w:val="none" w:sz="0" w:space="0" w:color="auto"/>
                <w:right w:val="none" w:sz="0" w:space="0" w:color="auto"/>
              </w:divBdr>
            </w:div>
          </w:divsChild>
        </w:div>
        <w:div w:id="1299451882">
          <w:marLeft w:val="0"/>
          <w:marRight w:val="0"/>
          <w:marTop w:val="0"/>
          <w:marBottom w:val="0"/>
          <w:divBdr>
            <w:top w:val="none" w:sz="0" w:space="0" w:color="auto"/>
            <w:left w:val="none" w:sz="0" w:space="0" w:color="auto"/>
            <w:bottom w:val="none" w:sz="0" w:space="0" w:color="auto"/>
            <w:right w:val="none" w:sz="0" w:space="0" w:color="auto"/>
          </w:divBdr>
          <w:divsChild>
            <w:div w:id="233010626">
              <w:marLeft w:val="0"/>
              <w:marRight w:val="0"/>
              <w:marTop w:val="0"/>
              <w:marBottom w:val="0"/>
              <w:divBdr>
                <w:top w:val="none" w:sz="0" w:space="0" w:color="auto"/>
                <w:left w:val="none" w:sz="0" w:space="0" w:color="auto"/>
                <w:bottom w:val="none" w:sz="0" w:space="0" w:color="auto"/>
                <w:right w:val="none" w:sz="0" w:space="0" w:color="auto"/>
              </w:divBdr>
            </w:div>
          </w:divsChild>
        </w:div>
        <w:div w:id="1306739364">
          <w:marLeft w:val="0"/>
          <w:marRight w:val="0"/>
          <w:marTop w:val="0"/>
          <w:marBottom w:val="0"/>
          <w:divBdr>
            <w:top w:val="none" w:sz="0" w:space="0" w:color="auto"/>
            <w:left w:val="none" w:sz="0" w:space="0" w:color="auto"/>
            <w:bottom w:val="none" w:sz="0" w:space="0" w:color="auto"/>
            <w:right w:val="none" w:sz="0" w:space="0" w:color="auto"/>
          </w:divBdr>
          <w:divsChild>
            <w:div w:id="1064064688">
              <w:marLeft w:val="0"/>
              <w:marRight w:val="0"/>
              <w:marTop w:val="0"/>
              <w:marBottom w:val="0"/>
              <w:divBdr>
                <w:top w:val="none" w:sz="0" w:space="0" w:color="auto"/>
                <w:left w:val="none" w:sz="0" w:space="0" w:color="auto"/>
                <w:bottom w:val="none" w:sz="0" w:space="0" w:color="auto"/>
                <w:right w:val="none" w:sz="0" w:space="0" w:color="auto"/>
              </w:divBdr>
            </w:div>
          </w:divsChild>
        </w:div>
        <w:div w:id="1311135528">
          <w:marLeft w:val="0"/>
          <w:marRight w:val="0"/>
          <w:marTop w:val="0"/>
          <w:marBottom w:val="0"/>
          <w:divBdr>
            <w:top w:val="none" w:sz="0" w:space="0" w:color="auto"/>
            <w:left w:val="none" w:sz="0" w:space="0" w:color="auto"/>
            <w:bottom w:val="none" w:sz="0" w:space="0" w:color="auto"/>
            <w:right w:val="none" w:sz="0" w:space="0" w:color="auto"/>
          </w:divBdr>
          <w:divsChild>
            <w:div w:id="1864587038">
              <w:marLeft w:val="0"/>
              <w:marRight w:val="0"/>
              <w:marTop w:val="0"/>
              <w:marBottom w:val="0"/>
              <w:divBdr>
                <w:top w:val="none" w:sz="0" w:space="0" w:color="auto"/>
                <w:left w:val="none" w:sz="0" w:space="0" w:color="auto"/>
                <w:bottom w:val="none" w:sz="0" w:space="0" w:color="auto"/>
                <w:right w:val="none" w:sz="0" w:space="0" w:color="auto"/>
              </w:divBdr>
            </w:div>
          </w:divsChild>
        </w:div>
        <w:div w:id="1318411590">
          <w:marLeft w:val="0"/>
          <w:marRight w:val="0"/>
          <w:marTop w:val="0"/>
          <w:marBottom w:val="0"/>
          <w:divBdr>
            <w:top w:val="none" w:sz="0" w:space="0" w:color="auto"/>
            <w:left w:val="none" w:sz="0" w:space="0" w:color="auto"/>
            <w:bottom w:val="none" w:sz="0" w:space="0" w:color="auto"/>
            <w:right w:val="none" w:sz="0" w:space="0" w:color="auto"/>
          </w:divBdr>
          <w:divsChild>
            <w:div w:id="1003818410">
              <w:marLeft w:val="0"/>
              <w:marRight w:val="0"/>
              <w:marTop w:val="0"/>
              <w:marBottom w:val="0"/>
              <w:divBdr>
                <w:top w:val="none" w:sz="0" w:space="0" w:color="auto"/>
                <w:left w:val="none" w:sz="0" w:space="0" w:color="auto"/>
                <w:bottom w:val="none" w:sz="0" w:space="0" w:color="auto"/>
                <w:right w:val="none" w:sz="0" w:space="0" w:color="auto"/>
              </w:divBdr>
            </w:div>
          </w:divsChild>
        </w:div>
        <w:div w:id="1318878368">
          <w:marLeft w:val="0"/>
          <w:marRight w:val="0"/>
          <w:marTop w:val="0"/>
          <w:marBottom w:val="0"/>
          <w:divBdr>
            <w:top w:val="none" w:sz="0" w:space="0" w:color="auto"/>
            <w:left w:val="none" w:sz="0" w:space="0" w:color="auto"/>
            <w:bottom w:val="none" w:sz="0" w:space="0" w:color="auto"/>
            <w:right w:val="none" w:sz="0" w:space="0" w:color="auto"/>
          </w:divBdr>
          <w:divsChild>
            <w:div w:id="409696653">
              <w:marLeft w:val="0"/>
              <w:marRight w:val="0"/>
              <w:marTop w:val="0"/>
              <w:marBottom w:val="0"/>
              <w:divBdr>
                <w:top w:val="none" w:sz="0" w:space="0" w:color="auto"/>
                <w:left w:val="none" w:sz="0" w:space="0" w:color="auto"/>
                <w:bottom w:val="none" w:sz="0" w:space="0" w:color="auto"/>
                <w:right w:val="none" w:sz="0" w:space="0" w:color="auto"/>
              </w:divBdr>
            </w:div>
          </w:divsChild>
        </w:div>
        <w:div w:id="1323696931">
          <w:marLeft w:val="0"/>
          <w:marRight w:val="0"/>
          <w:marTop w:val="0"/>
          <w:marBottom w:val="0"/>
          <w:divBdr>
            <w:top w:val="none" w:sz="0" w:space="0" w:color="auto"/>
            <w:left w:val="none" w:sz="0" w:space="0" w:color="auto"/>
            <w:bottom w:val="none" w:sz="0" w:space="0" w:color="auto"/>
            <w:right w:val="none" w:sz="0" w:space="0" w:color="auto"/>
          </w:divBdr>
          <w:divsChild>
            <w:div w:id="1610578174">
              <w:marLeft w:val="0"/>
              <w:marRight w:val="0"/>
              <w:marTop w:val="0"/>
              <w:marBottom w:val="0"/>
              <w:divBdr>
                <w:top w:val="none" w:sz="0" w:space="0" w:color="auto"/>
                <w:left w:val="none" w:sz="0" w:space="0" w:color="auto"/>
                <w:bottom w:val="none" w:sz="0" w:space="0" w:color="auto"/>
                <w:right w:val="none" w:sz="0" w:space="0" w:color="auto"/>
              </w:divBdr>
            </w:div>
          </w:divsChild>
        </w:div>
        <w:div w:id="1332757431">
          <w:marLeft w:val="0"/>
          <w:marRight w:val="0"/>
          <w:marTop w:val="0"/>
          <w:marBottom w:val="0"/>
          <w:divBdr>
            <w:top w:val="none" w:sz="0" w:space="0" w:color="auto"/>
            <w:left w:val="none" w:sz="0" w:space="0" w:color="auto"/>
            <w:bottom w:val="none" w:sz="0" w:space="0" w:color="auto"/>
            <w:right w:val="none" w:sz="0" w:space="0" w:color="auto"/>
          </w:divBdr>
          <w:divsChild>
            <w:div w:id="1294562344">
              <w:marLeft w:val="0"/>
              <w:marRight w:val="0"/>
              <w:marTop w:val="0"/>
              <w:marBottom w:val="0"/>
              <w:divBdr>
                <w:top w:val="none" w:sz="0" w:space="0" w:color="auto"/>
                <w:left w:val="none" w:sz="0" w:space="0" w:color="auto"/>
                <w:bottom w:val="none" w:sz="0" w:space="0" w:color="auto"/>
                <w:right w:val="none" w:sz="0" w:space="0" w:color="auto"/>
              </w:divBdr>
            </w:div>
          </w:divsChild>
        </w:div>
        <w:div w:id="1335717545">
          <w:marLeft w:val="0"/>
          <w:marRight w:val="0"/>
          <w:marTop w:val="0"/>
          <w:marBottom w:val="0"/>
          <w:divBdr>
            <w:top w:val="none" w:sz="0" w:space="0" w:color="auto"/>
            <w:left w:val="none" w:sz="0" w:space="0" w:color="auto"/>
            <w:bottom w:val="none" w:sz="0" w:space="0" w:color="auto"/>
            <w:right w:val="none" w:sz="0" w:space="0" w:color="auto"/>
          </w:divBdr>
          <w:divsChild>
            <w:div w:id="1745763971">
              <w:marLeft w:val="0"/>
              <w:marRight w:val="0"/>
              <w:marTop w:val="0"/>
              <w:marBottom w:val="0"/>
              <w:divBdr>
                <w:top w:val="none" w:sz="0" w:space="0" w:color="auto"/>
                <w:left w:val="none" w:sz="0" w:space="0" w:color="auto"/>
                <w:bottom w:val="none" w:sz="0" w:space="0" w:color="auto"/>
                <w:right w:val="none" w:sz="0" w:space="0" w:color="auto"/>
              </w:divBdr>
            </w:div>
          </w:divsChild>
        </w:div>
        <w:div w:id="1342510372">
          <w:marLeft w:val="0"/>
          <w:marRight w:val="0"/>
          <w:marTop w:val="0"/>
          <w:marBottom w:val="0"/>
          <w:divBdr>
            <w:top w:val="none" w:sz="0" w:space="0" w:color="auto"/>
            <w:left w:val="none" w:sz="0" w:space="0" w:color="auto"/>
            <w:bottom w:val="none" w:sz="0" w:space="0" w:color="auto"/>
            <w:right w:val="none" w:sz="0" w:space="0" w:color="auto"/>
          </w:divBdr>
          <w:divsChild>
            <w:div w:id="1742757063">
              <w:marLeft w:val="0"/>
              <w:marRight w:val="0"/>
              <w:marTop w:val="0"/>
              <w:marBottom w:val="0"/>
              <w:divBdr>
                <w:top w:val="none" w:sz="0" w:space="0" w:color="auto"/>
                <w:left w:val="none" w:sz="0" w:space="0" w:color="auto"/>
                <w:bottom w:val="none" w:sz="0" w:space="0" w:color="auto"/>
                <w:right w:val="none" w:sz="0" w:space="0" w:color="auto"/>
              </w:divBdr>
            </w:div>
          </w:divsChild>
        </w:div>
        <w:div w:id="1344086976">
          <w:marLeft w:val="0"/>
          <w:marRight w:val="0"/>
          <w:marTop w:val="0"/>
          <w:marBottom w:val="0"/>
          <w:divBdr>
            <w:top w:val="none" w:sz="0" w:space="0" w:color="auto"/>
            <w:left w:val="none" w:sz="0" w:space="0" w:color="auto"/>
            <w:bottom w:val="none" w:sz="0" w:space="0" w:color="auto"/>
            <w:right w:val="none" w:sz="0" w:space="0" w:color="auto"/>
          </w:divBdr>
          <w:divsChild>
            <w:div w:id="552160223">
              <w:marLeft w:val="0"/>
              <w:marRight w:val="0"/>
              <w:marTop w:val="0"/>
              <w:marBottom w:val="0"/>
              <w:divBdr>
                <w:top w:val="none" w:sz="0" w:space="0" w:color="auto"/>
                <w:left w:val="none" w:sz="0" w:space="0" w:color="auto"/>
                <w:bottom w:val="none" w:sz="0" w:space="0" w:color="auto"/>
                <w:right w:val="none" w:sz="0" w:space="0" w:color="auto"/>
              </w:divBdr>
            </w:div>
          </w:divsChild>
        </w:div>
        <w:div w:id="1347248430">
          <w:marLeft w:val="0"/>
          <w:marRight w:val="0"/>
          <w:marTop w:val="0"/>
          <w:marBottom w:val="0"/>
          <w:divBdr>
            <w:top w:val="none" w:sz="0" w:space="0" w:color="auto"/>
            <w:left w:val="none" w:sz="0" w:space="0" w:color="auto"/>
            <w:bottom w:val="none" w:sz="0" w:space="0" w:color="auto"/>
            <w:right w:val="none" w:sz="0" w:space="0" w:color="auto"/>
          </w:divBdr>
          <w:divsChild>
            <w:div w:id="1622568966">
              <w:marLeft w:val="0"/>
              <w:marRight w:val="0"/>
              <w:marTop w:val="0"/>
              <w:marBottom w:val="0"/>
              <w:divBdr>
                <w:top w:val="none" w:sz="0" w:space="0" w:color="auto"/>
                <w:left w:val="none" w:sz="0" w:space="0" w:color="auto"/>
                <w:bottom w:val="none" w:sz="0" w:space="0" w:color="auto"/>
                <w:right w:val="none" w:sz="0" w:space="0" w:color="auto"/>
              </w:divBdr>
            </w:div>
          </w:divsChild>
        </w:div>
        <w:div w:id="1351760057">
          <w:marLeft w:val="0"/>
          <w:marRight w:val="0"/>
          <w:marTop w:val="0"/>
          <w:marBottom w:val="0"/>
          <w:divBdr>
            <w:top w:val="none" w:sz="0" w:space="0" w:color="auto"/>
            <w:left w:val="none" w:sz="0" w:space="0" w:color="auto"/>
            <w:bottom w:val="none" w:sz="0" w:space="0" w:color="auto"/>
            <w:right w:val="none" w:sz="0" w:space="0" w:color="auto"/>
          </w:divBdr>
          <w:divsChild>
            <w:div w:id="541022038">
              <w:marLeft w:val="0"/>
              <w:marRight w:val="0"/>
              <w:marTop w:val="0"/>
              <w:marBottom w:val="0"/>
              <w:divBdr>
                <w:top w:val="none" w:sz="0" w:space="0" w:color="auto"/>
                <w:left w:val="none" w:sz="0" w:space="0" w:color="auto"/>
                <w:bottom w:val="none" w:sz="0" w:space="0" w:color="auto"/>
                <w:right w:val="none" w:sz="0" w:space="0" w:color="auto"/>
              </w:divBdr>
            </w:div>
            <w:div w:id="570624806">
              <w:marLeft w:val="0"/>
              <w:marRight w:val="0"/>
              <w:marTop w:val="0"/>
              <w:marBottom w:val="0"/>
              <w:divBdr>
                <w:top w:val="none" w:sz="0" w:space="0" w:color="auto"/>
                <w:left w:val="none" w:sz="0" w:space="0" w:color="auto"/>
                <w:bottom w:val="none" w:sz="0" w:space="0" w:color="auto"/>
                <w:right w:val="none" w:sz="0" w:space="0" w:color="auto"/>
              </w:divBdr>
            </w:div>
            <w:div w:id="646518811">
              <w:marLeft w:val="0"/>
              <w:marRight w:val="0"/>
              <w:marTop w:val="0"/>
              <w:marBottom w:val="0"/>
              <w:divBdr>
                <w:top w:val="none" w:sz="0" w:space="0" w:color="auto"/>
                <w:left w:val="none" w:sz="0" w:space="0" w:color="auto"/>
                <w:bottom w:val="none" w:sz="0" w:space="0" w:color="auto"/>
                <w:right w:val="none" w:sz="0" w:space="0" w:color="auto"/>
              </w:divBdr>
            </w:div>
            <w:div w:id="710037722">
              <w:marLeft w:val="0"/>
              <w:marRight w:val="0"/>
              <w:marTop w:val="0"/>
              <w:marBottom w:val="0"/>
              <w:divBdr>
                <w:top w:val="none" w:sz="0" w:space="0" w:color="auto"/>
                <w:left w:val="none" w:sz="0" w:space="0" w:color="auto"/>
                <w:bottom w:val="none" w:sz="0" w:space="0" w:color="auto"/>
                <w:right w:val="none" w:sz="0" w:space="0" w:color="auto"/>
              </w:divBdr>
            </w:div>
            <w:div w:id="895240787">
              <w:marLeft w:val="0"/>
              <w:marRight w:val="0"/>
              <w:marTop w:val="0"/>
              <w:marBottom w:val="0"/>
              <w:divBdr>
                <w:top w:val="none" w:sz="0" w:space="0" w:color="auto"/>
                <w:left w:val="none" w:sz="0" w:space="0" w:color="auto"/>
                <w:bottom w:val="none" w:sz="0" w:space="0" w:color="auto"/>
                <w:right w:val="none" w:sz="0" w:space="0" w:color="auto"/>
              </w:divBdr>
            </w:div>
            <w:div w:id="1056318386">
              <w:marLeft w:val="0"/>
              <w:marRight w:val="0"/>
              <w:marTop w:val="0"/>
              <w:marBottom w:val="0"/>
              <w:divBdr>
                <w:top w:val="none" w:sz="0" w:space="0" w:color="auto"/>
                <w:left w:val="none" w:sz="0" w:space="0" w:color="auto"/>
                <w:bottom w:val="none" w:sz="0" w:space="0" w:color="auto"/>
                <w:right w:val="none" w:sz="0" w:space="0" w:color="auto"/>
              </w:divBdr>
            </w:div>
            <w:div w:id="1106118284">
              <w:marLeft w:val="0"/>
              <w:marRight w:val="0"/>
              <w:marTop w:val="0"/>
              <w:marBottom w:val="0"/>
              <w:divBdr>
                <w:top w:val="none" w:sz="0" w:space="0" w:color="auto"/>
                <w:left w:val="none" w:sz="0" w:space="0" w:color="auto"/>
                <w:bottom w:val="none" w:sz="0" w:space="0" w:color="auto"/>
                <w:right w:val="none" w:sz="0" w:space="0" w:color="auto"/>
              </w:divBdr>
            </w:div>
            <w:div w:id="1161503147">
              <w:marLeft w:val="0"/>
              <w:marRight w:val="0"/>
              <w:marTop w:val="0"/>
              <w:marBottom w:val="0"/>
              <w:divBdr>
                <w:top w:val="none" w:sz="0" w:space="0" w:color="auto"/>
                <w:left w:val="none" w:sz="0" w:space="0" w:color="auto"/>
                <w:bottom w:val="none" w:sz="0" w:space="0" w:color="auto"/>
                <w:right w:val="none" w:sz="0" w:space="0" w:color="auto"/>
              </w:divBdr>
            </w:div>
            <w:div w:id="1263803631">
              <w:marLeft w:val="0"/>
              <w:marRight w:val="0"/>
              <w:marTop w:val="0"/>
              <w:marBottom w:val="0"/>
              <w:divBdr>
                <w:top w:val="none" w:sz="0" w:space="0" w:color="auto"/>
                <w:left w:val="none" w:sz="0" w:space="0" w:color="auto"/>
                <w:bottom w:val="none" w:sz="0" w:space="0" w:color="auto"/>
                <w:right w:val="none" w:sz="0" w:space="0" w:color="auto"/>
              </w:divBdr>
            </w:div>
            <w:div w:id="1775710390">
              <w:marLeft w:val="0"/>
              <w:marRight w:val="0"/>
              <w:marTop w:val="0"/>
              <w:marBottom w:val="0"/>
              <w:divBdr>
                <w:top w:val="none" w:sz="0" w:space="0" w:color="auto"/>
                <w:left w:val="none" w:sz="0" w:space="0" w:color="auto"/>
                <w:bottom w:val="none" w:sz="0" w:space="0" w:color="auto"/>
                <w:right w:val="none" w:sz="0" w:space="0" w:color="auto"/>
              </w:divBdr>
            </w:div>
            <w:div w:id="1798180290">
              <w:marLeft w:val="0"/>
              <w:marRight w:val="0"/>
              <w:marTop w:val="0"/>
              <w:marBottom w:val="0"/>
              <w:divBdr>
                <w:top w:val="none" w:sz="0" w:space="0" w:color="auto"/>
                <w:left w:val="none" w:sz="0" w:space="0" w:color="auto"/>
                <w:bottom w:val="none" w:sz="0" w:space="0" w:color="auto"/>
                <w:right w:val="none" w:sz="0" w:space="0" w:color="auto"/>
              </w:divBdr>
            </w:div>
            <w:div w:id="2077512923">
              <w:marLeft w:val="0"/>
              <w:marRight w:val="0"/>
              <w:marTop w:val="0"/>
              <w:marBottom w:val="0"/>
              <w:divBdr>
                <w:top w:val="none" w:sz="0" w:space="0" w:color="auto"/>
                <w:left w:val="none" w:sz="0" w:space="0" w:color="auto"/>
                <w:bottom w:val="none" w:sz="0" w:space="0" w:color="auto"/>
                <w:right w:val="none" w:sz="0" w:space="0" w:color="auto"/>
              </w:divBdr>
            </w:div>
          </w:divsChild>
        </w:div>
        <w:div w:id="1358894796">
          <w:marLeft w:val="0"/>
          <w:marRight w:val="0"/>
          <w:marTop w:val="0"/>
          <w:marBottom w:val="0"/>
          <w:divBdr>
            <w:top w:val="none" w:sz="0" w:space="0" w:color="auto"/>
            <w:left w:val="none" w:sz="0" w:space="0" w:color="auto"/>
            <w:bottom w:val="none" w:sz="0" w:space="0" w:color="auto"/>
            <w:right w:val="none" w:sz="0" w:space="0" w:color="auto"/>
          </w:divBdr>
          <w:divsChild>
            <w:div w:id="1028065643">
              <w:marLeft w:val="0"/>
              <w:marRight w:val="0"/>
              <w:marTop w:val="0"/>
              <w:marBottom w:val="0"/>
              <w:divBdr>
                <w:top w:val="none" w:sz="0" w:space="0" w:color="auto"/>
                <w:left w:val="none" w:sz="0" w:space="0" w:color="auto"/>
                <w:bottom w:val="none" w:sz="0" w:space="0" w:color="auto"/>
                <w:right w:val="none" w:sz="0" w:space="0" w:color="auto"/>
              </w:divBdr>
            </w:div>
          </w:divsChild>
        </w:div>
        <w:div w:id="1361127337">
          <w:marLeft w:val="0"/>
          <w:marRight w:val="0"/>
          <w:marTop w:val="0"/>
          <w:marBottom w:val="0"/>
          <w:divBdr>
            <w:top w:val="none" w:sz="0" w:space="0" w:color="auto"/>
            <w:left w:val="none" w:sz="0" w:space="0" w:color="auto"/>
            <w:bottom w:val="none" w:sz="0" w:space="0" w:color="auto"/>
            <w:right w:val="none" w:sz="0" w:space="0" w:color="auto"/>
          </w:divBdr>
          <w:divsChild>
            <w:div w:id="1876574688">
              <w:marLeft w:val="0"/>
              <w:marRight w:val="0"/>
              <w:marTop w:val="0"/>
              <w:marBottom w:val="0"/>
              <w:divBdr>
                <w:top w:val="none" w:sz="0" w:space="0" w:color="auto"/>
                <w:left w:val="none" w:sz="0" w:space="0" w:color="auto"/>
                <w:bottom w:val="none" w:sz="0" w:space="0" w:color="auto"/>
                <w:right w:val="none" w:sz="0" w:space="0" w:color="auto"/>
              </w:divBdr>
            </w:div>
          </w:divsChild>
        </w:div>
        <w:div w:id="1361783226">
          <w:marLeft w:val="0"/>
          <w:marRight w:val="0"/>
          <w:marTop w:val="0"/>
          <w:marBottom w:val="0"/>
          <w:divBdr>
            <w:top w:val="none" w:sz="0" w:space="0" w:color="auto"/>
            <w:left w:val="none" w:sz="0" w:space="0" w:color="auto"/>
            <w:bottom w:val="none" w:sz="0" w:space="0" w:color="auto"/>
            <w:right w:val="none" w:sz="0" w:space="0" w:color="auto"/>
          </w:divBdr>
          <w:divsChild>
            <w:div w:id="1706103915">
              <w:marLeft w:val="0"/>
              <w:marRight w:val="0"/>
              <w:marTop w:val="0"/>
              <w:marBottom w:val="0"/>
              <w:divBdr>
                <w:top w:val="none" w:sz="0" w:space="0" w:color="auto"/>
                <w:left w:val="none" w:sz="0" w:space="0" w:color="auto"/>
                <w:bottom w:val="none" w:sz="0" w:space="0" w:color="auto"/>
                <w:right w:val="none" w:sz="0" w:space="0" w:color="auto"/>
              </w:divBdr>
            </w:div>
          </w:divsChild>
        </w:div>
        <w:div w:id="1372999335">
          <w:marLeft w:val="0"/>
          <w:marRight w:val="0"/>
          <w:marTop w:val="0"/>
          <w:marBottom w:val="0"/>
          <w:divBdr>
            <w:top w:val="none" w:sz="0" w:space="0" w:color="auto"/>
            <w:left w:val="none" w:sz="0" w:space="0" w:color="auto"/>
            <w:bottom w:val="none" w:sz="0" w:space="0" w:color="auto"/>
            <w:right w:val="none" w:sz="0" w:space="0" w:color="auto"/>
          </w:divBdr>
          <w:divsChild>
            <w:div w:id="692919143">
              <w:marLeft w:val="0"/>
              <w:marRight w:val="0"/>
              <w:marTop w:val="0"/>
              <w:marBottom w:val="0"/>
              <w:divBdr>
                <w:top w:val="none" w:sz="0" w:space="0" w:color="auto"/>
                <w:left w:val="none" w:sz="0" w:space="0" w:color="auto"/>
                <w:bottom w:val="none" w:sz="0" w:space="0" w:color="auto"/>
                <w:right w:val="none" w:sz="0" w:space="0" w:color="auto"/>
              </w:divBdr>
            </w:div>
          </w:divsChild>
        </w:div>
        <w:div w:id="1380325340">
          <w:marLeft w:val="0"/>
          <w:marRight w:val="0"/>
          <w:marTop w:val="0"/>
          <w:marBottom w:val="0"/>
          <w:divBdr>
            <w:top w:val="none" w:sz="0" w:space="0" w:color="auto"/>
            <w:left w:val="none" w:sz="0" w:space="0" w:color="auto"/>
            <w:bottom w:val="none" w:sz="0" w:space="0" w:color="auto"/>
            <w:right w:val="none" w:sz="0" w:space="0" w:color="auto"/>
          </w:divBdr>
          <w:divsChild>
            <w:div w:id="536698181">
              <w:marLeft w:val="0"/>
              <w:marRight w:val="0"/>
              <w:marTop w:val="0"/>
              <w:marBottom w:val="0"/>
              <w:divBdr>
                <w:top w:val="none" w:sz="0" w:space="0" w:color="auto"/>
                <w:left w:val="none" w:sz="0" w:space="0" w:color="auto"/>
                <w:bottom w:val="none" w:sz="0" w:space="0" w:color="auto"/>
                <w:right w:val="none" w:sz="0" w:space="0" w:color="auto"/>
              </w:divBdr>
            </w:div>
          </w:divsChild>
        </w:div>
        <w:div w:id="1381590881">
          <w:marLeft w:val="0"/>
          <w:marRight w:val="0"/>
          <w:marTop w:val="0"/>
          <w:marBottom w:val="0"/>
          <w:divBdr>
            <w:top w:val="none" w:sz="0" w:space="0" w:color="auto"/>
            <w:left w:val="none" w:sz="0" w:space="0" w:color="auto"/>
            <w:bottom w:val="none" w:sz="0" w:space="0" w:color="auto"/>
            <w:right w:val="none" w:sz="0" w:space="0" w:color="auto"/>
          </w:divBdr>
          <w:divsChild>
            <w:div w:id="826869285">
              <w:marLeft w:val="0"/>
              <w:marRight w:val="0"/>
              <w:marTop w:val="0"/>
              <w:marBottom w:val="0"/>
              <w:divBdr>
                <w:top w:val="none" w:sz="0" w:space="0" w:color="auto"/>
                <w:left w:val="none" w:sz="0" w:space="0" w:color="auto"/>
                <w:bottom w:val="none" w:sz="0" w:space="0" w:color="auto"/>
                <w:right w:val="none" w:sz="0" w:space="0" w:color="auto"/>
              </w:divBdr>
            </w:div>
          </w:divsChild>
        </w:div>
        <w:div w:id="1381905014">
          <w:marLeft w:val="0"/>
          <w:marRight w:val="0"/>
          <w:marTop w:val="0"/>
          <w:marBottom w:val="0"/>
          <w:divBdr>
            <w:top w:val="none" w:sz="0" w:space="0" w:color="auto"/>
            <w:left w:val="none" w:sz="0" w:space="0" w:color="auto"/>
            <w:bottom w:val="none" w:sz="0" w:space="0" w:color="auto"/>
            <w:right w:val="none" w:sz="0" w:space="0" w:color="auto"/>
          </w:divBdr>
          <w:divsChild>
            <w:div w:id="621686869">
              <w:marLeft w:val="0"/>
              <w:marRight w:val="0"/>
              <w:marTop w:val="0"/>
              <w:marBottom w:val="0"/>
              <w:divBdr>
                <w:top w:val="none" w:sz="0" w:space="0" w:color="auto"/>
                <w:left w:val="none" w:sz="0" w:space="0" w:color="auto"/>
                <w:bottom w:val="none" w:sz="0" w:space="0" w:color="auto"/>
                <w:right w:val="none" w:sz="0" w:space="0" w:color="auto"/>
              </w:divBdr>
            </w:div>
          </w:divsChild>
        </w:div>
        <w:div w:id="1384406488">
          <w:marLeft w:val="0"/>
          <w:marRight w:val="0"/>
          <w:marTop w:val="0"/>
          <w:marBottom w:val="0"/>
          <w:divBdr>
            <w:top w:val="none" w:sz="0" w:space="0" w:color="auto"/>
            <w:left w:val="none" w:sz="0" w:space="0" w:color="auto"/>
            <w:bottom w:val="none" w:sz="0" w:space="0" w:color="auto"/>
            <w:right w:val="none" w:sz="0" w:space="0" w:color="auto"/>
          </w:divBdr>
          <w:divsChild>
            <w:div w:id="1014764180">
              <w:marLeft w:val="0"/>
              <w:marRight w:val="0"/>
              <w:marTop w:val="0"/>
              <w:marBottom w:val="0"/>
              <w:divBdr>
                <w:top w:val="none" w:sz="0" w:space="0" w:color="auto"/>
                <w:left w:val="none" w:sz="0" w:space="0" w:color="auto"/>
                <w:bottom w:val="none" w:sz="0" w:space="0" w:color="auto"/>
                <w:right w:val="none" w:sz="0" w:space="0" w:color="auto"/>
              </w:divBdr>
            </w:div>
          </w:divsChild>
        </w:div>
        <w:div w:id="1385519406">
          <w:marLeft w:val="0"/>
          <w:marRight w:val="0"/>
          <w:marTop w:val="0"/>
          <w:marBottom w:val="0"/>
          <w:divBdr>
            <w:top w:val="none" w:sz="0" w:space="0" w:color="auto"/>
            <w:left w:val="none" w:sz="0" w:space="0" w:color="auto"/>
            <w:bottom w:val="none" w:sz="0" w:space="0" w:color="auto"/>
            <w:right w:val="none" w:sz="0" w:space="0" w:color="auto"/>
          </w:divBdr>
          <w:divsChild>
            <w:div w:id="1809740590">
              <w:marLeft w:val="0"/>
              <w:marRight w:val="0"/>
              <w:marTop w:val="0"/>
              <w:marBottom w:val="0"/>
              <w:divBdr>
                <w:top w:val="none" w:sz="0" w:space="0" w:color="auto"/>
                <w:left w:val="none" w:sz="0" w:space="0" w:color="auto"/>
                <w:bottom w:val="none" w:sz="0" w:space="0" w:color="auto"/>
                <w:right w:val="none" w:sz="0" w:space="0" w:color="auto"/>
              </w:divBdr>
            </w:div>
          </w:divsChild>
        </w:div>
        <w:div w:id="1392188506">
          <w:marLeft w:val="0"/>
          <w:marRight w:val="0"/>
          <w:marTop w:val="0"/>
          <w:marBottom w:val="0"/>
          <w:divBdr>
            <w:top w:val="none" w:sz="0" w:space="0" w:color="auto"/>
            <w:left w:val="none" w:sz="0" w:space="0" w:color="auto"/>
            <w:bottom w:val="none" w:sz="0" w:space="0" w:color="auto"/>
            <w:right w:val="none" w:sz="0" w:space="0" w:color="auto"/>
          </w:divBdr>
          <w:divsChild>
            <w:div w:id="1737707267">
              <w:marLeft w:val="0"/>
              <w:marRight w:val="0"/>
              <w:marTop w:val="0"/>
              <w:marBottom w:val="0"/>
              <w:divBdr>
                <w:top w:val="none" w:sz="0" w:space="0" w:color="auto"/>
                <w:left w:val="none" w:sz="0" w:space="0" w:color="auto"/>
                <w:bottom w:val="none" w:sz="0" w:space="0" w:color="auto"/>
                <w:right w:val="none" w:sz="0" w:space="0" w:color="auto"/>
              </w:divBdr>
            </w:div>
          </w:divsChild>
        </w:div>
        <w:div w:id="1398168141">
          <w:marLeft w:val="0"/>
          <w:marRight w:val="0"/>
          <w:marTop w:val="0"/>
          <w:marBottom w:val="0"/>
          <w:divBdr>
            <w:top w:val="none" w:sz="0" w:space="0" w:color="auto"/>
            <w:left w:val="none" w:sz="0" w:space="0" w:color="auto"/>
            <w:bottom w:val="none" w:sz="0" w:space="0" w:color="auto"/>
            <w:right w:val="none" w:sz="0" w:space="0" w:color="auto"/>
          </w:divBdr>
          <w:divsChild>
            <w:div w:id="203832987">
              <w:marLeft w:val="0"/>
              <w:marRight w:val="0"/>
              <w:marTop w:val="0"/>
              <w:marBottom w:val="0"/>
              <w:divBdr>
                <w:top w:val="none" w:sz="0" w:space="0" w:color="auto"/>
                <w:left w:val="none" w:sz="0" w:space="0" w:color="auto"/>
                <w:bottom w:val="none" w:sz="0" w:space="0" w:color="auto"/>
                <w:right w:val="none" w:sz="0" w:space="0" w:color="auto"/>
              </w:divBdr>
            </w:div>
          </w:divsChild>
        </w:div>
        <w:div w:id="1402874575">
          <w:marLeft w:val="0"/>
          <w:marRight w:val="0"/>
          <w:marTop w:val="0"/>
          <w:marBottom w:val="0"/>
          <w:divBdr>
            <w:top w:val="none" w:sz="0" w:space="0" w:color="auto"/>
            <w:left w:val="none" w:sz="0" w:space="0" w:color="auto"/>
            <w:bottom w:val="none" w:sz="0" w:space="0" w:color="auto"/>
            <w:right w:val="none" w:sz="0" w:space="0" w:color="auto"/>
          </w:divBdr>
          <w:divsChild>
            <w:div w:id="174274656">
              <w:marLeft w:val="0"/>
              <w:marRight w:val="0"/>
              <w:marTop w:val="0"/>
              <w:marBottom w:val="0"/>
              <w:divBdr>
                <w:top w:val="none" w:sz="0" w:space="0" w:color="auto"/>
                <w:left w:val="none" w:sz="0" w:space="0" w:color="auto"/>
                <w:bottom w:val="none" w:sz="0" w:space="0" w:color="auto"/>
                <w:right w:val="none" w:sz="0" w:space="0" w:color="auto"/>
              </w:divBdr>
            </w:div>
          </w:divsChild>
        </w:div>
        <w:div w:id="1404521844">
          <w:marLeft w:val="0"/>
          <w:marRight w:val="0"/>
          <w:marTop w:val="0"/>
          <w:marBottom w:val="0"/>
          <w:divBdr>
            <w:top w:val="none" w:sz="0" w:space="0" w:color="auto"/>
            <w:left w:val="none" w:sz="0" w:space="0" w:color="auto"/>
            <w:bottom w:val="none" w:sz="0" w:space="0" w:color="auto"/>
            <w:right w:val="none" w:sz="0" w:space="0" w:color="auto"/>
          </w:divBdr>
          <w:divsChild>
            <w:div w:id="933784445">
              <w:marLeft w:val="0"/>
              <w:marRight w:val="0"/>
              <w:marTop w:val="0"/>
              <w:marBottom w:val="0"/>
              <w:divBdr>
                <w:top w:val="none" w:sz="0" w:space="0" w:color="auto"/>
                <w:left w:val="none" w:sz="0" w:space="0" w:color="auto"/>
                <w:bottom w:val="none" w:sz="0" w:space="0" w:color="auto"/>
                <w:right w:val="none" w:sz="0" w:space="0" w:color="auto"/>
              </w:divBdr>
            </w:div>
          </w:divsChild>
        </w:div>
        <w:div w:id="1405906270">
          <w:marLeft w:val="0"/>
          <w:marRight w:val="0"/>
          <w:marTop w:val="0"/>
          <w:marBottom w:val="0"/>
          <w:divBdr>
            <w:top w:val="none" w:sz="0" w:space="0" w:color="auto"/>
            <w:left w:val="none" w:sz="0" w:space="0" w:color="auto"/>
            <w:bottom w:val="none" w:sz="0" w:space="0" w:color="auto"/>
            <w:right w:val="none" w:sz="0" w:space="0" w:color="auto"/>
          </w:divBdr>
          <w:divsChild>
            <w:div w:id="1002972972">
              <w:marLeft w:val="0"/>
              <w:marRight w:val="0"/>
              <w:marTop w:val="0"/>
              <w:marBottom w:val="0"/>
              <w:divBdr>
                <w:top w:val="none" w:sz="0" w:space="0" w:color="auto"/>
                <w:left w:val="none" w:sz="0" w:space="0" w:color="auto"/>
                <w:bottom w:val="none" w:sz="0" w:space="0" w:color="auto"/>
                <w:right w:val="none" w:sz="0" w:space="0" w:color="auto"/>
              </w:divBdr>
            </w:div>
          </w:divsChild>
        </w:div>
        <w:div w:id="1415590159">
          <w:marLeft w:val="0"/>
          <w:marRight w:val="0"/>
          <w:marTop w:val="0"/>
          <w:marBottom w:val="0"/>
          <w:divBdr>
            <w:top w:val="none" w:sz="0" w:space="0" w:color="auto"/>
            <w:left w:val="none" w:sz="0" w:space="0" w:color="auto"/>
            <w:bottom w:val="none" w:sz="0" w:space="0" w:color="auto"/>
            <w:right w:val="none" w:sz="0" w:space="0" w:color="auto"/>
          </w:divBdr>
          <w:divsChild>
            <w:div w:id="1511404953">
              <w:marLeft w:val="0"/>
              <w:marRight w:val="0"/>
              <w:marTop w:val="0"/>
              <w:marBottom w:val="0"/>
              <w:divBdr>
                <w:top w:val="none" w:sz="0" w:space="0" w:color="auto"/>
                <w:left w:val="none" w:sz="0" w:space="0" w:color="auto"/>
                <w:bottom w:val="none" w:sz="0" w:space="0" w:color="auto"/>
                <w:right w:val="none" w:sz="0" w:space="0" w:color="auto"/>
              </w:divBdr>
            </w:div>
          </w:divsChild>
        </w:div>
        <w:div w:id="1421488697">
          <w:marLeft w:val="0"/>
          <w:marRight w:val="0"/>
          <w:marTop w:val="0"/>
          <w:marBottom w:val="0"/>
          <w:divBdr>
            <w:top w:val="none" w:sz="0" w:space="0" w:color="auto"/>
            <w:left w:val="none" w:sz="0" w:space="0" w:color="auto"/>
            <w:bottom w:val="none" w:sz="0" w:space="0" w:color="auto"/>
            <w:right w:val="none" w:sz="0" w:space="0" w:color="auto"/>
          </w:divBdr>
          <w:divsChild>
            <w:div w:id="470559903">
              <w:marLeft w:val="0"/>
              <w:marRight w:val="0"/>
              <w:marTop w:val="0"/>
              <w:marBottom w:val="0"/>
              <w:divBdr>
                <w:top w:val="none" w:sz="0" w:space="0" w:color="auto"/>
                <w:left w:val="none" w:sz="0" w:space="0" w:color="auto"/>
                <w:bottom w:val="none" w:sz="0" w:space="0" w:color="auto"/>
                <w:right w:val="none" w:sz="0" w:space="0" w:color="auto"/>
              </w:divBdr>
            </w:div>
          </w:divsChild>
        </w:div>
        <w:div w:id="1422681202">
          <w:marLeft w:val="0"/>
          <w:marRight w:val="0"/>
          <w:marTop w:val="0"/>
          <w:marBottom w:val="0"/>
          <w:divBdr>
            <w:top w:val="none" w:sz="0" w:space="0" w:color="auto"/>
            <w:left w:val="none" w:sz="0" w:space="0" w:color="auto"/>
            <w:bottom w:val="none" w:sz="0" w:space="0" w:color="auto"/>
            <w:right w:val="none" w:sz="0" w:space="0" w:color="auto"/>
          </w:divBdr>
          <w:divsChild>
            <w:div w:id="727069351">
              <w:marLeft w:val="0"/>
              <w:marRight w:val="0"/>
              <w:marTop w:val="0"/>
              <w:marBottom w:val="0"/>
              <w:divBdr>
                <w:top w:val="none" w:sz="0" w:space="0" w:color="auto"/>
                <w:left w:val="none" w:sz="0" w:space="0" w:color="auto"/>
                <w:bottom w:val="none" w:sz="0" w:space="0" w:color="auto"/>
                <w:right w:val="none" w:sz="0" w:space="0" w:color="auto"/>
              </w:divBdr>
            </w:div>
          </w:divsChild>
        </w:div>
        <w:div w:id="1424180329">
          <w:marLeft w:val="0"/>
          <w:marRight w:val="0"/>
          <w:marTop w:val="0"/>
          <w:marBottom w:val="0"/>
          <w:divBdr>
            <w:top w:val="none" w:sz="0" w:space="0" w:color="auto"/>
            <w:left w:val="none" w:sz="0" w:space="0" w:color="auto"/>
            <w:bottom w:val="none" w:sz="0" w:space="0" w:color="auto"/>
            <w:right w:val="none" w:sz="0" w:space="0" w:color="auto"/>
          </w:divBdr>
          <w:divsChild>
            <w:div w:id="985471093">
              <w:marLeft w:val="0"/>
              <w:marRight w:val="0"/>
              <w:marTop w:val="0"/>
              <w:marBottom w:val="0"/>
              <w:divBdr>
                <w:top w:val="none" w:sz="0" w:space="0" w:color="auto"/>
                <w:left w:val="none" w:sz="0" w:space="0" w:color="auto"/>
                <w:bottom w:val="none" w:sz="0" w:space="0" w:color="auto"/>
                <w:right w:val="none" w:sz="0" w:space="0" w:color="auto"/>
              </w:divBdr>
            </w:div>
          </w:divsChild>
        </w:div>
        <w:div w:id="1432816658">
          <w:marLeft w:val="0"/>
          <w:marRight w:val="0"/>
          <w:marTop w:val="0"/>
          <w:marBottom w:val="0"/>
          <w:divBdr>
            <w:top w:val="none" w:sz="0" w:space="0" w:color="auto"/>
            <w:left w:val="none" w:sz="0" w:space="0" w:color="auto"/>
            <w:bottom w:val="none" w:sz="0" w:space="0" w:color="auto"/>
            <w:right w:val="none" w:sz="0" w:space="0" w:color="auto"/>
          </w:divBdr>
          <w:divsChild>
            <w:div w:id="1561399009">
              <w:marLeft w:val="0"/>
              <w:marRight w:val="0"/>
              <w:marTop w:val="0"/>
              <w:marBottom w:val="0"/>
              <w:divBdr>
                <w:top w:val="none" w:sz="0" w:space="0" w:color="auto"/>
                <w:left w:val="none" w:sz="0" w:space="0" w:color="auto"/>
                <w:bottom w:val="none" w:sz="0" w:space="0" w:color="auto"/>
                <w:right w:val="none" w:sz="0" w:space="0" w:color="auto"/>
              </w:divBdr>
            </w:div>
          </w:divsChild>
        </w:div>
        <w:div w:id="1433741024">
          <w:marLeft w:val="0"/>
          <w:marRight w:val="0"/>
          <w:marTop w:val="0"/>
          <w:marBottom w:val="0"/>
          <w:divBdr>
            <w:top w:val="none" w:sz="0" w:space="0" w:color="auto"/>
            <w:left w:val="none" w:sz="0" w:space="0" w:color="auto"/>
            <w:bottom w:val="none" w:sz="0" w:space="0" w:color="auto"/>
            <w:right w:val="none" w:sz="0" w:space="0" w:color="auto"/>
          </w:divBdr>
          <w:divsChild>
            <w:div w:id="883712392">
              <w:marLeft w:val="0"/>
              <w:marRight w:val="0"/>
              <w:marTop w:val="0"/>
              <w:marBottom w:val="0"/>
              <w:divBdr>
                <w:top w:val="none" w:sz="0" w:space="0" w:color="auto"/>
                <w:left w:val="none" w:sz="0" w:space="0" w:color="auto"/>
                <w:bottom w:val="none" w:sz="0" w:space="0" w:color="auto"/>
                <w:right w:val="none" w:sz="0" w:space="0" w:color="auto"/>
              </w:divBdr>
            </w:div>
            <w:div w:id="904416573">
              <w:marLeft w:val="0"/>
              <w:marRight w:val="0"/>
              <w:marTop w:val="0"/>
              <w:marBottom w:val="0"/>
              <w:divBdr>
                <w:top w:val="none" w:sz="0" w:space="0" w:color="auto"/>
                <w:left w:val="none" w:sz="0" w:space="0" w:color="auto"/>
                <w:bottom w:val="none" w:sz="0" w:space="0" w:color="auto"/>
                <w:right w:val="none" w:sz="0" w:space="0" w:color="auto"/>
              </w:divBdr>
            </w:div>
          </w:divsChild>
        </w:div>
        <w:div w:id="1435980804">
          <w:marLeft w:val="0"/>
          <w:marRight w:val="0"/>
          <w:marTop w:val="0"/>
          <w:marBottom w:val="0"/>
          <w:divBdr>
            <w:top w:val="none" w:sz="0" w:space="0" w:color="auto"/>
            <w:left w:val="none" w:sz="0" w:space="0" w:color="auto"/>
            <w:bottom w:val="none" w:sz="0" w:space="0" w:color="auto"/>
            <w:right w:val="none" w:sz="0" w:space="0" w:color="auto"/>
          </w:divBdr>
          <w:divsChild>
            <w:div w:id="794642649">
              <w:marLeft w:val="0"/>
              <w:marRight w:val="0"/>
              <w:marTop w:val="0"/>
              <w:marBottom w:val="0"/>
              <w:divBdr>
                <w:top w:val="none" w:sz="0" w:space="0" w:color="auto"/>
                <w:left w:val="none" w:sz="0" w:space="0" w:color="auto"/>
                <w:bottom w:val="none" w:sz="0" w:space="0" w:color="auto"/>
                <w:right w:val="none" w:sz="0" w:space="0" w:color="auto"/>
              </w:divBdr>
            </w:div>
          </w:divsChild>
        </w:div>
        <w:div w:id="1441728299">
          <w:marLeft w:val="0"/>
          <w:marRight w:val="0"/>
          <w:marTop w:val="0"/>
          <w:marBottom w:val="0"/>
          <w:divBdr>
            <w:top w:val="none" w:sz="0" w:space="0" w:color="auto"/>
            <w:left w:val="none" w:sz="0" w:space="0" w:color="auto"/>
            <w:bottom w:val="none" w:sz="0" w:space="0" w:color="auto"/>
            <w:right w:val="none" w:sz="0" w:space="0" w:color="auto"/>
          </w:divBdr>
          <w:divsChild>
            <w:div w:id="884678997">
              <w:marLeft w:val="0"/>
              <w:marRight w:val="0"/>
              <w:marTop w:val="0"/>
              <w:marBottom w:val="0"/>
              <w:divBdr>
                <w:top w:val="none" w:sz="0" w:space="0" w:color="auto"/>
                <w:left w:val="none" w:sz="0" w:space="0" w:color="auto"/>
                <w:bottom w:val="none" w:sz="0" w:space="0" w:color="auto"/>
                <w:right w:val="none" w:sz="0" w:space="0" w:color="auto"/>
              </w:divBdr>
            </w:div>
          </w:divsChild>
        </w:div>
        <w:div w:id="1443302555">
          <w:marLeft w:val="0"/>
          <w:marRight w:val="0"/>
          <w:marTop w:val="0"/>
          <w:marBottom w:val="0"/>
          <w:divBdr>
            <w:top w:val="none" w:sz="0" w:space="0" w:color="auto"/>
            <w:left w:val="none" w:sz="0" w:space="0" w:color="auto"/>
            <w:bottom w:val="none" w:sz="0" w:space="0" w:color="auto"/>
            <w:right w:val="none" w:sz="0" w:space="0" w:color="auto"/>
          </w:divBdr>
          <w:divsChild>
            <w:div w:id="1504663437">
              <w:marLeft w:val="0"/>
              <w:marRight w:val="0"/>
              <w:marTop w:val="0"/>
              <w:marBottom w:val="0"/>
              <w:divBdr>
                <w:top w:val="none" w:sz="0" w:space="0" w:color="auto"/>
                <w:left w:val="none" w:sz="0" w:space="0" w:color="auto"/>
                <w:bottom w:val="none" w:sz="0" w:space="0" w:color="auto"/>
                <w:right w:val="none" w:sz="0" w:space="0" w:color="auto"/>
              </w:divBdr>
            </w:div>
          </w:divsChild>
        </w:div>
        <w:div w:id="1469129981">
          <w:marLeft w:val="0"/>
          <w:marRight w:val="0"/>
          <w:marTop w:val="0"/>
          <w:marBottom w:val="0"/>
          <w:divBdr>
            <w:top w:val="none" w:sz="0" w:space="0" w:color="auto"/>
            <w:left w:val="none" w:sz="0" w:space="0" w:color="auto"/>
            <w:bottom w:val="none" w:sz="0" w:space="0" w:color="auto"/>
            <w:right w:val="none" w:sz="0" w:space="0" w:color="auto"/>
          </w:divBdr>
          <w:divsChild>
            <w:div w:id="2018800654">
              <w:marLeft w:val="0"/>
              <w:marRight w:val="0"/>
              <w:marTop w:val="0"/>
              <w:marBottom w:val="0"/>
              <w:divBdr>
                <w:top w:val="none" w:sz="0" w:space="0" w:color="auto"/>
                <w:left w:val="none" w:sz="0" w:space="0" w:color="auto"/>
                <w:bottom w:val="none" w:sz="0" w:space="0" w:color="auto"/>
                <w:right w:val="none" w:sz="0" w:space="0" w:color="auto"/>
              </w:divBdr>
            </w:div>
          </w:divsChild>
        </w:div>
        <w:div w:id="1473987210">
          <w:marLeft w:val="0"/>
          <w:marRight w:val="0"/>
          <w:marTop w:val="0"/>
          <w:marBottom w:val="0"/>
          <w:divBdr>
            <w:top w:val="none" w:sz="0" w:space="0" w:color="auto"/>
            <w:left w:val="none" w:sz="0" w:space="0" w:color="auto"/>
            <w:bottom w:val="none" w:sz="0" w:space="0" w:color="auto"/>
            <w:right w:val="none" w:sz="0" w:space="0" w:color="auto"/>
          </w:divBdr>
          <w:divsChild>
            <w:div w:id="1209956002">
              <w:marLeft w:val="0"/>
              <w:marRight w:val="0"/>
              <w:marTop w:val="0"/>
              <w:marBottom w:val="0"/>
              <w:divBdr>
                <w:top w:val="none" w:sz="0" w:space="0" w:color="auto"/>
                <w:left w:val="none" w:sz="0" w:space="0" w:color="auto"/>
                <w:bottom w:val="none" w:sz="0" w:space="0" w:color="auto"/>
                <w:right w:val="none" w:sz="0" w:space="0" w:color="auto"/>
              </w:divBdr>
            </w:div>
          </w:divsChild>
        </w:div>
        <w:div w:id="1476217372">
          <w:marLeft w:val="0"/>
          <w:marRight w:val="0"/>
          <w:marTop w:val="0"/>
          <w:marBottom w:val="0"/>
          <w:divBdr>
            <w:top w:val="none" w:sz="0" w:space="0" w:color="auto"/>
            <w:left w:val="none" w:sz="0" w:space="0" w:color="auto"/>
            <w:bottom w:val="none" w:sz="0" w:space="0" w:color="auto"/>
            <w:right w:val="none" w:sz="0" w:space="0" w:color="auto"/>
          </w:divBdr>
          <w:divsChild>
            <w:div w:id="246698759">
              <w:marLeft w:val="0"/>
              <w:marRight w:val="0"/>
              <w:marTop w:val="0"/>
              <w:marBottom w:val="0"/>
              <w:divBdr>
                <w:top w:val="none" w:sz="0" w:space="0" w:color="auto"/>
                <w:left w:val="none" w:sz="0" w:space="0" w:color="auto"/>
                <w:bottom w:val="none" w:sz="0" w:space="0" w:color="auto"/>
                <w:right w:val="none" w:sz="0" w:space="0" w:color="auto"/>
              </w:divBdr>
            </w:div>
            <w:div w:id="1216427365">
              <w:marLeft w:val="0"/>
              <w:marRight w:val="0"/>
              <w:marTop w:val="0"/>
              <w:marBottom w:val="0"/>
              <w:divBdr>
                <w:top w:val="none" w:sz="0" w:space="0" w:color="auto"/>
                <w:left w:val="none" w:sz="0" w:space="0" w:color="auto"/>
                <w:bottom w:val="none" w:sz="0" w:space="0" w:color="auto"/>
                <w:right w:val="none" w:sz="0" w:space="0" w:color="auto"/>
              </w:divBdr>
            </w:div>
            <w:div w:id="1664308899">
              <w:marLeft w:val="0"/>
              <w:marRight w:val="0"/>
              <w:marTop w:val="0"/>
              <w:marBottom w:val="0"/>
              <w:divBdr>
                <w:top w:val="none" w:sz="0" w:space="0" w:color="auto"/>
                <w:left w:val="none" w:sz="0" w:space="0" w:color="auto"/>
                <w:bottom w:val="none" w:sz="0" w:space="0" w:color="auto"/>
                <w:right w:val="none" w:sz="0" w:space="0" w:color="auto"/>
              </w:divBdr>
            </w:div>
            <w:div w:id="2008903407">
              <w:marLeft w:val="0"/>
              <w:marRight w:val="0"/>
              <w:marTop w:val="0"/>
              <w:marBottom w:val="0"/>
              <w:divBdr>
                <w:top w:val="none" w:sz="0" w:space="0" w:color="auto"/>
                <w:left w:val="none" w:sz="0" w:space="0" w:color="auto"/>
                <w:bottom w:val="none" w:sz="0" w:space="0" w:color="auto"/>
                <w:right w:val="none" w:sz="0" w:space="0" w:color="auto"/>
              </w:divBdr>
            </w:div>
          </w:divsChild>
        </w:div>
        <w:div w:id="1479877266">
          <w:marLeft w:val="0"/>
          <w:marRight w:val="0"/>
          <w:marTop w:val="0"/>
          <w:marBottom w:val="0"/>
          <w:divBdr>
            <w:top w:val="none" w:sz="0" w:space="0" w:color="auto"/>
            <w:left w:val="none" w:sz="0" w:space="0" w:color="auto"/>
            <w:bottom w:val="none" w:sz="0" w:space="0" w:color="auto"/>
            <w:right w:val="none" w:sz="0" w:space="0" w:color="auto"/>
          </w:divBdr>
          <w:divsChild>
            <w:div w:id="1304114295">
              <w:marLeft w:val="0"/>
              <w:marRight w:val="0"/>
              <w:marTop w:val="0"/>
              <w:marBottom w:val="0"/>
              <w:divBdr>
                <w:top w:val="none" w:sz="0" w:space="0" w:color="auto"/>
                <w:left w:val="none" w:sz="0" w:space="0" w:color="auto"/>
                <w:bottom w:val="none" w:sz="0" w:space="0" w:color="auto"/>
                <w:right w:val="none" w:sz="0" w:space="0" w:color="auto"/>
              </w:divBdr>
            </w:div>
          </w:divsChild>
        </w:div>
        <w:div w:id="1483697705">
          <w:marLeft w:val="0"/>
          <w:marRight w:val="0"/>
          <w:marTop w:val="0"/>
          <w:marBottom w:val="0"/>
          <w:divBdr>
            <w:top w:val="none" w:sz="0" w:space="0" w:color="auto"/>
            <w:left w:val="none" w:sz="0" w:space="0" w:color="auto"/>
            <w:bottom w:val="none" w:sz="0" w:space="0" w:color="auto"/>
            <w:right w:val="none" w:sz="0" w:space="0" w:color="auto"/>
          </w:divBdr>
          <w:divsChild>
            <w:div w:id="788283332">
              <w:marLeft w:val="0"/>
              <w:marRight w:val="0"/>
              <w:marTop w:val="0"/>
              <w:marBottom w:val="0"/>
              <w:divBdr>
                <w:top w:val="none" w:sz="0" w:space="0" w:color="auto"/>
                <w:left w:val="none" w:sz="0" w:space="0" w:color="auto"/>
                <w:bottom w:val="none" w:sz="0" w:space="0" w:color="auto"/>
                <w:right w:val="none" w:sz="0" w:space="0" w:color="auto"/>
              </w:divBdr>
            </w:div>
          </w:divsChild>
        </w:div>
        <w:div w:id="1490829601">
          <w:marLeft w:val="0"/>
          <w:marRight w:val="0"/>
          <w:marTop w:val="0"/>
          <w:marBottom w:val="0"/>
          <w:divBdr>
            <w:top w:val="none" w:sz="0" w:space="0" w:color="auto"/>
            <w:left w:val="none" w:sz="0" w:space="0" w:color="auto"/>
            <w:bottom w:val="none" w:sz="0" w:space="0" w:color="auto"/>
            <w:right w:val="none" w:sz="0" w:space="0" w:color="auto"/>
          </w:divBdr>
          <w:divsChild>
            <w:div w:id="1310132450">
              <w:marLeft w:val="0"/>
              <w:marRight w:val="0"/>
              <w:marTop w:val="0"/>
              <w:marBottom w:val="0"/>
              <w:divBdr>
                <w:top w:val="none" w:sz="0" w:space="0" w:color="auto"/>
                <w:left w:val="none" w:sz="0" w:space="0" w:color="auto"/>
                <w:bottom w:val="none" w:sz="0" w:space="0" w:color="auto"/>
                <w:right w:val="none" w:sz="0" w:space="0" w:color="auto"/>
              </w:divBdr>
            </w:div>
          </w:divsChild>
        </w:div>
        <w:div w:id="1499154996">
          <w:marLeft w:val="0"/>
          <w:marRight w:val="0"/>
          <w:marTop w:val="0"/>
          <w:marBottom w:val="0"/>
          <w:divBdr>
            <w:top w:val="none" w:sz="0" w:space="0" w:color="auto"/>
            <w:left w:val="none" w:sz="0" w:space="0" w:color="auto"/>
            <w:bottom w:val="none" w:sz="0" w:space="0" w:color="auto"/>
            <w:right w:val="none" w:sz="0" w:space="0" w:color="auto"/>
          </w:divBdr>
          <w:divsChild>
            <w:div w:id="680084460">
              <w:marLeft w:val="0"/>
              <w:marRight w:val="0"/>
              <w:marTop w:val="0"/>
              <w:marBottom w:val="0"/>
              <w:divBdr>
                <w:top w:val="none" w:sz="0" w:space="0" w:color="auto"/>
                <w:left w:val="none" w:sz="0" w:space="0" w:color="auto"/>
                <w:bottom w:val="none" w:sz="0" w:space="0" w:color="auto"/>
                <w:right w:val="none" w:sz="0" w:space="0" w:color="auto"/>
              </w:divBdr>
            </w:div>
          </w:divsChild>
        </w:div>
        <w:div w:id="1506289722">
          <w:marLeft w:val="0"/>
          <w:marRight w:val="0"/>
          <w:marTop w:val="0"/>
          <w:marBottom w:val="0"/>
          <w:divBdr>
            <w:top w:val="none" w:sz="0" w:space="0" w:color="auto"/>
            <w:left w:val="none" w:sz="0" w:space="0" w:color="auto"/>
            <w:bottom w:val="none" w:sz="0" w:space="0" w:color="auto"/>
            <w:right w:val="none" w:sz="0" w:space="0" w:color="auto"/>
          </w:divBdr>
          <w:divsChild>
            <w:div w:id="1336374219">
              <w:marLeft w:val="0"/>
              <w:marRight w:val="0"/>
              <w:marTop w:val="0"/>
              <w:marBottom w:val="0"/>
              <w:divBdr>
                <w:top w:val="none" w:sz="0" w:space="0" w:color="auto"/>
                <w:left w:val="none" w:sz="0" w:space="0" w:color="auto"/>
                <w:bottom w:val="none" w:sz="0" w:space="0" w:color="auto"/>
                <w:right w:val="none" w:sz="0" w:space="0" w:color="auto"/>
              </w:divBdr>
            </w:div>
            <w:div w:id="1808086332">
              <w:marLeft w:val="0"/>
              <w:marRight w:val="0"/>
              <w:marTop w:val="0"/>
              <w:marBottom w:val="0"/>
              <w:divBdr>
                <w:top w:val="none" w:sz="0" w:space="0" w:color="auto"/>
                <w:left w:val="none" w:sz="0" w:space="0" w:color="auto"/>
                <w:bottom w:val="none" w:sz="0" w:space="0" w:color="auto"/>
                <w:right w:val="none" w:sz="0" w:space="0" w:color="auto"/>
              </w:divBdr>
            </w:div>
          </w:divsChild>
        </w:div>
        <w:div w:id="1506893299">
          <w:marLeft w:val="0"/>
          <w:marRight w:val="0"/>
          <w:marTop w:val="0"/>
          <w:marBottom w:val="0"/>
          <w:divBdr>
            <w:top w:val="none" w:sz="0" w:space="0" w:color="auto"/>
            <w:left w:val="none" w:sz="0" w:space="0" w:color="auto"/>
            <w:bottom w:val="none" w:sz="0" w:space="0" w:color="auto"/>
            <w:right w:val="none" w:sz="0" w:space="0" w:color="auto"/>
          </w:divBdr>
          <w:divsChild>
            <w:div w:id="1655839495">
              <w:marLeft w:val="0"/>
              <w:marRight w:val="0"/>
              <w:marTop w:val="0"/>
              <w:marBottom w:val="0"/>
              <w:divBdr>
                <w:top w:val="none" w:sz="0" w:space="0" w:color="auto"/>
                <w:left w:val="none" w:sz="0" w:space="0" w:color="auto"/>
                <w:bottom w:val="none" w:sz="0" w:space="0" w:color="auto"/>
                <w:right w:val="none" w:sz="0" w:space="0" w:color="auto"/>
              </w:divBdr>
            </w:div>
          </w:divsChild>
        </w:div>
        <w:div w:id="1510171394">
          <w:marLeft w:val="0"/>
          <w:marRight w:val="0"/>
          <w:marTop w:val="0"/>
          <w:marBottom w:val="0"/>
          <w:divBdr>
            <w:top w:val="none" w:sz="0" w:space="0" w:color="auto"/>
            <w:left w:val="none" w:sz="0" w:space="0" w:color="auto"/>
            <w:bottom w:val="none" w:sz="0" w:space="0" w:color="auto"/>
            <w:right w:val="none" w:sz="0" w:space="0" w:color="auto"/>
          </w:divBdr>
          <w:divsChild>
            <w:div w:id="717583100">
              <w:marLeft w:val="0"/>
              <w:marRight w:val="0"/>
              <w:marTop w:val="0"/>
              <w:marBottom w:val="0"/>
              <w:divBdr>
                <w:top w:val="none" w:sz="0" w:space="0" w:color="auto"/>
                <w:left w:val="none" w:sz="0" w:space="0" w:color="auto"/>
                <w:bottom w:val="none" w:sz="0" w:space="0" w:color="auto"/>
                <w:right w:val="none" w:sz="0" w:space="0" w:color="auto"/>
              </w:divBdr>
            </w:div>
          </w:divsChild>
        </w:div>
        <w:div w:id="1515412964">
          <w:marLeft w:val="0"/>
          <w:marRight w:val="0"/>
          <w:marTop w:val="0"/>
          <w:marBottom w:val="0"/>
          <w:divBdr>
            <w:top w:val="none" w:sz="0" w:space="0" w:color="auto"/>
            <w:left w:val="none" w:sz="0" w:space="0" w:color="auto"/>
            <w:bottom w:val="none" w:sz="0" w:space="0" w:color="auto"/>
            <w:right w:val="none" w:sz="0" w:space="0" w:color="auto"/>
          </w:divBdr>
          <w:divsChild>
            <w:div w:id="410664917">
              <w:marLeft w:val="0"/>
              <w:marRight w:val="0"/>
              <w:marTop w:val="0"/>
              <w:marBottom w:val="0"/>
              <w:divBdr>
                <w:top w:val="none" w:sz="0" w:space="0" w:color="auto"/>
                <w:left w:val="none" w:sz="0" w:space="0" w:color="auto"/>
                <w:bottom w:val="none" w:sz="0" w:space="0" w:color="auto"/>
                <w:right w:val="none" w:sz="0" w:space="0" w:color="auto"/>
              </w:divBdr>
            </w:div>
          </w:divsChild>
        </w:div>
        <w:div w:id="1517303889">
          <w:marLeft w:val="0"/>
          <w:marRight w:val="0"/>
          <w:marTop w:val="0"/>
          <w:marBottom w:val="0"/>
          <w:divBdr>
            <w:top w:val="none" w:sz="0" w:space="0" w:color="auto"/>
            <w:left w:val="none" w:sz="0" w:space="0" w:color="auto"/>
            <w:bottom w:val="none" w:sz="0" w:space="0" w:color="auto"/>
            <w:right w:val="none" w:sz="0" w:space="0" w:color="auto"/>
          </w:divBdr>
          <w:divsChild>
            <w:div w:id="1133642804">
              <w:marLeft w:val="0"/>
              <w:marRight w:val="0"/>
              <w:marTop w:val="0"/>
              <w:marBottom w:val="0"/>
              <w:divBdr>
                <w:top w:val="none" w:sz="0" w:space="0" w:color="auto"/>
                <w:left w:val="none" w:sz="0" w:space="0" w:color="auto"/>
                <w:bottom w:val="none" w:sz="0" w:space="0" w:color="auto"/>
                <w:right w:val="none" w:sz="0" w:space="0" w:color="auto"/>
              </w:divBdr>
            </w:div>
          </w:divsChild>
        </w:div>
        <w:div w:id="1522545358">
          <w:marLeft w:val="0"/>
          <w:marRight w:val="0"/>
          <w:marTop w:val="0"/>
          <w:marBottom w:val="0"/>
          <w:divBdr>
            <w:top w:val="none" w:sz="0" w:space="0" w:color="auto"/>
            <w:left w:val="none" w:sz="0" w:space="0" w:color="auto"/>
            <w:bottom w:val="none" w:sz="0" w:space="0" w:color="auto"/>
            <w:right w:val="none" w:sz="0" w:space="0" w:color="auto"/>
          </w:divBdr>
          <w:divsChild>
            <w:div w:id="1951622243">
              <w:marLeft w:val="0"/>
              <w:marRight w:val="0"/>
              <w:marTop w:val="0"/>
              <w:marBottom w:val="0"/>
              <w:divBdr>
                <w:top w:val="none" w:sz="0" w:space="0" w:color="auto"/>
                <w:left w:val="none" w:sz="0" w:space="0" w:color="auto"/>
                <w:bottom w:val="none" w:sz="0" w:space="0" w:color="auto"/>
                <w:right w:val="none" w:sz="0" w:space="0" w:color="auto"/>
              </w:divBdr>
            </w:div>
          </w:divsChild>
        </w:div>
        <w:div w:id="1524830119">
          <w:marLeft w:val="0"/>
          <w:marRight w:val="0"/>
          <w:marTop w:val="0"/>
          <w:marBottom w:val="0"/>
          <w:divBdr>
            <w:top w:val="none" w:sz="0" w:space="0" w:color="auto"/>
            <w:left w:val="none" w:sz="0" w:space="0" w:color="auto"/>
            <w:bottom w:val="none" w:sz="0" w:space="0" w:color="auto"/>
            <w:right w:val="none" w:sz="0" w:space="0" w:color="auto"/>
          </w:divBdr>
          <w:divsChild>
            <w:div w:id="2071151293">
              <w:marLeft w:val="0"/>
              <w:marRight w:val="0"/>
              <w:marTop w:val="0"/>
              <w:marBottom w:val="0"/>
              <w:divBdr>
                <w:top w:val="none" w:sz="0" w:space="0" w:color="auto"/>
                <w:left w:val="none" w:sz="0" w:space="0" w:color="auto"/>
                <w:bottom w:val="none" w:sz="0" w:space="0" w:color="auto"/>
                <w:right w:val="none" w:sz="0" w:space="0" w:color="auto"/>
              </w:divBdr>
            </w:div>
          </w:divsChild>
        </w:div>
        <w:div w:id="1526866660">
          <w:marLeft w:val="0"/>
          <w:marRight w:val="0"/>
          <w:marTop w:val="0"/>
          <w:marBottom w:val="0"/>
          <w:divBdr>
            <w:top w:val="none" w:sz="0" w:space="0" w:color="auto"/>
            <w:left w:val="none" w:sz="0" w:space="0" w:color="auto"/>
            <w:bottom w:val="none" w:sz="0" w:space="0" w:color="auto"/>
            <w:right w:val="none" w:sz="0" w:space="0" w:color="auto"/>
          </w:divBdr>
          <w:divsChild>
            <w:div w:id="1007445165">
              <w:marLeft w:val="0"/>
              <w:marRight w:val="0"/>
              <w:marTop w:val="0"/>
              <w:marBottom w:val="0"/>
              <w:divBdr>
                <w:top w:val="none" w:sz="0" w:space="0" w:color="auto"/>
                <w:left w:val="none" w:sz="0" w:space="0" w:color="auto"/>
                <w:bottom w:val="none" w:sz="0" w:space="0" w:color="auto"/>
                <w:right w:val="none" w:sz="0" w:space="0" w:color="auto"/>
              </w:divBdr>
            </w:div>
          </w:divsChild>
        </w:div>
        <w:div w:id="1526945777">
          <w:marLeft w:val="0"/>
          <w:marRight w:val="0"/>
          <w:marTop w:val="0"/>
          <w:marBottom w:val="0"/>
          <w:divBdr>
            <w:top w:val="none" w:sz="0" w:space="0" w:color="auto"/>
            <w:left w:val="none" w:sz="0" w:space="0" w:color="auto"/>
            <w:bottom w:val="none" w:sz="0" w:space="0" w:color="auto"/>
            <w:right w:val="none" w:sz="0" w:space="0" w:color="auto"/>
          </w:divBdr>
          <w:divsChild>
            <w:div w:id="2103648667">
              <w:marLeft w:val="0"/>
              <w:marRight w:val="0"/>
              <w:marTop w:val="0"/>
              <w:marBottom w:val="0"/>
              <w:divBdr>
                <w:top w:val="none" w:sz="0" w:space="0" w:color="auto"/>
                <w:left w:val="none" w:sz="0" w:space="0" w:color="auto"/>
                <w:bottom w:val="none" w:sz="0" w:space="0" w:color="auto"/>
                <w:right w:val="none" w:sz="0" w:space="0" w:color="auto"/>
              </w:divBdr>
            </w:div>
          </w:divsChild>
        </w:div>
        <w:div w:id="1527402509">
          <w:marLeft w:val="0"/>
          <w:marRight w:val="0"/>
          <w:marTop w:val="0"/>
          <w:marBottom w:val="0"/>
          <w:divBdr>
            <w:top w:val="none" w:sz="0" w:space="0" w:color="auto"/>
            <w:left w:val="none" w:sz="0" w:space="0" w:color="auto"/>
            <w:bottom w:val="none" w:sz="0" w:space="0" w:color="auto"/>
            <w:right w:val="none" w:sz="0" w:space="0" w:color="auto"/>
          </w:divBdr>
          <w:divsChild>
            <w:div w:id="1525049714">
              <w:marLeft w:val="0"/>
              <w:marRight w:val="0"/>
              <w:marTop w:val="0"/>
              <w:marBottom w:val="0"/>
              <w:divBdr>
                <w:top w:val="none" w:sz="0" w:space="0" w:color="auto"/>
                <w:left w:val="none" w:sz="0" w:space="0" w:color="auto"/>
                <w:bottom w:val="none" w:sz="0" w:space="0" w:color="auto"/>
                <w:right w:val="none" w:sz="0" w:space="0" w:color="auto"/>
              </w:divBdr>
            </w:div>
          </w:divsChild>
        </w:div>
        <w:div w:id="1528517927">
          <w:marLeft w:val="0"/>
          <w:marRight w:val="0"/>
          <w:marTop w:val="0"/>
          <w:marBottom w:val="0"/>
          <w:divBdr>
            <w:top w:val="none" w:sz="0" w:space="0" w:color="auto"/>
            <w:left w:val="none" w:sz="0" w:space="0" w:color="auto"/>
            <w:bottom w:val="none" w:sz="0" w:space="0" w:color="auto"/>
            <w:right w:val="none" w:sz="0" w:space="0" w:color="auto"/>
          </w:divBdr>
          <w:divsChild>
            <w:div w:id="605040626">
              <w:marLeft w:val="0"/>
              <w:marRight w:val="0"/>
              <w:marTop w:val="0"/>
              <w:marBottom w:val="0"/>
              <w:divBdr>
                <w:top w:val="none" w:sz="0" w:space="0" w:color="auto"/>
                <w:left w:val="none" w:sz="0" w:space="0" w:color="auto"/>
                <w:bottom w:val="none" w:sz="0" w:space="0" w:color="auto"/>
                <w:right w:val="none" w:sz="0" w:space="0" w:color="auto"/>
              </w:divBdr>
            </w:div>
          </w:divsChild>
        </w:div>
        <w:div w:id="1529563059">
          <w:marLeft w:val="0"/>
          <w:marRight w:val="0"/>
          <w:marTop w:val="0"/>
          <w:marBottom w:val="0"/>
          <w:divBdr>
            <w:top w:val="none" w:sz="0" w:space="0" w:color="auto"/>
            <w:left w:val="none" w:sz="0" w:space="0" w:color="auto"/>
            <w:bottom w:val="none" w:sz="0" w:space="0" w:color="auto"/>
            <w:right w:val="none" w:sz="0" w:space="0" w:color="auto"/>
          </w:divBdr>
          <w:divsChild>
            <w:div w:id="1459298892">
              <w:marLeft w:val="0"/>
              <w:marRight w:val="0"/>
              <w:marTop w:val="0"/>
              <w:marBottom w:val="0"/>
              <w:divBdr>
                <w:top w:val="none" w:sz="0" w:space="0" w:color="auto"/>
                <w:left w:val="none" w:sz="0" w:space="0" w:color="auto"/>
                <w:bottom w:val="none" w:sz="0" w:space="0" w:color="auto"/>
                <w:right w:val="none" w:sz="0" w:space="0" w:color="auto"/>
              </w:divBdr>
            </w:div>
          </w:divsChild>
        </w:div>
        <w:div w:id="1534923053">
          <w:marLeft w:val="0"/>
          <w:marRight w:val="0"/>
          <w:marTop w:val="0"/>
          <w:marBottom w:val="0"/>
          <w:divBdr>
            <w:top w:val="none" w:sz="0" w:space="0" w:color="auto"/>
            <w:left w:val="none" w:sz="0" w:space="0" w:color="auto"/>
            <w:bottom w:val="none" w:sz="0" w:space="0" w:color="auto"/>
            <w:right w:val="none" w:sz="0" w:space="0" w:color="auto"/>
          </w:divBdr>
          <w:divsChild>
            <w:div w:id="599414572">
              <w:marLeft w:val="0"/>
              <w:marRight w:val="0"/>
              <w:marTop w:val="0"/>
              <w:marBottom w:val="0"/>
              <w:divBdr>
                <w:top w:val="none" w:sz="0" w:space="0" w:color="auto"/>
                <w:left w:val="none" w:sz="0" w:space="0" w:color="auto"/>
                <w:bottom w:val="none" w:sz="0" w:space="0" w:color="auto"/>
                <w:right w:val="none" w:sz="0" w:space="0" w:color="auto"/>
              </w:divBdr>
            </w:div>
          </w:divsChild>
        </w:div>
        <w:div w:id="1546524421">
          <w:marLeft w:val="0"/>
          <w:marRight w:val="0"/>
          <w:marTop w:val="0"/>
          <w:marBottom w:val="0"/>
          <w:divBdr>
            <w:top w:val="none" w:sz="0" w:space="0" w:color="auto"/>
            <w:left w:val="none" w:sz="0" w:space="0" w:color="auto"/>
            <w:bottom w:val="none" w:sz="0" w:space="0" w:color="auto"/>
            <w:right w:val="none" w:sz="0" w:space="0" w:color="auto"/>
          </w:divBdr>
          <w:divsChild>
            <w:div w:id="939796485">
              <w:marLeft w:val="0"/>
              <w:marRight w:val="0"/>
              <w:marTop w:val="0"/>
              <w:marBottom w:val="0"/>
              <w:divBdr>
                <w:top w:val="none" w:sz="0" w:space="0" w:color="auto"/>
                <w:left w:val="none" w:sz="0" w:space="0" w:color="auto"/>
                <w:bottom w:val="none" w:sz="0" w:space="0" w:color="auto"/>
                <w:right w:val="none" w:sz="0" w:space="0" w:color="auto"/>
              </w:divBdr>
            </w:div>
          </w:divsChild>
        </w:div>
        <w:div w:id="1563368153">
          <w:marLeft w:val="0"/>
          <w:marRight w:val="0"/>
          <w:marTop w:val="0"/>
          <w:marBottom w:val="0"/>
          <w:divBdr>
            <w:top w:val="none" w:sz="0" w:space="0" w:color="auto"/>
            <w:left w:val="none" w:sz="0" w:space="0" w:color="auto"/>
            <w:bottom w:val="none" w:sz="0" w:space="0" w:color="auto"/>
            <w:right w:val="none" w:sz="0" w:space="0" w:color="auto"/>
          </w:divBdr>
          <w:divsChild>
            <w:div w:id="56903300">
              <w:marLeft w:val="0"/>
              <w:marRight w:val="0"/>
              <w:marTop w:val="0"/>
              <w:marBottom w:val="0"/>
              <w:divBdr>
                <w:top w:val="none" w:sz="0" w:space="0" w:color="auto"/>
                <w:left w:val="none" w:sz="0" w:space="0" w:color="auto"/>
                <w:bottom w:val="none" w:sz="0" w:space="0" w:color="auto"/>
                <w:right w:val="none" w:sz="0" w:space="0" w:color="auto"/>
              </w:divBdr>
            </w:div>
          </w:divsChild>
        </w:div>
        <w:div w:id="1568999834">
          <w:marLeft w:val="0"/>
          <w:marRight w:val="0"/>
          <w:marTop w:val="0"/>
          <w:marBottom w:val="0"/>
          <w:divBdr>
            <w:top w:val="none" w:sz="0" w:space="0" w:color="auto"/>
            <w:left w:val="none" w:sz="0" w:space="0" w:color="auto"/>
            <w:bottom w:val="none" w:sz="0" w:space="0" w:color="auto"/>
            <w:right w:val="none" w:sz="0" w:space="0" w:color="auto"/>
          </w:divBdr>
          <w:divsChild>
            <w:div w:id="1687245595">
              <w:marLeft w:val="0"/>
              <w:marRight w:val="0"/>
              <w:marTop w:val="0"/>
              <w:marBottom w:val="0"/>
              <w:divBdr>
                <w:top w:val="none" w:sz="0" w:space="0" w:color="auto"/>
                <w:left w:val="none" w:sz="0" w:space="0" w:color="auto"/>
                <w:bottom w:val="none" w:sz="0" w:space="0" w:color="auto"/>
                <w:right w:val="none" w:sz="0" w:space="0" w:color="auto"/>
              </w:divBdr>
            </w:div>
          </w:divsChild>
        </w:div>
        <w:div w:id="1572885557">
          <w:marLeft w:val="0"/>
          <w:marRight w:val="0"/>
          <w:marTop w:val="0"/>
          <w:marBottom w:val="0"/>
          <w:divBdr>
            <w:top w:val="none" w:sz="0" w:space="0" w:color="auto"/>
            <w:left w:val="none" w:sz="0" w:space="0" w:color="auto"/>
            <w:bottom w:val="none" w:sz="0" w:space="0" w:color="auto"/>
            <w:right w:val="none" w:sz="0" w:space="0" w:color="auto"/>
          </w:divBdr>
          <w:divsChild>
            <w:div w:id="1944222985">
              <w:marLeft w:val="0"/>
              <w:marRight w:val="0"/>
              <w:marTop w:val="0"/>
              <w:marBottom w:val="0"/>
              <w:divBdr>
                <w:top w:val="none" w:sz="0" w:space="0" w:color="auto"/>
                <w:left w:val="none" w:sz="0" w:space="0" w:color="auto"/>
                <w:bottom w:val="none" w:sz="0" w:space="0" w:color="auto"/>
                <w:right w:val="none" w:sz="0" w:space="0" w:color="auto"/>
              </w:divBdr>
            </w:div>
          </w:divsChild>
        </w:div>
        <w:div w:id="1573738707">
          <w:marLeft w:val="0"/>
          <w:marRight w:val="0"/>
          <w:marTop w:val="0"/>
          <w:marBottom w:val="0"/>
          <w:divBdr>
            <w:top w:val="none" w:sz="0" w:space="0" w:color="auto"/>
            <w:left w:val="none" w:sz="0" w:space="0" w:color="auto"/>
            <w:bottom w:val="none" w:sz="0" w:space="0" w:color="auto"/>
            <w:right w:val="none" w:sz="0" w:space="0" w:color="auto"/>
          </w:divBdr>
          <w:divsChild>
            <w:div w:id="1495950949">
              <w:marLeft w:val="0"/>
              <w:marRight w:val="0"/>
              <w:marTop w:val="0"/>
              <w:marBottom w:val="0"/>
              <w:divBdr>
                <w:top w:val="none" w:sz="0" w:space="0" w:color="auto"/>
                <w:left w:val="none" w:sz="0" w:space="0" w:color="auto"/>
                <w:bottom w:val="none" w:sz="0" w:space="0" w:color="auto"/>
                <w:right w:val="none" w:sz="0" w:space="0" w:color="auto"/>
              </w:divBdr>
            </w:div>
          </w:divsChild>
        </w:div>
        <w:div w:id="1574587268">
          <w:marLeft w:val="0"/>
          <w:marRight w:val="0"/>
          <w:marTop w:val="0"/>
          <w:marBottom w:val="0"/>
          <w:divBdr>
            <w:top w:val="none" w:sz="0" w:space="0" w:color="auto"/>
            <w:left w:val="none" w:sz="0" w:space="0" w:color="auto"/>
            <w:bottom w:val="none" w:sz="0" w:space="0" w:color="auto"/>
            <w:right w:val="none" w:sz="0" w:space="0" w:color="auto"/>
          </w:divBdr>
          <w:divsChild>
            <w:div w:id="1107504544">
              <w:marLeft w:val="0"/>
              <w:marRight w:val="0"/>
              <w:marTop w:val="0"/>
              <w:marBottom w:val="0"/>
              <w:divBdr>
                <w:top w:val="none" w:sz="0" w:space="0" w:color="auto"/>
                <w:left w:val="none" w:sz="0" w:space="0" w:color="auto"/>
                <w:bottom w:val="none" w:sz="0" w:space="0" w:color="auto"/>
                <w:right w:val="none" w:sz="0" w:space="0" w:color="auto"/>
              </w:divBdr>
            </w:div>
          </w:divsChild>
        </w:div>
        <w:div w:id="1581208610">
          <w:marLeft w:val="0"/>
          <w:marRight w:val="0"/>
          <w:marTop w:val="0"/>
          <w:marBottom w:val="0"/>
          <w:divBdr>
            <w:top w:val="none" w:sz="0" w:space="0" w:color="auto"/>
            <w:left w:val="none" w:sz="0" w:space="0" w:color="auto"/>
            <w:bottom w:val="none" w:sz="0" w:space="0" w:color="auto"/>
            <w:right w:val="none" w:sz="0" w:space="0" w:color="auto"/>
          </w:divBdr>
          <w:divsChild>
            <w:div w:id="2040546164">
              <w:marLeft w:val="0"/>
              <w:marRight w:val="0"/>
              <w:marTop w:val="0"/>
              <w:marBottom w:val="0"/>
              <w:divBdr>
                <w:top w:val="none" w:sz="0" w:space="0" w:color="auto"/>
                <w:left w:val="none" w:sz="0" w:space="0" w:color="auto"/>
                <w:bottom w:val="none" w:sz="0" w:space="0" w:color="auto"/>
                <w:right w:val="none" w:sz="0" w:space="0" w:color="auto"/>
              </w:divBdr>
            </w:div>
          </w:divsChild>
        </w:div>
        <w:div w:id="1596939017">
          <w:marLeft w:val="0"/>
          <w:marRight w:val="0"/>
          <w:marTop w:val="0"/>
          <w:marBottom w:val="0"/>
          <w:divBdr>
            <w:top w:val="none" w:sz="0" w:space="0" w:color="auto"/>
            <w:left w:val="none" w:sz="0" w:space="0" w:color="auto"/>
            <w:bottom w:val="none" w:sz="0" w:space="0" w:color="auto"/>
            <w:right w:val="none" w:sz="0" w:space="0" w:color="auto"/>
          </w:divBdr>
          <w:divsChild>
            <w:div w:id="170881334">
              <w:marLeft w:val="0"/>
              <w:marRight w:val="0"/>
              <w:marTop w:val="0"/>
              <w:marBottom w:val="0"/>
              <w:divBdr>
                <w:top w:val="none" w:sz="0" w:space="0" w:color="auto"/>
                <w:left w:val="none" w:sz="0" w:space="0" w:color="auto"/>
                <w:bottom w:val="none" w:sz="0" w:space="0" w:color="auto"/>
                <w:right w:val="none" w:sz="0" w:space="0" w:color="auto"/>
              </w:divBdr>
            </w:div>
          </w:divsChild>
        </w:div>
        <w:div w:id="1597440722">
          <w:marLeft w:val="0"/>
          <w:marRight w:val="0"/>
          <w:marTop w:val="0"/>
          <w:marBottom w:val="0"/>
          <w:divBdr>
            <w:top w:val="none" w:sz="0" w:space="0" w:color="auto"/>
            <w:left w:val="none" w:sz="0" w:space="0" w:color="auto"/>
            <w:bottom w:val="none" w:sz="0" w:space="0" w:color="auto"/>
            <w:right w:val="none" w:sz="0" w:space="0" w:color="auto"/>
          </w:divBdr>
          <w:divsChild>
            <w:div w:id="175731299">
              <w:marLeft w:val="0"/>
              <w:marRight w:val="0"/>
              <w:marTop w:val="0"/>
              <w:marBottom w:val="0"/>
              <w:divBdr>
                <w:top w:val="none" w:sz="0" w:space="0" w:color="auto"/>
                <w:left w:val="none" w:sz="0" w:space="0" w:color="auto"/>
                <w:bottom w:val="none" w:sz="0" w:space="0" w:color="auto"/>
                <w:right w:val="none" w:sz="0" w:space="0" w:color="auto"/>
              </w:divBdr>
            </w:div>
          </w:divsChild>
        </w:div>
        <w:div w:id="1603150661">
          <w:marLeft w:val="0"/>
          <w:marRight w:val="0"/>
          <w:marTop w:val="0"/>
          <w:marBottom w:val="0"/>
          <w:divBdr>
            <w:top w:val="none" w:sz="0" w:space="0" w:color="auto"/>
            <w:left w:val="none" w:sz="0" w:space="0" w:color="auto"/>
            <w:bottom w:val="none" w:sz="0" w:space="0" w:color="auto"/>
            <w:right w:val="none" w:sz="0" w:space="0" w:color="auto"/>
          </w:divBdr>
          <w:divsChild>
            <w:div w:id="1817332987">
              <w:marLeft w:val="0"/>
              <w:marRight w:val="0"/>
              <w:marTop w:val="0"/>
              <w:marBottom w:val="0"/>
              <w:divBdr>
                <w:top w:val="none" w:sz="0" w:space="0" w:color="auto"/>
                <w:left w:val="none" w:sz="0" w:space="0" w:color="auto"/>
                <w:bottom w:val="none" w:sz="0" w:space="0" w:color="auto"/>
                <w:right w:val="none" w:sz="0" w:space="0" w:color="auto"/>
              </w:divBdr>
            </w:div>
          </w:divsChild>
        </w:div>
        <w:div w:id="1606960081">
          <w:marLeft w:val="0"/>
          <w:marRight w:val="0"/>
          <w:marTop w:val="0"/>
          <w:marBottom w:val="0"/>
          <w:divBdr>
            <w:top w:val="none" w:sz="0" w:space="0" w:color="auto"/>
            <w:left w:val="none" w:sz="0" w:space="0" w:color="auto"/>
            <w:bottom w:val="none" w:sz="0" w:space="0" w:color="auto"/>
            <w:right w:val="none" w:sz="0" w:space="0" w:color="auto"/>
          </w:divBdr>
          <w:divsChild>
            <w:div w:id="1574124020">
              <w:marLeft w:val="0"/>
              <w:marRight w:val="0"/>
              <w:marTop w:val="0"/>
              <w:marBottom w:val="0"/>
              <w:divBdr>
                <w:top w:val="none" w:sz="0" w:space="0" w:color="auto"/>
                <w:left w:val="none" w:sz="0" w:space="0" w:color="auto"/>
                <w:bottom w:val="none" w:sz="0" w:space="0" w:color="auto"/>
                <w:right w:val="none" w:sz="0" w:space="0" w:color="auto"/>
              </w:divBdr>
            </w:div>
          </w:divsChild>
        </w:div>
        <w:div w:id="1609120254">
          <w:marLeft w:val="0"/>
          <w:marRight w:val="0"/>
          <w:marTop w:val="0"/>
          <w:marBottom w:val="0"/>
          <w:divBdr>
            <w:top w:val="none" w:sz="0" w:space="0" w:color="auto"/>
            <w:left w:val="none" w:sz="0" w:space="0" w:color="auto"/>
            <w:bottom w:val="none" w:sz="0" w:space="0" w:color="auto"/>
            <w:right w:val="none" w:sz="0" w:space="0" w:color="auto"/>
          </w:divBdr>
          <w:divsChild>
            <w:div w:id="1751653027">
              <w:marLeft w:val="0"/>
              <w:marRight w:val="0"/>
              <w:marTop w:val="0"/>
              <w:marBottom w:val="0"/>
              <w:divBdr>
                <w:top w:val="none" w:sz="0" w:space="0" w:color="auto"/>
                <w:left w:val="none" w:sz="0" w:space="0" w:color="auto"/>
                <w:bottom w:val="none" w:sz="0" w:space="0" w:color="auto"/>
                <w:right w:val="none" w:sz="0" w:space="0" w:color="auto"/>
              </w:divBdr>
            </w:div>
          </w:divsChild>
        </w:div>
        <w:div w:id="1609779829">
          <w:marLeft w:val="0"/>
          <w:marRight w:val="0"/>
          <w:marTop w:val="0"/>
          <w:marBottom w:val="0"/>
          <w:divBdr>
            <w:top w:val="none" w:sz="0" w:space="0" w:color="auto"/>
            <w:left w:val="none" w:sz="0" w:space="0" w:color="auto"/>
            <w:bottom w:val="none" w:sz="0" w:space="0" w:color="auto"/>
            <w:right w:val="none" w:sz="0" w:space="0" w:color="auto"/>
          </w:divBdr>
          <w:divsChild>
            <w:div w:id="840968234">
              <w:marLeft w:val="0"/>
              <w:marRight w:val="0"/>
              <w:marTop w:val="0"/>
              <w:marBottom w:val="0"/>
              <w:divBdr>
                <w:top w:val="none" w:sz="0" w:space="0" w:color="auto"/>
                <w:left w:val="none" w:sz="0" w:space="0" w:color="auto"/>
                <w:bottom w:val="none" w:sz="0" w:space="0" w:color="auto"/>
                <w:right w:val="none" w:sz="0" w:space="0" w:color="auto"/>
              </w:divBdr>
            </w:div>
          </w:divsChild>
        </w:div>
        <w:div w:id="1612978967">
          <w:marLeft w:val="0"/>
          <w:marRight w:val="0"/>
          <w:marTop w:val="0"/>
          <w:marBottom w:val="0"/>
          <w:divBdr>
            <w:top w:val="none" w:sz="0" w:space="0" w:color="auto"/>
            <w:left w:val="none" w:sz="0" w:space="0" w:color="auto"/>
            <w:bottom w:val="none" w:sz="0" w:space="0" w:color="auto"/>
            <w:right w:val="none" w:sz="0" w:space="0" w:color="auto"/>
          </w:divBdr>
          <w:divsChild>
            <w:div w:id="920914153">
              <w:marLeft w:val="0"/>
              <w:marRight w:val="0"/>
              <w:marTop w:val="0"/>
              <w:marBottom w:val="0"/>
              <w:divBdr>
                <w:top w:val="none" w:sz="0" w:space="0" w:color="auto"/>
                <w:left w:val="none" w:sz="0" w:space="0" w:color="auto"/>
                <w:bottom w:val="none" w:sz="0" w:space="0" w:color="auto"/>
                <w:right w:val="none" w:sz="0" w:space="0" w:color="auto"/>
              </w:divBdr>
            </w:div>
          </w:divsChild>
        </w:div>
        <w:div w:id="1621103995">
          <w:marLeft w:val="0"/>
          <w:marRight w:val="0"/>
          <w:marTop w:val="0"/>
          <w:marBottom w:val="0"/>
          <w:divBdr>
            <w:top w:val="none" w:sz="0" w:space="0" w:color="auto"/>
            <w:left w:val="none" w:sz="0" w:space="0" w:color="auto"/>
            <w:bottom w:val="none" w:sz="0" w:space="0" w:color="auto"/>
            <w:right w:val="none" w:sz="0" w:space="0" w:color="auto"/>
          </w:divBdr>
          <w:divsChild>
            <w:div w:id="1905944355">
              <w:marLeft w:val="0"/>
              <w:marRight w:val="0"/>
              <w:marTop w:val="0"/>
              <w:marBottom w:val="0"/>
              <w:divBdr>
                <w:top w:val="none" w:sz="0" w:space="0" w:color="auto"/>
                <w:left w:val="none" w:sz="0" w:space="0" w:color="auto"/>
                <w:bottom w:val="none" w:sz="0" w:space="0" w:color="auto"/>
                <w:right w:val="none" w:sz="0" w:space="0" w:color="auto"/>
              </w:divBdr>
            </w:div>
          </w:divsChild>
        </w:div>
        <w:div w:id="1626279503">
          <w:marLeft w:val="0"/>
          <w:marRight w:val="0"/>
          <w:marTop w:val="0"/>
          <w:marBottom w:val="0"/>
          <w:divBdr>
            <w:top w:val="none" w:sz="0" w:space="0" w:color="auto"/>
            <w:left w:val="none" w:sz="0" w:space="0" w:color="auto"/>
            <w:bottom w:val="none" w:sz="0" w:space="0" w:color="auto"/>
            <w:right w:val="none" w:sz="0" w:space="0" w:color="auto"/>
          </w:divBdr>
          <w:divsChild>
            <w:div w:id="1342513413">
              <w:marLeft w:val="0"/>
              <w:marRight w:val="0"/>
              <w:marTop w:val="0"/>
              <w:marBottom w:val="0"/>
              <w:divBdr>
                <w:top w:val="none" w:sz="0" w:space="0" w:color="auto"/>
                <w:left w:val="none" w:sz="0" w:space="0" w:color="auto"/>
                <w:bottom w:val="none" w:sz="0" w:space="0" w:color="auto"/>
                <w:right w:val="none" w:sz="0" w:space="0" w:color="auto"/>
              </w:divBdr>
            </w:div>
          </w:divsChild>
        </w:div>
        <w:div w:id="1640764841">
          <w:marLeft w:val="0"/>
          <w:marRight w:val="0"/>
          <w:marTop w:val="0"/>
          <w:marBottom w:val="0"/>
          <w:divBdr>
            <w:top w:val="none" w:sz="0" w:space="0" w:color="auto"/>
            <w:left w:val="none" w:sz="0" w:space="0" w:color="auto"/>
            <w:bottom w:val="none" w:sz="0" w:space="0" w:color="auto"/>
            <w:right w:val="none" w:sz="0" w:space="0" w:color="auto"/>
          </w:divBdr>
          <w:divsChild>
            <w:div w:id="1385176065">
              <w:marLeft w:val="0"/>
              <w:marRight w:val="0"/>
              <w:marTop w:val="0"/>
              <w:marBottom w:val="0"/>
              <w:divBdr>
                <w:top w:val="none" w:sz="0" w:space="0" w:color="auto"/>
                <w:left w:val="none" w:sz="0" w:space="0" w:color="auto"/>
                <w:bottom w:val="none" w:sz="0" w:space="0" w:color="auto"/>
                <w:right w:val="none" w:sz="0" w:space="0" w:color="auto"/>
              </w:divBdr>
            </w:div>
          </w:divsChild>
        </w:div>
        <w:div w:id="1644692869">
          <w:marLeft w:val="0"/>
          <w:marRight w:val="0"/>
          <w:marTop w:val="0"/>
          <w:marBottom w:val="0"/>
          <w:divBdr>
            <w:top w:val="none" w:sz="0" w:space="0" w:color="auto"/>
            <w:left w:val="none" w:sz="0" w:space="0" w:color="auto"/>
            <w:bottom w:val="none" w:sz="0" w:space="0" w:color="auto"/>
            <w:right w:val="none" w:sz="0" w:space="0" w:color="auto"/>
          </w:divBdr>
          <w:divsChild>
            <w:div w:id="233199034">
              <w:marLeft w:val="0"/>
              <w:marRight w:val="0"/>
              <w:marTop w:val="0"/>
              <w:marBottom w:val="0"/>
              <w:divBdr>
                <w:top w:val="none" w:sz="0" w:space="0" w:color="auto"/>
                <w:left w:val="none" w:sz="0" w:space="0" w:color="auto"/>
                <w:bottom w:val="none" w:sz="0" w:space="0" w:color="auto"/>
                <w:right w:val="none" w:sz="0" w:space="0" w:color="auto"/>
              </w:divBdr>
            </w:div>
          </w:divsChild>
        </w:div>
        <w:div w:id="1648822282">
          <w:marLeft w:val="0"/>
          <w:marRight w:val="0"/>
          <w:marTop w:val="0"/>
          <w:marBottom w:val="0"/>
          <w:divBdr>
            <w:top w:val="none" w:sz="0" w:space="0" w:color="auto"/>
            <w:left w:val="none" w:sz="0" w:space="0" w:color="auto"/>
            <w:bottom w:val="none" w:sz="0" w:space="0" w:color="auto"/>
            <w:right w:val="none" w:sz="0" w:space="0" w:color="auto"/>
          </w:divBdr>
          <w:divsChild>
            <w:div w:id="1830292577">
              <w:marLeft w:val="0"/>
              <w:marRight w:val="0"/>
              <w:marTop w:val="0"/>
              <w:marBottom w:val="0"/>
              <w:divBdr>
                <w:top w:val="none" w:sz="0" w:space="0" w:color="auto"/>
                <w:left w:val="none" w:sz="0" w:space="0" w:color="auto"/>
                <w:bottom w:val="none" w:sz="0" w:space="0" w:color="auto"/>
                <w:right w:val="none" w:sz="0" w:space="0" w:color="auto"/>
              </w:divBdr>
            </w:div>
          </w:divsChild>
        </w:div>
        <w:div w:id="1654484875">
          <w:marLeft w:val="0"/>
          <w:marRight w:val="0"/>
          <w:marTop w:val="0"/>
          <w:marBottom w:val="0"/>
          <w:divBdr>
            <w:top w:val="none" w:sz="0" w:space="0" w:color="auto"/>
            <w:left w:val="none" w:sz="0" w:space="0" w:color="auto"/>
            <w:bottom w:val="none" w:sz="0" w:space="0" w:color="auto"/>
            <w:right w:val="none" w:sz="0" w:space="0" w:color="auto"/>
          </w:divBdr>
          <w:divsChild>
            <w:div w:id="1822574706">
              <w:marLeft w:val="0"/>
              <w:marRight w:val="0"/>
              <w:marTop w:val="0"/>
              <w:marBottom w:val="0"/>
              <w:divBdr>
                <w:top w:val="none" w:sz="0" w:space="0" w:color="auto"/>
                <w:left w:val="none" w:sz="0" w:space="0" w:color="auto"/>
                <w:bottom w:val="none" w:sz="0" w:space="0" w:color="auto"/>
                <w:right w:val="none" w:sz="0" w:space="0" w:color="auto"/>
              </w:divBdr>
            </w:div>
          </w:divsChild>
        </w:div>
        <w:div w:id="1654718913">
          <w:marLeft w:val="0"/>
          <w:marRight w:val="0"/>
          <w:marTop w:val="0"/>
          <w:marBottom w:val="0"/>
          <w:divBdr>
            <w:top w:val="none" w:sz="0" w:space="0" w:color="auto"/>
            <w:left w:val="none" w:sz="0" w:space="0" w:color="auto"/>
            <w:bottom w:val="none" w:sz="0" w:space="0" w:color="auto"/>
            <w:right w:val="none" w:sz="0" w:space="0" w:color="auto"/>
          </w:divBdr>
          <w:divsChild>
            <w:div w:id="1360664040">
              <w:marLeft w:val="0"/>
              <w:marRight w:val="0"/>
              <w:marTop w:val="0"/>
              <w:marBottom w:val="0"/>
              <w:divBdr>
                <w:top w:val="none" w:sz="0" w:space="0" w:color="auto"/>
                <w:left w:val="none" w:sz="0" w:space="0" w:color="auto"/>
                <w:bottom w:val="none" w:sz="0" w:space="0" w:color="auto"/>
                <w:right w:val="none" w:sz="0" w:space="0" w:color="auto"/>
              </w:divBdr>
            </w:div>
          </w:divsChild>
        </w:div>
        <w:div w:id="1654942423">
          <w:marLeft w:val="0"/>
          <w:marRight w:val="0"/>
          <w:marTop w:val="0"/>
          <w:marBottom w:val="0"/>
          <w:divBdr>
            <w:top w:val="none" w:sz="0" w:space="0" w:color="auto"/>
            <w:left w:val="none" w:sz="0" w:space="0" w:color="auto"/>
            <w:bottom w:val="none" w:sz="0" w:space="0" w:color="auto"/>
            <w:right w:val="none" w:sz="0" w:space="0" w:color="auto"/>
          </w:divBdr>
          <w:divsChild>
            <w:div w:id="1216619335">
              <w:marLeft w:val="0"/>
              <w:marRight w:val="0"/>
              <w:marTop w:val="0"/>
              <w:marBottom w:val="0"/>
              <w:divBdr>
                <w:top w:val="none" w:sz="0" w:space="0" w:color="auto"/>
                <w:left w:val="none" w:sz="0" w:space="0" w:color="auto"/>
                <w:bottom w:val="none" w:sz="0" w:space="0" w:color="auto"/>
                <w:right w:val="none" w:sz="0" w:space="0" w:color="auto"/>
              </w:divBdr>
            </w:div>
          </w:divsChild>
        </w:div>
        <w:div w:id="1655521544">
          <w:marLeft w:val="0"/>
          <w:marRight w:val="0"/>
          <w:marTop w:val="0"/>
          <w:marBottom w:val="0"/>
          <w:divBdr>
            <w:top w:val="none" w:sz="0" w:space="0" w:color="auto"/>
            <w:left w:val="none" w:sz="0" w:space="0" w:color="auto"/>
            <w:bottom w:val="none" w:sz="0" w:space="0" w:color="auto"/>
            <w:right w:val="none" w:sz="0" w:space="0" w:color="auto"/>
          </w:divBdr>
          <w:divsChild>
            <w:div w:id="1647122583">
              <w:marLeft w:val="0"/>
              <w:marRight w:val="0"/>
              <w:marTop w:val="0"/>
              <w:marBottom w:val="0"/>
              <w:divBdr>
                <w:top w:val="none" w:sz="0" w:space="0" w:color="auto"/>
                <w:left w:val="none" w:sz="0" w:space="0" w:color="auto"/>
                <w:bottom w:val="none" w:sz="0" w:space="0" w:color="auto"/>
                <w:right w:val="none" w:sz="0" w:space="0" w:color="auto"/>
              </w:divBdr>
            </w:div>
          </w:divsChild>
        </w:div>
        <w:div w:id="1657105995">
          <w:marLeft w:val="0"/>
          <w:marRight w:val="0"/>
          <w:marTop w:val="0"/>
          <w:marBottom w:val="0"/>
          <w:divBdr>
            <w:top w:val="none" w:sz="0" w:space="0" w:color="auto"/>
            <w:left w:val="none" w:sz="0" w:space="0" w:color="auto"/>
            <w:bottom w:val="none" w:sz="0" w:space="0" w:color="auto"/>
            <w:right w:val="none" w:sz="0" w:space="0" w:color="auto"/>
          </w:divBdr>
          <w:divsChild>
            <w:div w:id="219750515">
              <w:marLeft w:val="0"/>
              <w:marRight w:val="0"/>
              <w:marTop w:val="0"/>
              <w:marBottom w:val="0"/>
              <w:divBdr>
                <w:top w:val="none" w:sz="0" w:space="0" w:color="auto"/>
                <w:left w:val="none" w:sz="0" w:space="0" w:color="auto"/>
                <w:bottom w:val="none" w:sz="0" w:space="0" w:color="auto"/>
                <w:right w:val="none" w:sz="0" w:space="0" w:color="auto"/>
              </w:divBdr>
            </w:div>
          </w:divsChild>
        </w:div>
        <w:div w:id="1680112813">
          <w:marLeft w:val="0"/>
          <w:marRight w:val="0"/>
          <w:marTop w:val="0"/>
          <w:marBottom w:val="0"/>
          <w:divBdr>
            <w:top w:val="none" w:sz="0" w:space="0" w:color="auto"/>
            <w:left w:val="none" w:sz="0" w:space="0" w:color="auto"/>
            <w:bottom w:val="none" w:sz="0" w:space="0" w:color="auto"/>
            <w:right w:val="none" w:sz="0" w:space="0" w:color="auto"/>
          </w:divBdr>
          <w:divsChild>
            <w:div w:id="356203723">
              <w:marLeft w:val="0"/>
              <w:marRight w:val="0"/>
              <w:marTop w:val="0"/>
              <w:marBottom w:val="0"/>
              <w:divBdr>
                <w:top w:val="none" w:sz="0" w:space="0" w:color="auto"/>
                <w:left w:val="none" w:sz="0" w:space="0" w:color="auto"/>
                <w:bottom w:val="none" w:sz="0" w:space="0" w:color="auto"/>
                <w:right w:val="none" w:sz="0" w:space="0" w:color="auto"/>
              </w:divBdr>
            </w:div>
          </w:divsChild>
        </w:div>
        <w:div w:id="1701013052">
          <w:marLeft w:val="0"/>
          <w:marRight w:val="0"/>
          <w:marTop w:val="0"/>
          <w:marBottom w:val="0"/>
          <w:divBdr>
            <w:top w:val="none" w:sz="0" w:space="0" w:color="auto"/>
            <w:left w:val="none" w:sz="0" w:space="0" w:color="auto"/>
            <w:bottom w:val="none" w:sz="0" w:space="0" w:color="auto"/>
            <w:right w:val="none" w:sz="0" w:space="0" w:color="auto"/>
          </w:divBdr>
          <w:divsChild>
            <w:div w:id="1652254052">
              <w:marLeft w:val="0"/>
              <w:marRight w:val="0"/>
              <w:marTop w:val="0"/>
              <w:marBottom w:val="0"/>
              <w:divBdr>
                <w:top w:val="none" w:sz="0" w:space="0" w:color="auto"/>
                <w:left w:val="none" w:sz="0" w:space="0" w:color="auto"/>
                <w:bottom w:val="none" w:sz="0" w:space="0" w:color="auto"/>
                <w:right w:val="none" w:sz="0" w:space="0" w:color="auto"/>
              </w:divBdr>
            </w:div>
          </w:divsChild>
        </w:div>
        <w:div w:id="1704793098">
          <w:marLeft w:val="0"/>
          <w:marRight w:val="0"/>
          <w:marTop w:val="0"/>
          <w:marBottom w:val="0"/>
          <w:divBdr>
            <w:top w:val="none" w:sz="0" w:space="0" w:color="auto"/>
            <w:left w:val="none" w:sz="0" w:space="0" w:color="auto"/>
            <w:bottom w:val="none" w:sz="0" w:space="0" w:color="auto"/>
            <w:right w:val="none" w:sz="0" w:space="0" w:color="auto"/>
          </w:divBdr>
          <w:divsChild>
            <w:div w:id="53286135">
              <w:marLeft w:val="0"/>
              <w:marRight w:val="0"/>
              <w:marTop w:val="0"/>
              <w:marBottom w:val="0"/>
              <w:divBdr>
                <w:top w:val="none" w:sz="0" w:space="0" w:color="auto"/>
                <w:left w:val="none" w:sz="0" w:space="0" w:color="auto"/>
                <w:bottom w:val="none" w:sz="0" w:space="0" w:color="auto"/>
                <w:right w:val="none" w:sz="0" w:space="0" w:color="auto"/>
              </w:divBdr>
            </w:div>
          </w:divsChild>
        </w:div>
        <w:div w:id="1707755092">
          <w:marLeft w:val="0"/>
          <w:marRight w:val="0"/>
          <w:marTop w:val="0"/>
          <w:marBottom w:val="0"/>
          <w:divBdr>
            <w:top w:val="none" w:sz="0" w:space="0" w:color="auto"/>
            <w:left w:val="none" w:sz="0" w:space="0" w:color="auto"/>
            <w:bottom w:val="none" w:sz="0" w:space="0" w:color="auto"/>
            <w:right w:val="none" w:sz="0" w:space="0" w:color="auto"/>
          </w:divBdr>
          <w:divsChild>
            <w:div w:id="50230623">
              <w:marLeft w:val="0"/>
              <w:marRight w:val="0"/>
              <w:marTop w:val="0"/>
              <w:marBottom w:val="0"/>
              <w:divBdr>
                <w:top w:val="none" w:sz="0" w:space="0" w:color="auto"/>
                <w:left w:val="none" w:sz="0" w:space="0" w:color="auto"/>
                <w:bottom w:val="none" w:sz="0" w:space="0" w:color="auto"/>
                <w:right w:val="none" w:sz="0" w:space="0" w:color="auto"/>
              </w:divBdr>
            </w:div>
          </w:divsChild>
        </w:div>
        <w:div w:id="1711028737">
          <w:marLeft w:val="0"/>
          <w:marRight w:val="0"/>
          <w:marTop w:val="0"/>
          <w:marBottom w:val="0"/>
          <w:divBdr>
            <w:top w:val="none" w:sz="0" w:space="0" w:color="auto"/>
            <w:left w:val="none" w:sz="0" w:space="0" w:color="auto"/>
            <w:bottom w:val="none" w:sz="0" w:space="0" w:color="auto"/>
            <w:right w:val="none" w:sz="0" w:space="0" w:color="auto"/>
          </w:divBdr>
          <w:divsChild>
            <w:div w:id="1248463825">
              <w:marLeft w:val="0"/>
              <w:marRight w:val="0"/>
              <w:marTop w:val="0"/>
              <w:marBottom w:val="0"/>
              <w:divBdr>
                <w:top w:val="none" w:sz="0" w:space="0" w:color="auto"/>
                <w:left w:val="none" w:sz="0" w:space="0" w:color="auto"/>
                <w:bottom w:val="none" w:sz="0" w:space="0" w:color="auto"/>
                <w:right w:val="none" w:sz="0" w:space="0" w:color="auto"/>
              </w:divBdr>
            </w:div>
          </w:divsChild>
        </w:div>
        <w:div w:id="1724406324">
          <w:marLeft w:val="0"/>
          <w:marRight w:val="0"/>
          <w:marTop w:val="0"/>
          <w:marBottom w:val="0"/>
          <w:divBdr>
            <w:top w:val="none" w:sz="0" w:space="0" w:color="auto"/>
            <w:left w:val="none" w:sz="0" w:space="0" w:color="auto"/>
            <w:bottom w:val="none" w:sz="0" w:space="0" w:color="auto"/>
            <w:right w:val="none" w:sz="0" w:space="0" w:color="auto"/>
          </w:divBdr>
          <w:divsChild>
            <w:div w:id="988024769">
              <w:marLeft w:val="0"/>
              <w:marRight w:val="0"/>
              <w:marTop w:val="0"/>
              <w:marBottom w:val="0"/>
              <w:divBdr>
                <w:top w:val="none" w:sz="0" w:space="0" w:color="auto"/>
                <w:left w:val="none" w:sz="0" w:space="0" w:color="auto"/>
                <w:bottom w:val="none" w:sz="0" w:space="0" w:color="auto"/>
                <w:right w:val="none" w:sz="0" w:space="0" w:color="auto"/>
              </w:divBdr>
            </w:div>
          </w:divsChild>
        </w:div>
        <w:div w:id="1724479423">
          <w:marLeft w:val="0"/>
          <w:marRight w:val="0"/>
          <w:marTop w:val="0"/>
          <w:marBottom w:val="0"/>
          <w:divBdr>
            <w:top w:val="none" w:sz="0" w:space="0" w:color="auto"/>
            <w:left w:val="none" w:sz="0" w:space="0" w:color="auto"/>
            <w:bottom w:val="none" w:sz="0" w:space="0" w:color="auto"/>
            <w:right w:val="none" w:sz="0" w:space="0" w:color="auto"/>
          </w:divBdr>
          <w:divsChild>
            <w:div w:id="1875725133">
              <w:marLeft w:val="0"/>
              <w:marRight w:val="0"/>
              <w:marTop w:val="0"/>
              <w:marBottom w:val="0"/>
              <w:divBdr>
                <w:top w:val="none" w:sz="0" w:space="0" w:color="auto"/>
                <w:left w:val="none" w:sz="0" w:space="0" w:color="auto"/>
                <w:bottom w:val="none" w:sz="0" w:space="0" w:color="auto"/>
                <w:right w:val="none" w:sz="0" w:space="0" w:color="auto"/>
              </w:divBdr>
            </w:div>
          </w:divsChild>
        </w:div>
        <w:div w:id="1726365980">
          <w:marLeft w:val="0"/>
          <w:marRight w:val="0"/>
          <w:marTop w:val="0"/>
          <w:marBottom w:val="0"/>
          <w:divBdr>
            <w:top w:val="none" w:sz="0" w:space="0" w:color="auto"/>
            <w:left w:val="none" w:sz="0" w:space="0" w:color="auto"/>
            <w:bottom w:val="none" w:sz="0" w:space="0" w:color="auto"/>
            <w:right w:val="none" w:sz="0" w:space="0" w:color="auto"/>
          </w:divBdr>
          <w:divsChild>
            <w:div w:id="1399211886">
              <w:marLeft w:val="0"/>
              <w:marRight w:val="0"/>
              <w:marTop w:val="0"/>
              <w:marBottom w:val="0"/>
              <w:divBdr>
                <w:top w:val="none" w:sz="0" w:space="0" w:color="auto"/>
                <w:left w:val="none" w:sz="0" w:space="0" w:color="auto"/>
                <w:bottom w:val="none" w:sz="0" w:space="0" w:color="auto"/>
                <w:right w:val="none" w:sz="0" w:space="0" w:color="auto"/>
              </w:divBdr>
            </w:div>
          </w:divsChild>
        </w:div>
        <w:div w:id="1727142315">
          <w:marLeft w:val="0"/>
          <w:marRight w:val="0"/>
          <w:marTop w:val="0"/>
          <w:marBottom w:val="0"/>
          <w:divBdr>
            <w:top w:val="none" w:sz="0" w:space="0" w:color="auto"/>
            <w:left w:val="none" w:sz="0" w:space="0" w:color="auto"/>
            <w:bottom w:val="none" w:sz="0" w:space="0" w:color="auto"/>
            <w:right w:val="none" w:sz="0" w:space="0" w:color="auto"/>
          </w:divBdr>
          <w:divsChild>
            <w:div w:id="1319844397">
              <w:marLeft w:val="0"/>
              <w:marRight w:val="0"/>
              <w:marTop w:val="0"/>
              <w:marBottom w:val="0"/>
              <w:divBdr>
                <w:top w:val="none" w:sz="0" w:space="0" w:color="auto"/>
                <w:left w:val="none" w:sz="0" w:space="0" w:color="auto"/>
                <w:bottom w:val="none" w:sz="0" w:space="0" w:color="auto"/>
                <w:right w:val="none" w:sz="0" w:space="0" w:color="auto"/>
              </w:divBdr>
            </w:div>
          </w:divsChild>
        </w:div>
        <w:div w:id="1728914851">
          <w:marLeft w:val="0"/>
          <w:marRight w:val="0"/>
          <w:marTop w:val="0"/>
          <w:marBottom w:val="0"/>
          <w:divBdr>
            <w:top w:val="none" w:sz="0" w:space="0" w:color="auto"/>
            <w:left w:val="none" w:sz="0" w:space="0" w:color="auto"/>
            <w:bottom w:val="none" w:sz="0" w:space="0" w:color="auto"/>
            <w:right w:val="none" w:sz="0" w:space="0" w:color="auto"/>
          </w:divBdr>
          <w:divsChild>
            <w:div w:id="1307013027">
              <w:marLeft w:val="0"/>
              <w:marRight w:val="0"/>
              <w:marTop w:val="0"/>
              <w:marBottom w:val="0"/>
              <w:divBdr>
                <w:top w:val="none" w:sz="0" w:space="0" w:color="auto"/>
                <w:left w:val="none" w:sz="0" w:space="0" w:color="auto"/>
                <w:bottom w:val="none" w:sz="0" w:space="0" w:color="auto"/>
                <w:right w:val="none" w:sz="0" w:space="0" w:color="auto"/>
              </w:divBdr>
            </w:div>
          </w:divsChild>
        </w:div>
        <w:div w:id="1732921443">
          <w:marLeft w:val="0"/>
          <w:marRight w:val="0"/>
          <w:marTop w:val="0"/>
          <w:marBottom w:val="0"/>
          <w:divBdr>
            <w:top w:val="none" w:sz="0" w:space="0" w:color="auto"/>
            <w:left w:val="none" w:sz="0" w:space="0" w:color="auto"/>
            <w:bottom w:val="none" w:sz="0" w:space="0" w:color="auto"/>
            <w:right w:val="none" w:sz="0" w:space="0" w:color="auto"/>
          </w:divBdr>
          <w:divsChild>
            <w:div w:id="799960611">
              <w:marLeft w:val="0"/>
              <w:marRight w:val="0"/>
              <w:marTop w:val="0"/>
              <w:marBottom w:val="0"/>
              <w:divBdr>
                <w:top w:val="none" w:sz="0" w:space="0" w:color="auto"/>
                <w:left w:val="none" w:sz="0" w:space="0" w:color="auto"/>
                <w:bottom w:val="none" w:sz="0" w:space="0" w:color="auto"/>
                <w:right w:val="none" w:sz="0" w:space="0" w:color="auto"/>
              </w:divBdr>
            </w:div>
          </w:divsChild>
        </w:div>
        <w:div w:id="1738358345">
          <w:marLeft w:val="0"/>
          <w:marRight w:val="0"/>
          <w:marTop w:val="0"/>
          <w:marBottom w:val="0"/>
          <w:divBdr>
            <w:top w:val="none" w:sz="0" w:space="0" w:color="auto"/>
            <w:left w:val="none" w:sz="0" w:space="0" w:color="auto"/>
            <w:bottom w:val="none" w:sz="0" w:space="0" w:color="auto"/>
            <w:right w:val="none" w:sz="0" w:space="0" w:color="auto"/>
          </w:divBdr>
          <w:divsChild>
            <w:div w:id="331765382">
              <w:marLeft w:val="0"/>
              <w:marRight w:val="0"/>
              <w:marTop w:val="0"/>
              <w:marBottom w:val="0"/>
              <w:divBdr>
                <w:top w:val="none" w:sz="0" w:space="0" w:color="auto"/>
                <w:left w:val="none" w:sz="0" w:space="0" w:color="auto"/>
                <w:bottom w:val="none" w:sz="0" w:space="0" w:color="auto"/>
                <w:right w:val="none" w:sz="0" w:space="0" w:color="auto"/>
              </w:divBdr>
            </w:div>
          </w:divsChild>
        </w:div>
        <w:div w:id="1744597375">
          <w:marLeft w:val="0"/>
          <w:marRight w:val="0"/>
          <w:marTop w:val="0"/>
          <w:marBottom w:val="0"/>
          <w:divBdr>
            <w:top w:val="none" w:sz="0" w:space="0" w:color="auto"/>
            <w:left w:val="none" w:sz="0" w:space="0" w:color="auto"/>
            <w:bottom w:val="none" w:sz="0" w:space="0" w:color="auto"/>
            <w:right w:val="none" w:sz="0" w:space="0" w:color="auto"/>
          </w:divBdr>
          <w:divsChild>
            <w:div w:id="1760953584">
              <w:marLeft w:val="0"/>
              <w:marRight w:val="0"/>
              <w:marTop w:val="0"/>
              <w:marBottom w:val="0"/>
              <w:divBdr>
                <w:top w:val="none" w:sz="0" w:space="0" w:color="auto"/>
                <w:left w:val="none" w:sz="0" w:space="0" w:color="auto"/>
                <w:bottom w:val="none" w:sz="0" w:space="0" w:color="auto"/>
                <w:right w:val="none" w:sz="0" w:space="0" w:color="auto"/>
              </w:divBdr>
            </w:div>
          </w:divsChild>
        </w:div>
        <w:div w:id="1745762731">
          <w:marLeft w:val="0"/>
          <w:marRight w:val="0"/>
          <w:marTop w:val="0"/>
          <w:marBottom w:val="0"/>
          <w:divBdr>
            <w:top w:val="none" w:sz="0" w:space="0" w:color="auto"/>
            <w:left w:val="none" w:sz="0" w:space="0" w:color="auto"/>
            <w:bottom w:val="none" w:sz="0" w:space="0" w:color="auto"/>
            <w:right w:val="none" w:sz="0" w:space="0" w:color="auto"/>
          </w:divBdr>
          <w:divsChild>
            <w:div w:id="2050451956">
              <w:marLeft w:val="0"/>
              <w:marRight w:val="0"/>
              <w:marTop w:val="0"/>
              <w:marBottom w:val="0"/>
              <w:divBdr>
                <w:top w:val="none" w:sz="0" w:space="0" w:color="auto"/>
                <w:left w:val="none" w:sz="0" w:space="0" w:color="auto"/>
                <w:bottom w:val="none" w:sz="0" w:space="0" w:color="auto"/>
                <w:right w:val="none" w:sz="0" w:space="0" w:color="auto"/>
              </w:divBdr>
            </w:div>
          </w:divsChild>
        </w:div>
        <w:div w:id="1746806183">
          <w:marLeft w:val="0"/>
          <w:marRight w:val="0"/>
          <w:marTop w:val="0"/>
          <w:marBottom w:val="0"/>
          <w:divBdr>
            <w:top w:val="none" w:sz="0" w:space="0" w:color="auto"/>
            <w:left w:val="none" w:sz="0" w:space="0" w:color="auto"/>
            <w:bottom w:val="none" w:sz="0" w:space="0" w:color="auto"/>
            <w:right w:val="none" w:sz="0" w:space="0" w:color="auto"/>
          </w:divBdr>
          <w:divsChild>
            <w:div w:id="1300375380">
              <w:marLeft w:val="0"/>
              <w:marRight w:val="0"/>
              <w:marTop w:val="0"/>
              <w:marBottom w:val="0"/>
              <w:divBdr>
                <w:top w:val="none" w:sz="0" w:space="0" w:color="auto"/>
                <w:left w:val="none" w:sz="0" w:space="0" w:color="auto"/>
                <w:bottom w:val="none" w:sz="0" w:space="0" w:color="auto"/>
                <w:right w:val="none" w:sz="0" w:space="0" w:color="auto"/>
              </w:divBdr>
            </w:div>
          </w:divsChild>
        </w:div>
        <w:div w:id="1753888104">
          <w:marLeft w:val="0"/>
          <w:marRight w:val="0"/>
          <w:marTop w:val="0"/>
          <w:marBottom w:val="0"/>
          <w:divBdr>
            <w:top w:val="none" w:sz="0" w:space="0" w:color="auto"/>
            <w:left w:val="none" w:sz="0" w:space="0" w:color="auto"/>
            <w:bottom w:val="none" w:sz="0" w:space="0" w:color="auto"/>
            <w:right w:val="none" w:sz="0" w:space="0" w:color="auto"/>
          </w:divBdr>
          <w:divsChild>
            <w:div w:id="1280647857">
              <w:marLeft w:val="0"/>
              <w:marRight w:val="0"/>
              <w:marTop w:val="0"/>
              <w:marBottom w:val="0"/>
              <w:divBdr>
                <w:top w:val="none" w:sz="0" w:space="0" w:color="auto"/>
                <w:left w:val="none" w:sz="0" w:space="0" w:color="auto"/>
                <w:bottom w:val="none" w:sz="0" w:space="0" w:color="auto"/>
                <w:right w:val="none" w:sz="0" w:space="0" w:color="auto"/>
              </w:divBdr>
            </w:div>
          </w:divsChild>
        </w:div>
        <w:div w:id="1754815570">
          <w:marLeft w:val="0"/>
          <w:marRight w:val="0"/>
          <w:marTop w:val="0"/>
          <w:marBottom w:val="0"/>
          <w:divBdr>
            <w:top w:val="none" w:sz="0" w:space="0" w:color="auto"/>
            <w:left w:val="none" w:sz="0" w:space="0" w:color="auto"/>
            <w:bottom w:val="none" w:sz="0" w:space="0" w:color="auto"/>
            <w:right w:val="none" w:sz="0" w:space="0" w:color="auto"/>
          </w:divBdr>
          <w:divsChild>
            <w:div w:id="1028143758">
              <w:marLeft w:val="0"/>
              <w:marRight w:val="0"/>
              <w:marTop w:val="0"/>
              <w:marBottom w:val="0"/>
              <w:divBdr>
                <w:top w:val="none" w:sz="0" w:space="0" w:color="auto"/>
                <w:left w:val="none" w:sz="0" w:space="0" w:color="auto"/>
                <w:bottom w:val="none" w:sz="0" w:space="0" w:color="auto"/>
                <w:right w:val="none" w:sz="0" w:space="0" w:color="auto"/>
              </w:divBdr>
            </w:div>
          </w:divsChild>
        </w:div>
        <w:div w:id="1758937695">
          <w:marLeft w:val="0"/>
          <w:marRight w:val="0"/>
          <w:marTop w:val="0"/>
          <w:marBottom w:val="0"/>
          <w:divBdr>
            <w:top w:val="none" w:sz="0" w:space="0" w:color="auto"/>
            <w:left w:val="none" w:sz="0" w:space="0" w:color="auto"/>
            <w:bottom w:val="none" w:sz="0" w:space="0" w:color="auto"/>
            <w:right w:val="none" w:sz="0" w:space="0" w:color="auto"/>
          </w:divBdr>
          <w:divsChild>
            <w:div w:id="488599502">
              <w:marLeft w:val="0"/>
              <w:marRight w:val="0"/>
              <w:marTop w:val="0"/>
              <w:marBottom w:val="0"/>
              <w:divBdr>
                <w:top w:val="none" w:sz="0" w:space="0" w:color="auto"/>
                <w:left w:val="none" w:sz="0" w:space="0" w:color="auto"/>
                <w:bottom w:val="none" w:sz="0" w:space="0" w:color="auto"/>
                <w:right w:val="none" w:sz="0" w:space="0" w:color="auto"/>
              </w:divBdr>
            </w:div>
          </w:divsChild>
        </w:div>
        <w:div w:id="1759710855">
          <w:marLeft w:val="0"/>
          <w:marRight w:val="0"/>
          <w:marTop w:val="0"/>
          <w:marBottom w:val="0"/>
          <w:divBdr>
            <w:top w:val="none" w:sz="0" w:space="0" w:color="auto"/>
            <w:left w:val="none" w:sz="0" w:space="0" w:color="auto"/>
            <w:bottom w:val="none" w:sz="0" w:space="0" w:color="auto"/>
            <w:right w:val="none" w:sz="0" w:space="0" w:color="auto"/>
          </w:divBdr>
          <w:divsChild>
            <w:div w:id="1766268629">
              <w:marLeft w:val="0"/>
              <w:marRight w:val="0"/>
              <w:marTop w:val="0"/>
              <w:marBottom w:val="0"/>
              <w:divBdr>
                <w:top w:val="none" w:sz="0" w:space="0" w:color="auto"/>
                <w:left w:val="none" w:sz="0" w:space="0" w:color="auto"/>
                <w:bottom w:val="none" w:sz="0" w:space="0" w:color="auto"/>
                <w:right w:val="none" w:sz="0" w:space="0" w:color="auto"/>
              </w:divBdr>
            </w:div>
          </w:divsChild>
        </w:div>
        <w:div w:id="1761021634">
          <w:marLeft w:val="0"/>
          <w:marRight w:val="0"/>
          <w:marTop w:val="0"/>
          <w:marBottom w:val="0"/>
          <w:divBdr>
            <w:top w:val="none" w:sz="0" w:space="0" w:color="auto"/>
            <w:left w:val="none" w:sz="0" w:space="0" w:color="auto"/>
            <w:bottom w:val="none" w:sz="0" w:space="0" w:color="auto"/>
            <w:right w:val="none" w:sz="0" w:space="0" w:color="auto"/>
          </w:divBdr>
          <w:divsChild>
            <w:div w:id="1644776963">
              <w:marLeft w:val="0"/>
              <w:marRight w:val="0"/>
              <w:marTop w:val="0"/>
              <w:marBottom w:val="0"/>
              <w:divBdr>
                <w:top w:val="none" w:sz="0" w:space="0" w:color="auto"/>
                <w:left w:val="none" w:sz="0" w:space="0" w:color="auto"/>
                <w:bottom w:val="none" w:sz="0" w:space="0" w:color="auto"/>
                <w:right w:val="none" w:sz="0" w:space="0" w:color="auto"/>
              </w:divBdr>
            </w:div>
          </w:divsChild>
        </w:div>
        <w:div w:id="1773357994">
          <w:marLeft w:val="0"/>
          <w:marRight w:val="0"/>
          <w:marTop w:val="0"/>
          <w:marBottom w:val="0"/>
          <w:divBdr>
            <w:top w:val="none" w:sz="0" w:space="0" w:color="auto"/>
            <w:left w:val="none" w:sz="0" w:space="0" w:color="auto"/>
            <w:bottom w:val="none" w:sz="0" w:space="0" w:color="auto"/>
            <w:right w:val="none" w:sz="0" w:space="0" w:color="auto"/>
          </w:divBdr>
          <w:divsChild>
            <w:div w:id="1643462423">
              <w:marLeft w:val="0"/>
              <w:marRight w:val="0"/>
              <w:marTop w:val="0"/>
              <w:marBottom w:val="0"/>
              <w:divBdr>
                <w:top w:val="none" w:sz="0" w:space="0" w:color="auto"/>
                <w:left w:val="none" w:sz="0" w:space="0" w:color="auto"/>
                <w:bottom w:val="none" w:sz="0" w:space="0" w:color="auto"/>
                <w:right w:val="none" w:sz="0" w:space="0" w:color="auto"/>
              </w:divBdr>
            </w:div>
          </w:divsChild>
        </w:div>
        <w:div w:id="1777477610">
          <w:marLeft w:val="0"/>
          <w:marRight w:val="0"/>
          <w:marTop w:val="0"/>
          <w:marBottom w:val="0"/>
          <w:divBdr>
            <w:top w:val="none" w:sz="0" w:space="0" w:color="auto"/>
            <w:left w:val="none" w:sz="0" w:space="0" w:color="auto"/>
            <w:bottom w:val="none" w:sz="0" w:space="0" w:color="auto"/>
            <w:right w:val="none" w:sz="0" w:space="0" w:color="auto"/>
          </w:divBdr>
          <w:divsChild>
            <w:div w:id="2139061903">
              <w:marLeft w:val="0"/>
              <w:marRight w:val="0"/>
              <w:marTop w:val="0"/>
              <w:marBottom w:val="0"/>
              <w:divBdr>
                <w:top w:val="none" w:sz="0" w:space="0" w:color="auto"/>
                <w:left w:val="none" w:sz="0" w:space="0" w:color="auto"/>
                <w:bottom w:val="none" w:sz="0" w:space="0" w:color="auto"/>
                <w:right w:val="none" w:sz="0" w:space="0" w:color="auto"/>
              </w:divBdr>
            </w:div>
          </w:divsChild>
        </w:div>
        <w:div w:id="1788084519">
          <w:marLeft w:val="0"/>
          <w:marRight w:val="0"/>
          <w:marTop w:val="0"/>
          <w:marBottom w:val="0"/>
          <w:divBdr>
            <w:top w:val="none" w:sz="0" w:space="0" w:color="auto"/>
            <w:left w:val="none" w:sz="0" w:space="0" w:color="auto"/>
            <w:bottom w:val="none" w:sz="0" w:space="0" w:color="auto"/>
            <w:right w:val="none" w:sz="0" w:space="0" w:color="auto"/>
          </w:divBdr>
          <w:divsChild>
            <w:div w:id="1976911246">
              <w:marLeft w:val="0"/>
              <w:marRight w:val="0"/>
              <w:marTop w:val="0"/>
              <w:marBottom w:val="0"/>
              <w:divBdr>
                <w:top w:val="none" w:sz="0" w:space="0" w:color="auto"/>
                <w:left w:val="none" w:sz="0" w:space="0" w:color="auto"/>
                <w:bottom w:val="none" w:sz="0" w:space="0" w:color="auto"/>
                <w:right w:val="none" w:sz="0" w:space="0" w:color="auto"/>
              </w:divBdr>
            </w:div>
          </w:divsChild>
        </w:div>
        <w:div w:id="1789355771">
          <w:marLeft w:val="0"/>
          <w:marRight w:val="0"/>
          <w:marTop w:val="0"/>
          <w:marBottom w:val="0"/>
          <w:divBdr>
            <w:top w:val="none" w:sz="0" w:space="0" w:color="auto"/>
            <w:left w:val="none" w:sz="0" w:space="0" w:color="auto"/>
            <w:bottom w:val="none" w:sz="0" w:space="0" w:color="auto"/>
            <w:right w:val="none" w:sz="0" w:space="0" w:color="auto"/>
          </w:divBdr>
          <w:divsChild>
            <w:div w:id="1241135981">
              <w:marLeft w:val="0"/>
              <w:marRight w:val="0"/>
              <w:marTop w:val="0"/>
              <w:marBottom w:val="0"/>
              <w:divBdr>
                <w:top w:val="none" w:sz="0" w:space="0" w:color="auto"/>
                <w:left w:val="none" w:sz="0" w:space="0" w:color="auto"/>
                <w:bottom w:val="none" w:sz="0" w:space="0" w:color="auto"/>
                <w:right w:val="none" w:sz="0" w:space="0" w:color="auto"/>
              </w:divBdr>
            </w:div>
          </w:divsChild>
        </w:div>
        <w:div w:id="1801268812">
          <w:marLeft w:val="0"/>
          <w:marRight w:val="0"/>
          <w:marTop w:val="0"/>
          <w:marBottom w:val="0"/>
          <w:divBdr>
            <w:top w:val="none" w:sz="0" w:space="0" w:color="auto"/>
            <w:left w:val="none" w:sz="0" w:space="0" w:color="auto"/>
            <w:bottom w:val="none" w:sz="0" w:space="0" w:color="auto"/>
            <w:right w:val="none" w:sz="0" w:space="0" w:color="auto"/>
          </w:divBdr>
          <w:divsChild>
            <w:div w:id="1585260643">
              <w:marLeft w:val="0"/>
              <w:marRight w:val="0"/>
              <w:marTop w:val="0"/>
              <w:marBottom w:val="0"/>
              <w:divBdr>
                <w:top w:val="none" w:sz="0" w:space="0" w:color="auto"/>
                <w:left w:val="none" w:sz="0" w:space="0" w:color="auto"/>
                <w:bottom w:val="none" w:sz="0" w:space="0" w:color="auto"/>
                <w:right w:val="none" w:sz="0" w:space="0" w:color="auto"/>
              </w:divBdr>
            </w:div>
          </w:divsChild>
        </w:div>
        <w:div w:id="1802336364">
          <w:marLeft w:val="0"/>
          <w:marRight w:val="0"/>
          <w:marTop w:val="0"/>
          <w:marBottom w:val="0"/>
          <w:divBdr>
            <w:top w:val="none" w:sz="0" w:space="0" w:color="auto"/>
            <w:left w:val="none" w:sz="0" w:space="0" w:color="auto"/>
            <w:bottom w:val="none" w:sz="0" w:space="0" w:color="auto"/>
            <w:right w:val="none" w:sz="0" w:space="0" w:color="auto"/>
          </w:divBdr>
          <w:divsChild>
            <w:div w:id="39911557">
              <w:marLeft w:val="0"/>
              <w:marRight w:val="0"/>
              <w:marTop w:val="0"/>
              <w:marBottom w:val="0"/>
              <w:divBdr>
                <w:top w:val="none" w:sz="0" w:space="0" w:color="auto"/>
                <w:left w:val="none" w:sz="0" w:space="0" w:color="auto"/>
                <w:bottom w:val="none" w:sz="0" w:space="0" w:color="auto"/>
                <w:right w:val="none" w:sz="0" w:space="0" w:color="auto"/>
              </w:divBdr>
            </w:div>
          </w:divsChild>
        </w:div>
        <w:div w:id="1805734662">
          <w:marLeft w:val="0"/>
          <w:marRight w:val="0"/>
          <w:marTop w:val="0"/>
          <w:marBottom w:val="0"/>
          <w:divBdr>
            <w:top w:val="none" w:sz="0" w:space="0" w:color="auto"/>
            <w:left w:val="none" w:sz="0" w:space="0" w:color="auto"/>
            <w:bottom w:val="none" w:sz="0" w:space="0" w:color="auto"/>
            <w:right w:val="none" w:sz="0" w:space="0" w:color="auto"/>
          </w:divBdr>
          <w:divsChild>
            <w:div w:id="327944901">
              <w:marLeft w:val="0"/>
              <w:marRight w:val="0"/>
              <w:marTop w:val="0"/>
              <w:marBottom w:val="0"/>
              <w:divBdr>
                <w:top w:val="none" w:sz="0" w:space="0" w:color="auto"/>
                <w:left w:val="none" w:sz="0" w:space="0" w:color="auto"/>
                <w:bottom w:val="none" w:sz="0" w:space="0" w:color="auto"/>
                <w:right w:val="none" w:sz="0" w:space="0" w:color="auto"/>
              </w:divBdr>
            </w:div>
            <w:div w:id="549993969">
              <w:marLeft w:val="0"/>
              <w:marRight w:val="0"/>
              <w:marTop w:val="0"/>
              <w:marBottom w:val="0"/>
              <w:divBdr>
                <w:top w:val="none" w:sz="0" w:space="0" w:color="auto"/>
                <w:left w:val="none" w:sz="0" w:space="0" w:color="auto"/>
                <w:bottom w:val="none" w:sz="0" w:space="0" w:color="auto"/>
                <w:right w:val="none" w:sz="0" w:space="0" w:color="auto"/>
              </w:divBdr>
            </w:div>
            <w:div w:id="1112438548">
              <w:marLeft w:val="0"/>
              <w:marRight w:val="0"/>
              <w:marTop w:val="0"/>
              <w:marBottom w:val="0"/>
              <w:divBdr>
                <w:top w:val="none" w:sz="0" w:space="0" w:color="auto"/>
                <w:left w:val="none" w:sz="0" w:space="0" w:color="auto"/>
                <w:bottom w:val="none" w:sz="0" w:space="0" w:color="auto"/>
                <w:right w:val="none" w:sz="0" w:space="0" w:color="auto"/>
              </w:divBdr>
            </w:div>
            <w:div w:id="1386610772">
              <w:marLeft w:val="0"/>
              <w:marRight w:val="0"/>
              <w:marTop w:val="0"/>
              <w:marBottom w:val="0"/>
              <w:divBdr>
                <w:top w:val="none" w:sz="0" w:space="0" w:color="auto"/>
                <w:left w:val="none" w:sz="0" w:space="0" w:color="auto"/>
                <w:bottom w:val="none" w:sz="0" w:space="0" w:color="auto"/>
                <w:right w:val="none" w:sz="0" w:space="0" w:color="auto"/>
              </w:divBdr>
            </w:div>
            <w:div w:id="1398896989">
              <w:marLeft w:val="0"/>
              <w:marRight w:val="0"/>
              <w:marTop w:val="0"/>
              <w:marBottom w:val="0"/>
              <w:divBdr>
                <w:top w:val="none" w:sz="0" w:space="0" w:color="auto"/>
                <w:left w:val="none" w:sz="0" w:space="0" w:color="auto"/>
                <w:bottom w:val="none" w:sz="0" w:space="0" w:color="auto"/>
                <w:right w:val="none" w:sz="0" w:space="0" w:color="auto"/>
              </w:divBdr>
            </w:div>
          </w:divsChild>
        </w:div>
        <w:div w:id="1807770020">
          <w:marLeft w:val="0"/>
          <w:marRight w:val="0"/>
          <w:marTop w:val="0"/>
          <w:marBottom w:val="0"/>
          <w:divBdr>
            <w:top w:val="none" w:sz="0" w:space="0" w:color="auto"/>
            <w:left w:val="none" w:sz="0" w:space="0" w:color="auto"/>
            <w:bottom w:val="none" w:sz="0" w:space="0" w:color="auto"/>
            <w:right w:val="none" w:sz="0" w:space="0" w:color="auto"/>
          </w:divBdr>
          <w:divsChild>
            <w:div w:id="1578713626">
              <w:marLeft w:val="0"/>
              <w:marRight w:val="0"/>
              <w:marTop w:val="0"/>
              <w:marBottom w:val="0"/>
              <w:divBdr>
                <w:top w:val="none" w:sz="0" w:space="0" w:color="auto"/>
                <w:left w:val="none" w:sz="0" w:space="0" w:color="auto"/>
                <w:bottom w:val="none" w:sz="0" w:space="0" w:color="auto"/>
                <w:right w:val="none" w:sz="0" w:space="0" w:color="auto"/>
              </w:divBdr>
            </w:div>
          </w:divsChild>
        </w:div>
        <w:div w:id="1811438311">
          <w:marLeft w:val="0"/>
          <w:marRight w:val="0"/>
          <w:marTop w:val="0"/>
          <w:marBottom w:val="0"/>
          <w:divBdr>
            <w:top w:val="none" w:sz="0" w:space="0" w:color="auto"/>
            <w:left w:val="none" w:sz="0" w:space="0" w:color="auto"/>
            <w:bottom w:val="none" w:sz="0" w:space="0" w:color="auto"/>
            <w:right w:val="none" w:sz="0" w:space="0" w:color="auto"/>
          </w:divBdr>
          <w:divsChild>
            <w:div w:id="1738165850">
              <w:marLeft w:val="0"/>
              <w:marRight w:val="0"/>
              <w:marTop w:val="0"/>
              <w:marBottom w:val="0"/>
              <w:divBdr>
                <w:top w:val="none" w:sz="0" w:space="0" w:color="auto"/>
                <w:left w:val="none" w:sz="0" w:space="0" w:color="auto"/>
                <w:bottom w:val="none" w:sz="0" w:space="0" w:color="auto"/>
                <w:right w:val="none" w:sz="0" w:space="0" w:color="auto"/>
              </w:divBdr>
            </w:div>
          </w:divsChild>
        </w:div>
        <w:div w:id="1813479396">
          <w:marLeft w:val="0"/>
          <w:marRight w:val="0"/>
          <w:marTop w:val="0"/>
          <w:marBottom w:val="0"/>
          <w:divBdr>
            <w:top w:val="none" w:sz="0" w:space="0" w:color="auto"/>
            <w:left w:val="none" w:sz="0" w:space="0" w:color="auto"/>
            <w:bottom w:val="none" w:sz="0" w:space="0" w:color="auto"/>
            <w:right w:val="none" w:sz="0" w:space="0" w:color="auto"/>
          </w:divBdr>
          <w:divsChild>
            <w:div w:id="532964939">
              <w:marLeft w:val="0"/>
              <w:marRight w:val="0"/>
              <w:marTop w:val="0"/>
              <w:marBottom w:val="0"/>
              <w:divBdr>
                <w:top w:val="none" w:sz="0" w:space="0" w:color="auto"/>
                <w:left w:val="none" w:sz="0" w:space="0" w:color="auto"/>
                <w:bottom w:val="none" w:sz="0" w:space="0" w:color="auto"/>
                <w:right w:val="none" w:sz="0" w:space="0" w:color="auto"/>
              </w:divBdr>
            </w:div>
          </w:divsChild>
        </w:div>
        <w:div w:id="1813980346">
          <w:marLeft w:val="0"/>
          <w:marRight w:val="0"/>
          <w:marTop w:val="0"/>
          <w:marBottom w:val="0"/>
          <w:divBdr>
            <w:top w:val="none" w:sz="0" w:space="0" w:color="auto"/>
            <w:left w:val="none" w:sz="0" w:space="0" w:color="auto"/>
            <w:bottom w:val="none" w:sz="0" w:space="0" w:color="auto"/>
            <w:right w:val="none" w:sz="0" w:space="0" w:color="auto"/>
          </w:divBdr>
          <w:divsChild>
            <w:div w:id="212927624">
              <w:marLeft w:val="0"/>
              <w:marRight w:val="0"/>
              <w:marTop w:val="0"/>
              <w:marBottom w:val="0"/>
              <w:divBdr>
                <w:top w:val="none" w:sz="0" w:space="0" w:color="auto"/>
                <w:left w:val="none" w:sz="0" w:space="0" w:color="auto"/>
                <w:bottom w:val="none" w:sz="0" w:space="0" w:color="auto"/>
                <w:right w:val="none" w:sz="0" w:space="0" w:color="auto"/>
              </w:divBdr>
            </w:div>
            <w:div w:id="851378314">
              <w:marLeft w:val="0"/>
              <w:marRight w:val="0"/>
              <w:marTop w:val="0"/>
              <w:marBottom w:val="0"/>
              <w:divBdr>
                <w:top w:val="none" w:sz="0" w:space="0" w:color="auto"/>
                <w:left w:val="none" w:sz="0" w:space="0" w:color="auto"/>
                <w:bottom w:val="none" w:sz="0" w:space="0" w:color="auto"/>
                <w:right w:val="none" w:sz="0" w:space="0" w:color="auto"/>
              </w:divBdr>
            </w:div>
            <w:div w:id="863978303">
              <w:marLeft w:val="0"/>
              <w:marRight w:val="0"/>
              <w:marTop w:val="0"/>
              <w:marBottom w:val="0"/>
              <w:divBdr>
                <w:top w:val="none" w:sz="0" w:space="0" w:color="auto"/>
                <w:left w:val="none" w:sz="0" w:space="0" w:color="auto"/>
                <w:bottom w:val="none" w:sz="0" w:space="0" w:color="auto"/>
                <w:right w:val="none" w:sz="0" w:space="0" w:color="auto"/>
              </w:divBdr>
            </w:div>
            <w:div w:id="1795907494">
              <w:marLeft w:val="0"/>
              <w:marRight w:val="0"/>
              <w:marTop w:val="0"/>
              <w:marBottom w:val="0"/>
              <w:divBdr>
                <w:top w:val="none" w:sz="0" w:space="0" w:color="auto"/>
                <w:left w:val="none" w:sz="0" w:space="0" w:color="auto"/>
                <w:bottom w:val="none" w:sz="0" w:space="0" w:color="auto"/>
                <w:right w:val="none" w:sz="0" w:space="0" w:color="auto"/>
              </w:divBdr>
            </w:div>
            <w:div w:id="2115444145">
              <w:marLeft w:val="0"/>
              <w:marRight w:val="0"/>
              <w:marTop w:val="0"/>
              <w:marBottom w:val="0"/>
              <w:divBdr>
                <w:top w:val="none" w:sz="0" w:space="0" w:color="auto"/>
                <w:left w:val="none" w:sz="0" w:space="0" w:color="auto"/>
                <w:bottom w:val="none" w:sz="0" w:space="0" w:color="auto"/>
                <w:right w:val="none" w:sz="0" w:space="0" w:color="auto"/>
              </w:divBdr>
            </w:div>
          </w:divsChild>
        </w:div>
        <w:div w:id="1818304458">
          <w:marLeft w:val="0"/>
          <w:marRight w:val="0"/>
          <w:marTop w:val="0"/>
          <w:marBottom w:val="0"/>
          <w:divBdr>
            <w:top w:val="none" w:sz="0" w:space="0" w:color="auto"/>
            <w:left w:val="none" w:sz="0" w:space="0" w:color="auto"/>
            <w:bottom w:val="none" w:sz="0" w:space="0" w:color="auto"/>
            <w:right w:val="none" w:sz="0" w:space="0" w:color="auto"/>
          </w:divBdr>
          <w:divsChild>
            <w:div w:id="602151190">
              <w:marLeft w:val="0"/>
              <w:marRight w:val="0"/>
              <w:marTop w:val="0"/>
              <w:marBottom w:val="0"/>
              <w:divBdr>
                <w:top w:val="none" w:sz="0" w:space="0" w:color="auto"/>
                <w:left w:val="none" w:sz="0" w:space="0" w:color="auto"/>
                <w:bottom w:val="none" w:sz="0" w:space="0" w:color="auto"/>
                <w:right w:val="none" w:sz="0" w:space="0" w:color="auto"/>
              </w:divBdr>
            </w:div>
          </w:divsChild>
        </w:div>
        <w:div w:id="1835491870">
          <w:marLeft w:val="0"/>
          <w:marRight w:val="0"/>
          <w:marTop w:val="0"/>
          <w:marBottom w:val="0"/>
          <w:divBdr>
            <w:top w:val="none" w:sz="0" w:space="0" w:color="auto"/>
            <w:left w:val="none" w:sz="0" w:space="0" w:color="auto"/>
            <w:bottom w:val="none" w:sz="0" w:space="0" w:color="auto"/>
            <w:right w:val="none" w:sz="0" w:space="0" w:color="auto"/>
          </w:divBdr>
          <w:divsChild>
            <w:div w:id="193618373">
              <w:marLeft w:val="0"/>
              <w:marRight w:val="0"/>
              <w:marTop w:val="0"/>
              <w:marBottom w:val="0"/>
              <w:divBdr>
                <w:top w:val="none" w:sz="0" w:space="0" w:color="auto"/>
                <w:left w:val="none" w:sz="0" w:space="0" w:color="auto"/>
                <w:bottom w:val="none" w:sz="0" w:space="0" w:color="auto"/>
                <w:right w:val="none" w:sz="0" w:space="0" w:color="auto"/>
              </w:divBdr>
            </w:div>
          </w:divsChild>
        </w:div>
        <w:div w:id="1841382685">
          <w:marLeft w:val="0"/>
          <w:marRight w:val="0"/>
          <w:marTop w:val="0"/>
          <w:marBottom w:val="0"/>
          <w:divBdr>
            <w:top w:val="none" w:sz="0" w:space="0" w:color="auto"/>
            <w:left w:val="none" w:sz="0" w:space="0" w:color="auto"/>
            <w:bottom w:val="none" w:sz="0" w:space="0" w:color="auto"/>
            <w:right w:val="none" w:sz="0" w:space="0" w:color="auto"/>
          </w:divBdr>
          <w:divsChild>
            <w:div w:id="132218565">
              <w:marLeft w:val="0"/>
              <w:marRight w:val="0"/>
              <w:marTop w:val="0"/>
              <w:marBottom w:val="0"/>
              <w:divBdr>
                <w:top w:val="none" w:sz="0" w:space="0" w:color="auto"/>
                <w:left w:val="none" w:sz="0" w:space="0" w:color="auto"/>
                <w:bottom w:val="none" w:sz="0" w:space="0" w:color="auto"/>
                <w:right w:val="none" w:sz="0" w:space="0" w:color="auto"/>
              </w:divBdr>
            </w:div>
          </w:divsChild>
        </w:div>
        <w:div w:id="1843934523">
          <w:marLeft w:val="0"/>
          <w:marRight w:val="0"/>
          <w:marTop w:val="0"/>
          <w:marBottom w:val="0"/>
          <w:divBdr>
            <w:top w:val="none" w:sz="0" w:space="0" w:color="auto"/>
            <w:left w:val="none" w:sz="0" w:space="0" w:color="auto"/>
            <w:bottom w:val="none" w:sz="0" w:space="0" w:color="auto"/>
            <w:right w:val="none" w:sz="0" w:space="0" w:color="auto"/>
          </w:divBdr>
          <w:divsChild>
            <w:div w:id="753286825">
              <w:marLeft w:val="0"/>
              <w:marRight w:val="0"/>
              <w:marTop w:val="0"/>
              <w:marBottom w:val="0"/>
              <w:divBdr>
                <w:top w:val="none" w:sz="0" w:space="0" w:color="auto"/>
                <w:left w:val="none" w:sz="0" w:space="0" w:color="auto"/>
                <w:bottom w:val="none" w:sz="0" w:space="0" w:color="auto"/>
                <w:right w:val="none" w:sz="0" w:space="0" w:color="auto"/>
              </w:divBdr>
            </w:div>
          </w:divsChild>
        </w:div>
        <w:div w:id="1847357357">
          <w:marLeft w:val="0"/>
          <w:marRight w:val="0"/>
          <w:marTop w:val="0"/>
          <w:marBottom w:val="0"/>
          <w:divBdr>
            <w:top w:val="none" w:sz="0" w:space="0" w:color="auto"/>
            <w:left w:val="none" w:sz="0" w:space="0" w:color="auto"/>
            <w:bottom w:val="none" w:sz="0" w:space="0" w:color="auto"/>
            <w:right w:val="none" w:sz="0" w:space="0" w:color="auto"/>
          </w:divBdr>
          <w:divsChild>
            <w:div w:id="529732776">
              <w:marLeft w:val="0"/>
              <w:marRight w:val="0"/>
              <w:marTop w:val="0"/>
              <w:marBottom w:val="0"/>
              <w:divBdr>
                <w:top w:val="none" w:sz="0" w:space="0" w:color="auto"/>
                <w:left w:val="none" w:sz="0" w:space="0" w:color="auto"/>
                <w:bottom w:val="none" w:sz="0" w:space="0" w:color="auto"/>
                <w:right w:val="none" w:sz="0" w:space="0" w:color="auto"/>
              </w:divBdr>
            </w:div>
          </w:divsChild>
        </w:div>
        <w:div w:id="1854686357">
          <w:marLeft w:val="0"/>
          <w:marRight w:val="0"/>
          <w:marTop w:val="0"/>
          <w:marBottom w:val="0"/>
          <w:divBdr>
            <w:top w:val="none" w:sz="0" w:space="0" w:color="auto"/>
            <w:left w:val="none" w:sz="0" w:space="0" w:color="auto"/>
            <w:bottom w:val="none" w:sz="0" w:space="0" w:color="auto"/>
            <w:right w:val="none" w:sz="0" w:space="0" w:color="auto"/>
          </w:divBdr>
          <w:divsChild>
            <w:div w:id="844173873">
              <w:marLeft w:val="0"/>
              <w:marRight w:val="0"/>
              <w:marTop w:val="0"/>
              <w:marBottom w:val="0"/>
              <w:divBdr>
                <w:top w:val="none" w:sz="0" w:space="0" w:color="auto"/>
                <w:left w:val="none" w:sz="0" w:space="0" w:color="auto"/>
                <w:bottom w:val="none" w:sz="0" w:space="0" w:color="auto"/>
                <w:right w:val="none" w:sz="0" w:space="0" w:color="auto"/>
              </w:divBdr>
            </w:div>
          </w:divsChild>
        </w:div>
        <w:div w:id="1855879883">
          <w:marLeft w:val="0"/>
          <w:marRight w:val="0"/>
          <w:marTop w:val="0"/>
          <w:marBottom w:val="0"/>
          <w:divBdr>
            <w:top w:val="none" w:sz="0" w:space="0" w:color="auto"/>
            <w:left w:val="none" w:sz="0" w:space="0" w:color="auto"/>
            <w:bottom w:val="none" w:sz="0" w:space="0" w:color="auto"/>
            <w:right w:val="none" w:sz="0" w:space="0" w:color="auto"/>
          </w:divBdr>
          <w:divsChild>
            <w:div w:id="853304987">
              <w:marLeft w:val="0"/>
              <w:marRight w:val="0"/>
              <w:marTop w:val="0"/>
              <w:marBottom w:val="0"/>
              <w:divBdr>
                <w:top w:val="none" w:sz="0" w:space="0" w:color="auto"/>
                <w:left w:val="none" w:sz="0" w:space="0" w:color="auto"/>
                <w:bottom w:val="none" w:sz="0" w:space="0" w:color="auto"/>
                <w:right w:val="none" w:sz="0" w:space="0" w:color="auto"/>
              </w:divBdr>
            </w:div>
          </w:divsChild>
        </w:div>
        <w:div w:id="1863282579">
          <w:marLeft w:val="0"/>
          <w:marRight w:val="0"/>
          <w:marTop w:val="0"/>
          <w:marBottom w:val="0"/>
          <w:divBdr>
            <w:top w:val="none" w:sz="0" w:space="0" w:color="auto"/>
            <w:left w:val="none" w:sz="0" w:space="0" w:color="auto"/>
            <w:bottom w:val="none" w:sz="0" w:space="0" w:color="auto"/>
            <w:right w:val="none" w:sz="0" w:space="0" w:color="auto"/>
          </w:divBdr>
          <w:divsChild>
            <w:div w:id="714426566">
              <w:marLeft w:val="0"/>
              <w:marRight w:val="0"/>
              <w:marTop w:val="0"/>
              <w:marBottom w:val="0"/>
              <w:divBdr>
                <w:top w:val="none" w:sz="0" w:space="0" w:color="auto"/>
                <w:left w:val="none" w:sz="0" w:space="0" w:color="auto"/>
                <w:bottom w:val="none" w:sz="0" w:space="0" w:color="auto"/>
                <w:right w:val="none" w:sz="0" w:space="0" w:color="auto"/>
              </w:divBdr>
            </w:div>
          </w:divsChild>
        </w:div>
        <w:div w:id="1867331122">
          <w:marLeft w:val="0"/>
          <w:marRight w:val="0"/>
          <w:marTop w:val="0"/>
          <w:marBottom w:val="0"/>
          <w:divBdr>
            <w:top w:val="none" w:sz="0" w:space="0" w:color="auto"/>
            <w:left w:val="none" w:sz="0" w:space="0" w:color="auto"/>
            <w:bottom w:val="none" w:sz="0" w:space="0" w:color="auto"/>
            <w:right w:val="none" w:sz="0" w:space="0" w:color="auto"/>
          </w:divBdr>
          <w:divsChild>
            <w:div w:id="7489397">
              <w:marLeft w:val="0"/>
              <w:marRight w:val="0"/>
              <w:marTop w:val="0"/>
              <w:marBottom w:val="0"/>
              <w:divBdr>
                <w:top w:val="none" w:sz="0" w:space="0" w:color="auto"/>
                <w:left w:val="none" w:sz="0" w:space="0" w:color="auto"/>
                <w:bottom w:val="none" w:sz="0" w:space="0" w:color="auto"/>
                <w:right w:val="none" w:sz="0" w:space="0" w:color="auto"/>
              </w:divBdr>
            </w:div>
          </w:divsChild>
        </w:div>
        <w:div w:id="1870945890">
          <w:marLeft w:val="0"/>
          <w:marRight w:val="0"/>
          <w:marTop w:val="0"/>
          <w:marBottom w:val="0"/>
          <w:divBdr>
            <w:top w:val="none" w:sz="0" w:space="0" w:color="auto"/>
            <w:left w:val="none" w:sz="0" w:space="0" w:color="auto"/>
            <w:bottom w:val="none" w:sz="0" w:space="0" w:color="auto"/>
            <w:right w:val="none" w:sz="0" w:space="0" w:color="auto"/>
          </w:divBdr>
          <w:divsChild>
            <w:div w:id="1588732836">
              <w:marLeft w:val="0"/>
              <w:marRight w:val="0"/>
              <w:marTop w:val="0"/>
              <w:marBottom w:val="0"/>
              <w:divBdr>
                <w:top w:val="none" w:sz="0" w:space="0" w:color="auto"/>
                <w:left w:val="none" w:sz="0" w:space="0" w:color="auto"/>
                <w:bottom w:val="none" w:sz="0" w:space="0" w:color="auto"/>
                <w:right w:val="none" w:sz="0" w:space="0" w:color="auto"/>
              </w:divBdr>
            </w:div>
          </w:divsChild>
        </w:div>
        <w:div w:id="1871070217">
          <w:marLeft w:val="0"/>
          <w:marRight w:val="0"/>
          <w:marTop w:val="0"/>
          <w:marBottom w:val="0"/>
          <w:divBdr>
            <w:top w:val="none" w:sz="0" w:space="0" w:color="auto"/>
            <w:left w:val="none" w:sz="0" w:space="0" w:color="auto"/>
            <w:bottom w:val="none" w:sz="0" w:space="0" w:color="auto"/>
            <w:right w:val="none" w:sz="0" w:space="0" w:color="auto"/>
          </w:divBdr>
          <w:divsChild>
            <w:div w:id="1411541839">
              <w:marLeft w:val="0"/>
              <w:marRight w:val="0"/>
              <w:marTop w:val="0"/>
              <w:marBottom w:val="0"/>
              <w:divBdr>
                <w:top w:val="none" w:sz="0" w:space="0" w:color="auto"/>
                <w:left w:val="none" w:sz="0" w:space="0" w:color="auto"/>
                <w:bottom w:val="none" w:sz="0" w:space="0" w:color="auto"/>
                <w:right w:val="none" w:sz="0" w:space="0" w:color="auto"/>
              </w:divBdr>
            </w:div>
          </w:divsChild>
        </w:div>
        <w:div w:id="1873612083">
          <w:marLeft w:val="0"/>
          <w:marRight w:val="0"/>
          <w:marTop w:val="0"/>
          <w:marBottom w:val="0"/>
          <w:divBdr>
            <w:top w:val="none" w:sz="0" w:space="0" w:color="auto"/>
            <w:left w:val="none" w:sz="0" w:space="0" w:color="auto"/>
            <w:bottom w:val="none" w:sz="0" w:space="0" w:color="auto"/>
            <w:right w:val="none" w:sz="0" w:space="0" w:color="auto"/>
          </w:divBdr>
          <w:divsChild>
            <w:div w:id="745226524">
              <w:marLeft w:val="0"/>
              <w:marRight w:val="0"/>
              <w:marTop w:val="0"/>
              <w:marBottom w:val="0"/>
              <w:divBdr>
                <w:top w:val="none" w:sz="0" w:space="0" w:color="auto"/>
                <w:left w:val="none" w:sz="0" w:space="0" w:color="auto"/>
                <w:bottom w:val="none" w:sz="0" w:space="0" w:color="auto"/>
                <w:right w:val="none" w:sz="0" w:space="0" w:color="auto"/>
              </w:divBdr>
            </w:div>
          </w:divsChild>
        </w:div>
        <w:div w:id="1877280009">
          <w:marLeft w:val="0"/>
          <w:marRight w:val="0"/>
          <w:marTop w:val="0"/>
          <w:marBottom w:val="0"/>
          <w:divBdr>
            <w:top w:val="none" w:sz="0" w:space="0" w:color="auto"/>
            <w:left w:val="none" w:sz="0" w:space="0" w:color="auto"/>
            <w:bottom w:val="none" w:sz="0" w:space="0" w:color="auto"/>
            <w:right w:val="none" w:sz="0" w:space="0" w:color="auto"/>
          </w:divBdr>
          <w:divsChild>
            <w:div w:id="877545106">
              <w:marLeft w:val="0"/>
              <w:marRight w:val="0"/>
              <w:marTop w:val="0"/>
              <w:marBottom w:val="0"/>
              <w:divBdr>
                <w:top w:val="none" w:sz="0" w:space="0" w:color="auto"/>
                <w:left w:val="none" w:sz="0" w:space="0" w:color="auto"/>
                <w:bottom w:val="none" w:sz="0" w:space="0" w:color="auto"/>
                <w:right w:val="none" w:sz="0" w:space="0" w:color="auto"/>
              </w:divBdr>
            </w:div>
          </w:divsChild>
        </w:div>
        <w:div w:id="1879930456">
          <w:marLeft w:val="0"/>
          <w:marRight w:val="0"/>
          <w:marTop w:val="0"/>
          <w:marBottom w:val="0"/>
          <w:divBdr>
            <w:top w:val="none" w:sz="0" w:space="0" w:color="auto"/>
            <w:left w:val="none" w:sz="0" w:space="0" w:color="auto"/>
            <w:bottom w:val="none" w:sz="0" w:space="0" w:color="auto"/>
            <w:right w:val="none" w:sz="0" w:space="0" w:color="auto"/>
          </w:divBdr>
          <w:divsChild>
            <w:div w:id="1130423">
              <w:marLeft w:val="0"/>
              <w:marRight w:val="0"/>
              <w:marTop w:val="0"/>
              <w:marBottom w:val="0"/>
              <w:divBdr>
                <w:top w:val="none" w:sz="0" w:space="0" w:color="auto"/>
                <w:left w:val="none" w:sz="0" w:space="0" w:color="auto"/>
                <w:bottom w:val="none" w:sz="0" w:space="0" w:color="auto"/>
                <w:right w:val="none" w:sz="0" w:space="0" w:color="auto"/>
              </w:divBdr>
            </w:div>
          </w:divsChild>
        </w:div>
        <w:div w:id="1887909485">
          <w:marLeft w:val="0"/>
          <w:marRight w:val="0"/>
          <w:marTop w:val="0"/>
          <w:marBottom w:val="0"/>
          <w:divBdr>
            <w:top w:val="none" w:sz="0" w:space="0" w:color="auto"/>
            <w:left w:val="none" w:sz="0" w:space="0" w:color="auto"/>
            <w:bottom w:val="none" w:sz="0" w:space="0" w:color="auto"/>
            <w:right w:val="none" w:sz="0" w:space="0" w:color="auto"/>
          </w:divBdr>
          <w:divsChild>
            <w:div w:id="125048800">
              <w:marLeft w:val="0"/>
              <w:marRight w:val="0"/>
              <w:marTop w:val="0"/>
              <w:marBottom w:val="0"/>
              <w:divBdr>
                <w:top w:val="none" w:sz="0" w:space="0" w:color="auto"/>
                <w:left w:val="none" w:sz="0" w:space="0" w:color="auto"/>
                <w:bottom w:val="none" w:sz="0" w:space="0" w:color="auto"/>
                <w:right w:val="none" w:sz="0" w:space="0" w:color="auto"/>
              </w:divBdr>
            </w:div>
            <w:div w:id="756168430">
              <w:marLeft w:val="0"/>
              <w:marRight w:val="0"/>
              <w:marTop w:val="0"/>
              <w:marBottom w:val="0"/>
              <w:divBdr>
                <w:top w:val="none" w:sz="0" w:space="0" w:color="auto"/>
                <w:left w:val="none" w:sz="0" w:space="0" w:color="auto"/>
                <w:bottom w:val="none" w:sz="0" w:space="0" w:color="auto"/>
                <w:right w:val="none" w:sz="0" w:space="0" w:color="auto"/>
              </w:divBdr>
            </w:div>
            <w:div w:id="803429021">
              <w:marLeft w:val="0"/>
              <w:marRight w:val="0"/>
              <w:marTop w:val="0"/>
              <w:marBottom w:val="0"/>
              <w:divBdr>
                <w:top w:val="none" w:sz="0" w:space="0" w:color="auto"/>
                <w:left w:val="none" w:sz="0" w:space="0" w:color="auto"/>
                <w:bottom w:val="none" w:sz="0" w:space="0" w:color="auto"/>
                <w:right w:val="none" w:sz="0" w:space="0" w:color="auto"/>
              </w:divBdr>
            </w:div>
            <w:div w:id="843276149">
              <w:marLeft w:val="0"/>
              <w:marRight w:val="0"/>
              <w:marTop w:val="0"/>
              <w:marBottom w:val="0"/>
              <w:divBdr>
                <w:top w:val="none" w:sz="0" w:space="0" w:color="auto"/>
                <w:left w:val="none" w:sz="0" w:space="0" w:color="auto"/>
                <w:bottom w:val="none" w:sz="0" w:space="0" w:color="auto"/>
                <w:right w:val="none" w:sz="0" w:space="0" w:color="auto"/>
              </w:divBdr>
            </w:div>
            <w:div w:id="1020358399">
              <w:marLeft w:val="0"/>
              <w:marRight w:val="0"/>
              <w:marTop w:val="0"/>
              <w:marBottom w:val="0"/>
              <w:divBdr>
                <w:top w:val="none" w:sz="0" w:space="0" w:color="auto"/>
                <w:left w:val="none" w:sz="0" w:space="0" w:color="auto"/>
                <w:bottom w:val="none" w:sz="0" w:space="0" w:color="auto"/>
                <w:right w:val="none" w:sz="0" w:space="0" w:color="auto"/>
              </w:divBdr>
            </w:div>
            <w:div w:id="1233465240">
              <w:marLeft w:val="0"/>
              <w:marRight w:val="0"/>
              <w:marTop w:val="0"/>
              <w:marBottom w:val="0"/>
              <w:divBdr>
                <w:top w:val="none" w:sz="0" w:space="0" w:color="auto"/>
                <w:left w:val="none" w:sz="0" w:space="0" w:color="auto"/>
                <w:bottom w:val="none" w:sz="0" w:space="0" w:color="auto"/>
                <w:right w:val="none" w:sz="0" w:space="0" w:color="auto"/>
              </w:divBdr>
            </w:div>
            <w:div w:id="1430850782">
              <w:marLeft w:val="0"/>
              <w:marRight w:val="0"/>
              <w:marTop w:val="0"/>
              <w:marBottom w:val="0"/>
              <w:divBdr>
                <w:top w:val="none" w:sz="0" w:space="0" w:color="auto"/>
                <w:left w:val="none" w:sz="0" w:space="0" w:color="auto"/>
                <w:bottom w:val="none" w:sz="0" w:space="0" w:color="auto"/>
                <w:right w:val="none" w:sz="0" w:space="0" w:color="auto"/>
              </w:divBdr>
            </w:div>
            <w:div w:id="1777288464">
              <w:marLeft w:val="0"/>
              <w:marRight w:val="0"/>
              <w:marTop w:val="0"/>
              <w:marBottom w:val="0"/>
              <w:divBdr>
                <w:top w:val="none" w:sz="0" w:space="0" w:color="auto"/>
                <w:left w:val="none" w:sz="0" w:space="0" w:color="auto"/>
                <w:bottom w:val="none" w:sz="0" w:space="0" w:color="auto"/>
                <w:right w:val="none" w:sz="0" w:space="0" w:color="auto"/>
              </w:divBdr>
            </w:div>
            <w:div w:id="1908296440">
              <w:marLeft w:val="0"/>
              <w:marRight w:val="0"/>
              <w:marTop w:val="0"/>
              <w:marBottom w:val="0"/>
              <w:divBdr>
                <w:top w:val="none" w:sz="0" w:space="0" w:color="auto"/>
                <w:left w:val="none" w:sz="0" w:space="0" w:color="auto"/>
                <w:bottom w:val="none" w:sz="0" w:space="0" w:color="auto"/>
                <w:right w:val="none" w:sz="0" w:space="0" w:color="auto"/>
              </w:divBdr>
            </w:div>
          </w:divsChild>
        </w:div>
        <w:div w:id="1896698620">
          <w:marLeft w:val="0"/>
          <w:marRight w:val="0"/>
          <w:marTop w:val="0"/>
          <w:marBottom w:val="0"/>
          <w:divBdr>
            <w:top w:val="none" w:sz="0" w:space="0" w:color="auto"/>
            <w:left w:val="none" w:sz="0" w:space="0" w:color="auto"/>
            <w:bottom w:val="none" w:sz="0" w:space="0" w:color="auto"/>
            <w:right w:val="none" w:sz="0" w:space="0" w:color="auto"/>
          </w:divBdr>
          <w:divsChild>
            <w:div w:id="141629041">
              <w:marLeft w:val="0"/>
              <w:marRight w:val="0"/>
              <w:marTop w:val="0"/>
              <w:marBottom w:val="0"/>
              <w:divBdr>
                <w:top w:val="none" w:sz="0" w:space="0" w:color="auto"/>
                <w:left w:val="none" w:sz="0" w:space="0" w:color="auto"/>
                <w:bottom w:val="none" w:sz="0" w:space="0" w:color="auto"/>
                <w:right w:val="none" w:sz="0" w:space="0" w:color="auto"/>
              </w:divBdr>
            </w:div>
          </w:divsChild>
        </w:div>
        <w:div w:id="1915239889">
          <w:marLeft w:val="0"/>
          <w:marRight w:val="0"/>
          <w:marTop w:val="0"/>
          <w:marBottom w:val="0"/>
          <w:divBdr>
            <w:top w:val="none" w:sz="0" w:space="0" w:color="auto"/>
            <w:left w:val="none" w:sz="0" w:space="0" w:color="auto"/>
            <w:bottom w:val="none" w:sz="0" w:space="0" w:color="auto"/>
            <w:right w:val="none" w:sz="0" w:space="0" w:color="auto"/>
          </w:divBdr>
          <w:divsChild>
            <w:div w:id="23604513">
              <w:marLeft w:val="0"/>
              <w:marRight w:val="0"/>
              <w:marTop w:val="0"/>
              <w:marBottom w:val="0"/>
              <w:divBdr>
                <w:top w:val="none" w:sz="0" w:space="0" w:color="auto"/>
                <w:left w:val="none" w:sz="0" w:space="0" w:color="auto"/>
                <w:bottom w:val="none" w:sz="0" w:space="0" w:color="auto"/>
                <w:right w:val="none" w:sz="0" w:space="0" w:color="auto"/>
              </w:divBdr>
            </w:div>
          </w:divsChild>
        </w:div>
        <w:div w:id="1918900232">
          <w:marLeft w:val="0"/>
          <w:marRight w:val="0"/>
          <w:marTop w:val="0"/>
          <w:marBottom w:val="0"/>
          <w:divBdr>
            <w:top w:val="none" w:sz="0" w:space="0" w:color="auto"/>
            <w:left w:val="none" w:sz="0" w:space="0" w:color="auto"/>
            <w:bottom w:val="none" w:sz="0" w:space="0" w:color="auto"/>
            <w:right w:val="none" w:sz="0" w:space="0" w:color="auto"/>
          </w:divBdr>
          <w:divsChild>
            <w:div w:id="1804496777">
              <w:marLeft w:val="0"/>
              <w:marRight w:val="0"/>
              <w:marTop w:val="0"/>
              <w:marBottom w:val="0"/>
              <w:divBdr>
                <w:top w:val="none" w:sz="0" w:space="0" w:color="auto"/>
                <w:left w:val="none" w:sz="0" w:space="0" w:color="auto"/>
                <w:bottom w:val="none" w:sz="0" w:space="0" w:color="auto"/>
                <w:right w:val="none" w:sz="0" w:space="0" w:color="auto"/>
              </w:divBdr>
            </w:div>
          </w:divsChild>
        </w:div>
        <w:div w:id="1926449875">
          <w:marLeft w:val="0"/>
          <w:marRight w:val="0"/>
          <w:marTop w:val="0"/>
          <w:marBottom w:val="0"/>
          <w:divBdr>
            <w:top w:val="none" w:sz="0" w:space="0" w:color="auto"/>
            <w:left w:val="none" w:sz="0" w:space="0" w:color="auto"/>
            <w:bottom w:val="none" w:sz="0" w:space="0" w:color="auto"/>
            <w:right w:val="none" w:sz="0" w:space="0" w:color="auto"/>
          </w:divBdr>
          <w:divsChild>
            <w:div w:id="518617973">
              <w:marLeft w:val="0"/>
              <w:marRight w:val="0"/>
              <w:marTop w:val="0"/>
              <w:marBottom w:val="0"/>
              <w:divBdr>
                <w:top w:val="none" w:sz="0" w:space="0" w:color="auto"/>
                <w:left w:val="none" w:sz="0" w:space="0" w:color="auto"/>
                <w:bottom w:val="none" w:sz="0" w:space="0" w:color="auto"/>
                <w:right w:val="none" w:sz="0" w:space="0" w:color="auto"/>
              </w:divBdr>
            </w:div>
          </w:divsChild>
        </w:div>
        <w:div w:id="1928924987">
          <w:marLeft w:val="0"/>
          <w:marRight w:val="0"/>
          <w:marTop w:val="0"/>
          <w:marBottom w:val="0"/>
          <w:divBdr>
            <w:top w:val="none" w:sz="0" w:space="0" w:color="auto"/>
            <w:left w:val="none" w:sz="0" w:space="0" w:color="auto"/>
            <w:bottom w:val="none" w:sz="0" w:space="0" w:color="auto"/>
            <w:right w:val="none" w:sz="0" w:space="0" w:color="auto"/>
          </w:divBdr>
          <w:divsChild>
            <w:div w:id="1636905180">
              <w:marLeft w:val="0"/>
              <w:marRight w:val="0"/>
              <w:marTop w:val="0"/>
              <w:marBottom w:val="0"/>
              <w:divBdr>
                <w:top w:val="none" w:sz="0" w:space="0" w:color="auto"/>
                <w:left w:val="none" w:sz="0" w:space="0" w:color="auto"/>
                <w:bottom w:val="none" w:sz="0" w:space="0" w:color="auto"/>
                <w:right w:val="none" w:sz="0" w:space="0" w:color="auto"/>
              </w:divBdr>
            </w:div>
          </w:divsChild>
        </w:div>
        <w:div w:id="1936134964">
          <w:marLeft w:val="0"/>
          <w:marRight w:val="0"/>
          <w:marTop w:val="0"/>
          <w:marBottom w:val="0"/>
          <w:divBdr>
            <w:top w:val="none" w:sz="0" w:space="0" w:color="auto"/>
            <w:left w:val="none" w:sz="0" w:space="0" w:color="auto"/>
            <w:bottom w:val="none" w:sz="0" w:space="0" w:color="auto"/>
            <w:right w:val="none" w:sz="0" w:space="0" w:color="auto"/>
          </w:divBdr>
          <w:divsChild>
            <w:div w:id="481508749">
              <w:marLeft w:val="0"/>
              <w:marRight w:val="0"/>
              <w:marTop w:val="0"/>
              <w:marBottom w:val="0"/>
              <w:divBdr>
                <w:top w:val="none" w:sz="0" w:space="0" w:color="auto"/>
                <w:left w:val="none" w:sz="0" w:space="0" w:color="auto"/>
                <w:bottom w:val="none" w:sz="0" w:space="0" w:color="auto"/>
                <w:right w:val="none" w:sz="0" w:space="0" w:color="auto"/>
              </w:divBdr>
            </w:div>
          </w:divsChild>
        </w:div>
        <w:div w:id="1944192682">
          <w:marLeft w:val="0"/>
          <w:marRight w:val="0"/>
          <w:marTop w:val="0"/>
          <w:marBottom w:val="0"/>
          <w:divBdr>
            <w:top w:val="none" w:sz="0" w:space="0" w:color="auto"/>
            <w:left w:val="none" w:sz="0" w:space="0" w:color="auto"/>
            <w:bottom w:val="none" w:sz="0" w:space="0" w:color="auto"/>
            <w:right w:val="none" w:sz="0" w:space="0" w:color="auto"/>
          </w:divBdr>
          <w:divsChild>
            <w:div w:id="1253583898">
              <w:marLeft w:val="0"/>
              <w:marRight w:val="0"/>
              <w:marTop w:val="0"/>
              <w:marBottom w:val="0"/>
              <w:divBdr>
                <w:top w:val="none" w:sz="0" w:space="0" w:color="auto"/>
                <w:left w:val="none" w:sz="0" w:space="0" w:color="auto"/>
                <w:bottom w:val="none" w:sz="0" w:space="0" w:color="auto"/>
                <w:right w:val="none" w:sz="0" w:space="0" w:color="auto"/>
              </w:divBdr>
            </w:div>
          </w:divsChild>
        </w:div>
        <w:div w:id="1944220473">
          <w:marLeft w:val="0"/>
          <w:marRight w:val="0"/>
          <w:marTop w:val="0"/>
          <w:marBottom w:val="0"/>
          <w:divBdr>
            <w:top w:val="none" w:sz="0" w:space="0" w:color="auto"/>
            <w:left w:val="none" w:sz="0" w:space="0" w:color="auto"/>
            <w:bottom w:val="none" w:sz="0" w:space="0" w:color="auto"/>
            <w:right w:val="none" w:sz="0" w:space="0" w:color="auto"/>
          </w:divBdr>
          <w:divsChild>
            <w:div w:id="740255127">
              <w:marLeft w:val="0"/>
              <w:marRight w:val="0"/>
              <w:marTop w:val="0"/>
              <w:marBottom w:val="0"/>
              <w:divBdr>
                <w:top w:val="none" w:sz="0" w:space="0" w:color="auto"/>
                <w:left w:val="none" w:sz="0" w:space="0" w:color="auto"/>
                <w:bottom w:val="none" w:sz="0" w:space="0" w:color="auto"/>
                <w:right w:val="none" w:sz="0" w:space="0" w:color="auto"/>
              </w:divBdr>
            </w:div>
          </w:divsChild>
        </w:div>
        <w:div w:id="1944461362">
          <w:marLeft w:val="0"/>
          <w:marRight w:val="0"/>
          <w:marTop w:val="0"/>
          <w:marBottom w:val="0"/>
          <w:divBdr>
            <w:top w:val="none" w:sz="0" w:space="0" w:color="auto"/>
            <w:left w:val="none" w:sz="0" w:space="0" w:color="auto"/>
            <w:bottom w:val="none" w:sz="0" w:space="0" w:color="auto"/>
            <w:right w:val="none" w:sz="0" w:space="0" w:color="auto"/>
          </w:divBdr>
          <w:divsChild>
            <w:div w:id="11763490">
              <w:marLeft w:val="0"/>
              <w:marRight w:val="0"/>
              <w:marTop w:val="0"/>
              <w:marBottom w:val="0"/>
              <w:divBdr>
                <w:top w:val="none" w:sz="0" w:space="0" w:color="auto"/>
                <w:left w:val="none" w:sz="0" w:space="0" w:color="auto"/>
                <w:bottom w:val="none" w:sz="0" w:space="0" w:color="auto"/>
                <w:right w:val="none" w:sz="0" w:space="0" w:color="auto"/>
              </w:divBdr>
            </w:div>
          </w:divsChild>
        </w:div>
        <w:div w:id="1960068877">
          <w:marLeft w:val="0"/>
          <w:marRight w:val="0"/>
          <w:marTop w:val="0"/>
          <w:marBottom w:val="0"/>
          <w:divBdr>
            <w:top w:val="none" w:sz="0" w:space="0" w:color="auto"/>
            <w:left w:val="none" w:sz="0" w:space="0" w:color="auto"/>
            <w:bottom w:val="none" w:sz="0" w:space="0" w:color="auto"/>
            <w:right w:val="none" w:sz="0" w:space="0" w:color="auto"/>
          </w:divBdr>
          <w:divsChild>
            <w:div w:id="1884436897">
              <w:marLeft w:val="0"/>
              <w:marRight w:val="0"/>
              <w:marTop w:val="0"/>
              <w:marBottom w:val="0"/>
              <w:divBdr>
                <w:top w:val="none" w:sz="0" w:space="0" w:color="auto"/>
                <w:left w:val="none" w:sz="0" w:space="0" w:color="auto"/>
                <w:bottom w:val="none" w:sz="0" w:space="0" w:color="auto"/>
                <w:right w:val="none" w:sz="0" w:space="0" w:color="auto"/>
              </w:divBdr>
            </w:div>
          </w:divsChild>
        </w:div>
        <w:div w:id="1961645469">
          <w:marLeft w:val="0"/>
          <w:marRight w:val="0"/>
          <w:marTop w:val="0"/>
          <w:marBottom w:val="0"/>
          <w:divBdr>
            <w:top w:val="none" w:sz="0" w:space="0" w:color="auto"/>
            <w:left w:val="none" w:sz="0" w:space="0" w:color="auto"/>
            <w:bottom w:val="none" w:sz="0" w:space="0" w:color="auto"/>
            <w:right w:val="none" w:sz="0" w:space="0" w:color="auto"/>
          </w:divBdr>
          <w:divsChild>
            <w:div w:id="1486243791">
              <w:marLeft w:val="0"/>
              <w:marRight w:val="0"/>
              <w:marTop w:val="0"/>
              <w:marBottom w:val="0"/>
              <w:divBdr>
                <w:top w:val="none" w:sz="0" w:space="0" w:color="auto"/>
                <w:left w:val="none" w:sz="0" w:space="0" w:color="auto"/>
                <w:bottom w:val="none" w:sz="0" w:space="0" w:color="auto"/>
                <w:right w:val="none" w:sz="0" w:space="0" w:color="auto"/>
              </w:divBdr>
            </w:div>
          </w:divsChild>
        </w:div>
        <w:div w:id="1968929612">
          <w:marLeft w:val="0"/>
          <w:marRight w:val="0"/>
          <w:marTop w:val="0"/>
          <w:marBottom w:val="0"/>
          <w:divBdr>
            <w:top w:val="none" w:sz="0" w:space="0" w:color="auto"/>
            <w:left w:val="none" w:sz="0" w:space="0" w:color="auto"/>
            <w:bottom w:val="none" w:sz="0" w:space="0" w:color="auto"/>
            <w:right w:val="none" w:sz="0" w:space="0" w:color="auto"/>
          </w:divBdr>
          <w:divsChild>
            <w:div w:id="1798446031">
              <w:marLeft w:val="0"/>
              <w:marRight w:val="0"/>
              <w:marTop w:val="0"/>
              <w:marBottom w:val="0"/>
              <w:divBdr>
                <w:top w:val="none" w:sz="0" w:space="0" w:color="auto"/>
                <w:left w:val="none" w:sz="0" w:space="0" w:color="auto"/>
                <w:bottom w:val="none" w:sz="0" w:space="0" w:color="auto"/>
                <w:right w:val="none" w:sz="0" w:space="0" w:color="auto"/>
              </w:divBdr>
            </w:div>
          </w:divsChild>
        </w:div>
        <w:div w:id="1990593164">
          <w:marLeft w:val="0"/>
          <w:marRight w:val="0"/>
          <w:marTop w:val="0"/>
          <w:marBottom w:val="0"/>
          <w:divBdr>
            <w:top w:val="none" w:sz="0" w:space="0" w:color="auto"/>
            <w:left w:val="none" w:sz="0" w:space="0" w:color="auto"/>
            <w:bottom w:val="none" w:sz="0" w:space="0" w:color="auto"/>
            <w:right w:val="none" w:sz="0" w:space="0" w:color="auto"/>
          </w:divBdr>
          <w:divsChild>
            <w:div w:id="1480340944">
              <w:marLeft w:val="0"/>
              <w:marRight w:val="0"/>
              <w:marTop w:val="0"/>
              <w:marBottom w:val="0"/>
              <w:divBdr>
                <w:top w:val="none" w:sz="0" w:space="0" w:color="auto"/>
                <w:left w:val="none" w:sz="0" w:space="0" w:color="auto"/>
                <w:bottom w:val="none" w:sz="0" w:space="0" w:color="auto"/>
                <w:right w:val="none" w:sz="0" w:space="0" w:color="auto"/>
              </w:divBdr>
            </w:div>
          </w:divsChild>
        </w:div>
        <w:div w:id="1990669938">
          <w:marLeft w:val="0"/>
          <w:marRight w:val="0"/>
          <w:marTop w:val="0"/>
          <w:marBottom w:val="0"/>
          <w:divBdr>
            <w:top w:val="none" w:sz="0" w:space="0" w:color="auto"/>
            <w:left w:val="none" w:sz="0" w:space="0" w:color="auto"/>
            <w:bottom w:val="none" w:sz="0" w:space="0" w:color="auto"/>
            <w:right w:val="none" w:sz="0" w:space="0" w:color="auto"/>
          </w:divBdr>
          <w:divsChild>
            <w:div w:id="2130775784">
              <w:marLeft w:val="0"/>
              <w:marRight w:val="0"/>
              <w:marTop w:val="0"/>
              <w:marBottom w:val="0"/>
              <w:divBdr>
                <w:top w:val="none" w:sz="0" w:space="0" w:color="auto"/>
                <w:left w:val="none" w:sz="0" w:space="0" w:color="auto"/>
                <w:bottom w:val="none" w:sz="0" w:space="0" w:color="auto"/>
                <w:right w:val="none" w:sz="0" w:space="0" w:color="auto"/>
              </w:divBdr>
            </w:div>
          </w:divsChild>
        </w:div>
        <w:div w:id="2001539155">
          <w:marLeft w:val="0"/>
          <w:marRight w:val="0"/>
          <w:marTop w:val="0"/>
          <w:marBottom w:val="0"/>
          <w:divBdr>
            <w:top w:val="none" w:sz="0" w:space="0" w:color="auto"/>
            <w:left w:val="none" w:sz="0" w:space="0" w:color="auto"/>
            <w:bottom w:val="none" w:sz="0" w:space="0" w:color="auto"/>
            <w:right w:val="none" w:sz="0" w:space="0" w:color="auto"/>
          </w:divBdr>
          <w:divsChild>
            <w:div w:id="338312463">
              <w:marLeft w:val="0"/>
              <w:marRight w:val="0"/>
              <w:marTop w:val="0"/>
              <w:marBottom w:val="0"/>
              <w:divBdr>
                <w:top w:val="none" w:sz="0" w:space="0" w:color="auto"/>
                <w:left w:val="none" w:sz="0" w:space="0" w:color="auto"/>
                <w:bottom w:val="none" w:sz="0" w:space="0" w:color="auto"/>
                <w:right w:val="none" w:sz="0" w:space="0" w:color="auto"/>
              </w:divBdr>
            </w:div>
          </w:divsChild>
        </w:div>
        <w:div w:id="2001620653">
          <w:marLeft w:val="0"/>
          <w:marRight w:val="0"/>
          <w:marTop w:val="0"/>
          <w:marBottom w:val="0"/>
          <w:divBdr>
            <w:top w:val="none" w:sz="0" w:space="0" w:color="auto"/>
            <w:left w:val="none" w:sz="0" w:space="0" w:color="auto"/>
            <w:bottom w:val="none" w:sz="0" w:space="0" w:color="auto"/>
            <w:right w:val="none" w:sz="0" w:space="0" w:color="auto"/>
          </w:divBdr>
          <w:divsChild>
            <w:div w:id="1039669129">
              <w:marLeft w:val="0"/>
              <w:marRight w:val="0"/>
              <w:marTop w:val="0"/>
              <w:marBottom w:val="0"/>
              <w:divBdr>
                <w:top w:val="none" w:sz="0" w:space="0" w:color="auto"/>
                <w:left w:val="none" w:sz="0" w:space="0" w:color="auto"/>
                <w:bottom w:val="none" w:sz="0" w:space="0" w:color="auto"/>
                <w:right w:val="none" w:sz="0" w:space="0" w:color="auto"/>
              </w:divBdr>
            </w:div>
          </w:divsChild>
        </w:div>
        <w:div w:id="2005738023">
          <w:marLeft w:val="0"/>
          <w:marRight w:val="0"/>
          <w:marTop w:val="0"/>
          <w:marBottom w:val="0"/>
          <w:divBdr>
            <w:top w:val="none" w:sz="0" w:space="0" w:color="auto"/>
            <w:left w:val="none" w:sz="0" w:space="0" w:color="auto"/>
            <w:bottom w:val="none" w:sz="0" w:space="0" w:color="auto"/>
            <w:right w:val="none" w:sz="0" w:space="0" w:color="auto"/>
          </w:divBdr>
          <w:divsChild>
            <w:div w:id="1483964278">
              <w:marLeft w:val="0"/>
              <w:marRight w:val="0"/>
              <w:marTop w:val="0"/>
              <w:marBottom w:val="0"/>
              <w:divBdr>
                <w:top w:val="none" w:sz="0" w:space="0" w:color="auto"/>
                <w:left w:val="none" w:sz="0" w:space="0" w:color="auto"/>
                <w:bottom w:val="none" w:sz="0" w:space="0" w:color="auto"/>
                <w:right w:val="none" w:sz="0" w:space="0" w:color="auto"/>
              </w:divBdr>
            </w:div>
          </w:divsChild>
        </w:div>
        <w:div w:id="2009016613">
          <w:marLeft w:val="0"/>
          <w:marRight w:val="0"/>
          <w:marTop w:val="0"/>
          <w:marBottom w:val="0"/>
          <w:divBdr>
            <w:top w:val="none" w:sz="0" w:space="0" w:color="auto"/>
            <w:left w:val="none" w:sz="0" w:space="0" w:color="auto"/>
            <w:bottom w:val="none" w:sz="0" w:space="0" w:color="auto"/>
            <w:right w:val="none" w:sz="0" w:space="0" w:color="auto"/>
          </w:divBdr>
          <w:divsChild>
            <w:div w:id="808790669">
              <w:marLeft w:val="0"/>
              <w:marRight w:val="0"/>
              <w:marTop w:val="0"/>
              <w:marBottom w:val="0"/>
              <w:divBdr>
                <w:top w:val="none" w:sz="0" w:space="0" w:color="auto"/>
                <w:left w:val="none" w:sz="0" w:space="0" w:color="auto"/>
                <w:bottom w:val="none" w:sz="0" w:space="0" w:color="auto"/>
                <w:right w:val="none" w:sz="0" w:space="0" w:color="auto"/>
              </w:divBdr>
            </w:div>
          </w:divsChild>
        </w:div>
        <w:div w:id="2010479034">
          <w:marLeft w:val="0"/>
          <w:marRight w:val="0"/>
          <w:marTop w:val="0"/>
          <w:marBottom w:val="0"/>
          <w:divBdr>
            <w:top w:val="none" w:sz="0" w:space="0" w:color="auto"/>
            <w:left w:val="none" w:sz="0" w:space="0" w:color="auto"/>
            <w:bottom w:val="none" w:sz="0" w:space="0" w:color="auto"/>
            <w:right w:val="none" w:sz="0" w:space="0" w:color="auto"/>
          </w:divBdr>
          <w:divsChild>
            <w:div w:id="426003334">
              <w:marLeft w:val="0"/>
              <w:marRight w:val="0"/>
              <w:marTop w:val="0"/>
              <w:marBottom w:val="0"/>
              <w:divBdr>
                <w:top w:val="none" w:sz="0" w:space="0" w:color="auto"/>
                <w:left w:val="none" w:sz="0" w:space="0" w:color="auto"/>
                <w:bottom w:val="none" w:sz="0" w:space="0" w:color="auto"/>
                <w:right w:val="none" w:sz="0" w:space="0" w:color="auto"/>
              </w:divBdr>
            </w:div>
          </w:divsChild>
        </w:div>
        <w:div w:id="2013413282">
          <w:marLeft w:val="0"/>
          <w:marRight w:val="0"/>
          <w:marTop w:val="0"/>
          <w:marBottom w:val="0"/>
          <w:divBdr>
            <w:top w:val="none" w:sz="0" w:space="0" w:color="auto"/>
            <w:left w:val="none" w:sz="0" w:space="0" w:color="auto"/>
            <w:bottom w:val="none" w:sz="0" w:space="0" w:color="auto"/>
            <w:right w:val="none" w:sz="0" w:space="0" w:color="auto"/>
          </w:divBdr>
          <w:divsChild>
            <w:div w:id="312686776">
              <w:marLeft w:val="0"/>
              <w:marRight w:val="0"/>
              <w:marTop w:val="0"/>
              <w:marBottom w:val="0"/>
              <w:divBdr>
                <w:top w:val="none" w:sz="0" w:space="0" w:color="auto"/>
                <w:left w:val="none" w:sz="0" w:space="0" w:color="auto"/>
                <w:bottom w:val="none" w:sz="0" w:space="0" w:color="auto"/>
                <w:right w:val="none" w:sz="0" w:space="0" w:color="auto"/>
              </w:divBdr>
            </w:div>
          </w:divsChild>
        </w:div>
        <w:div w:id="2013557022">
          <w:marLeft w:val="0"/>
          <w:marRight w:val="0"/>
          <w:marTop w:val="0"/>
          <w:marBottom w:val="0"/>
          <w:divBdr>
            <w:top w:val="none" w:sz="0" w:space="0" w:color="auto"/>
            <w:left w:val="none" w:sz="0" w:space="0" w:color="auto"/>
            <w:bottom w:val="none" w:sz="0" w:space="0" w:color="auto"/>
            <w:right w:val="none" w:sz="0" w:space="0" w:color="auto"/>
          </w:divBdr>
          <w:divsChild>
            <w:div w:id="1309819048">
              <w:marLeft w:val="0"/>
              <w:marRight w:val="0"/>
              <w:marTop w:val="0"/>
              <w:marBottom w:val="0"/>
              <w:divBdr>
                <w:top w:val="none" w:sz="0" w:space="0" w:color="auto"/>
                <w:left w:val="none" w:sz="0" w:space="0" w:color="auto"/>
                <w:bottom w:val="none" w:sz="0" w:space="0" w:color="auto"/>
                <w:right w:val="none" w:sz="0" w:space="0" w:color="auto"/>
              </w:divBdr>
            </w:div>
          </w:divsChild>
        </w:div>
        <w:div w:id="2016954757">
          <w:marLeft w:val="0"/>
          <w:marRight w:val="0"/>
          <w:marTop w:val="0"/>
          <w:marBottom w:val="0"/>
          <w:divBdr>
            <w:top w:val="none" w:sz="0" w:space="0" w:color="auto"/>
            <w:left w:val="none" w:sz="0" w:space="0" w:color="auto"/>
            <w:bottom w:val="none" w:sz="0" w:space="0" w:color="auto"/>
            <w:right w:val="none" w:sz="0" w:space="0" w:color="auto"/>
          </w:divBdr>
          <w:divsChild>
            <w:div w:id="2083679253">
              <w:marLeft w:val="0"/>
              <w:marRight w:val="0"/>
              <w:marTop w:val="0"/>
              <w:marBottom w:val="0"/>
              <w:divBdr>
                <w:top w:val="none" w:sz="0" w:space="0" w:color="auto"/>
                <w:left w:val="none" w:sz="0" w:space="0" w:color="auto"/>
                <w:bottom w:val="none" w:sz="0" w:space="0" w:color="auto"/>
                <w:right w:val="none" w:sz="0" w:space="0" w:color="auto"/>
              </w:divBdr>
            </w:div>
          </w:divsChild>
        </w:div>
        <w:div w:id="2029603733">
          <w:marLeft w:val="0"/>
          <w:marRight w:val="0"/>
          <w:marTop w:val="0"/>
          <w:marBottom w:val="0"/>
          <w:divBdr>
            <w:top w:val="none" w:sz="0" w:space="0" w:color="auto"/>
            <w:left w:val="none" w:sz="0" w:space="0" w:color="auto"/>
            <w:bottom w:val="none" w:sz="0" w:space="0" w:color="auto"/>
            <w:right w:val="none" w:sz="0" w:space="0" w:color="auto"/>
          </w:divBdr>
          <w:divsChild>
            <w:div w:id="952398709">
              <w:marLeft w:val="0"/>
              <w:marRight w:val="0"/>
              <w:marTop w:val="0"/>
              <w:marBottom w:val="0"/>
              <w:divBdr>
                <w:top w:val="none" w:sz="0" w:space="0" w:color="auto"/>
                <w:left w:val="none" w:sz="0" w:space="0" w:color="auto"/>
                <w:bottom w:val="none" w:sz="0" w:space="0" w:color="auto"/>
                <w:right w:val="none" w:sz="0" w:space="0" w:color="auto"/>
              </w:divBdr>
            </w:div>
          </w:divsChild>
        </w:div>
        <w:div w:id="2033415726">
          <w:marLeft w:val="0"/>
          <w:marRight w:val="0"/>
          <w:marTop w:val="0"/>
          <w:marBottom w:val="0"/>
          <w:divBdr>
            <w:top w:val="none" w:sz="0" w:space="0" w:color="auto"/>
            <w:left w:val="none" w:sz="0" w:space="0" w:color="auto"/>
            <w:bottom w:val="none" w:sz="0" w:space="0" w:color="auto"/>
            <w:right w:val="none" w:sz="0" w:space="0" w:color="auto"/>
          </w:divBdr>
          <w:divsChild>
            <w:div w:id="2080400948">
              <w:marLeft w:val="0"/>
              <w:marRight w:val="0"/>
              <w:marTop w:val="0"/>
              <w:marBottom w:val="0"/>
              <w:divBdr>
                <w:top w:val="none" w:sz="0" w:space="0" w:color="auto"/>
                <w:left w:val="none" w:sz="0" w:space="0" w:color="auto"/>
                <w:bottom w:val="none" w:sz="0" w:space="0" w:color="auto"/>
                <w:right w:val="none" w:sz="0" w:space="0" w:color="auto"/>
              </w:divBdr>
            </w:div>
          </w:divsChild>
        </w:div>
        <w:div w:id="2033916717">
          <w:marLeft w:val="0"/>
          <w:marRight w:val="0"/>
          <w:marTop w:val="0"/>
          <w:marBottom w:val="0"/>
          <w:divBdr>
            <w:top w:val="none" w:sz="0" w:space="0" w:color="auto"/>
            <w:left w:val="none" w:sz="0" w:space="0" w:color="auto"/>
            <w:bottom w:val="none" w:sz="0" w:space="0" w:color="auto"/>
            <w:right w:val="none" w:sz="0" w:space="0" w:color="auto"/>
          </w:divBdr>
          <w:divsChild>
            <w:div w:id="1014457821">
              <w:marLeft w:val="0"/>
              <w:marRight w:val="0"/>
              <w:marTop w:val="0"/>
              <w:marBottom w:val="0"/>
              <w:divBdr>
                <w:top w:val="none" w:sz="0" w:space="0" w:color="auto"/>
                <w:left w:val="none" w:sz="0" w:space="0" w:color="auto"/>
                <w:bottom w:val="none" w:sz="0" w:space="0" w:color="auto"/>
                <w:right w:val="none" w:sz="0" w:space="0" w:color="auto"/>
              </w:divBdr>
            </w:div>
          </w:divsChild>
        </w:div>
        <w:div w:id="2039163107">
          <w:marLeft w:val="0"/>
          <w:marRight w:val="0"/>
          <w:marTop w:val="0"/>
          <w:marBottom w:val="0"/>
          <w:divBdr>
            <w:top w:val="none" w:sz="0" w:space="0" w:color="auto"/>
            <w:left w:val="none" w:sz="0" w:space="0" w:color="auto"/>
            <w:bottom w:val="none" w:sz="0" w:space="0" w:color="auto"/>
            <w:right w:val="none" w:sz="0" w:space="0" w:color="auto"/>
          </w:divBdr>
          <w:divsChild>
            <w:div w:id="1591891473">
              <w:marLeft w:val="0"/>
              <w:marRight w:val="0"/>
              <w:marTop w:val="0"/>
              <w:marBottom w:val="0"/>
              <w:divBdr>
                <w:top w:val="none" w:sz="0" w:space="0" w:color="auto"/>
                <w:left w:val="none" w:sz="0" w:space="0" w:color="auto"/>
                <w:bottom w:val="none" w:sz="0" w:space="0" w:color="auto"/>
                <w:right w:val="none" w:sz="0" w:space="0" w:color="auto"/>
              </w:divBdr>
            </w:div>
          </w:divsChild>
        </w:div>
        <w:div w:id="2041474352">
          <w:marLeft w:val="0"/>
          <w:marRight w:val="0"/>
          <w:marTop w:val="0"/>
          <w:marBottom w:val="0"/>
          <w:divBdr>
            <w:top w:val="none" w:sz="0" w:space="0" w:color="auto"/>
            <w:left w:val="none" w:sz="0" w:space="0" w:color="auto"/>
            <w:bottom w:val="none" w:sz="0" w:space="0" w:color="auto"/>
            <w:right w:val="none" w:sz="0" w:space="0" w:color="auto"/>
          </w:divBdr>
          <w:divsChild>
            <w:div w:id="1851988476">
              <w:marLeft w:val="0"/>
              <w:marRight w:val="0"/>
              <w:marTop w:val="0"/>
              <w:marBottom w:val="0"/>
              <w:divBdr>
                <w:top w:val="none" w:sz="0" w:space="0" w:color="auto"/>
                <w:left w:val="none" w:sz="0" w:space="0" w:color="auto"/>
                <w:bottom w:val="none" w:sz="0" w:space="0" w:color="auto"/>
                <w:right w:val="none" w:sz="0" w:space="0" w:color="auto"/>
              </w:divBdr>
            </w:div>
          </w:divsChild>
        </w:div>
        <w:div w:id="2041853308">
          <w:marLeft w:val="0"/>
          <w:marRight w:val="0"/>
          <w:marTop w:val="0"/>
          <w:marBottom w:val="0"/>
          <w:divBdr>
            <w:top w:val="none" w:sz="0" w:space="0" w:color="auto"/>
            <w:left w:val="none" w:sz="0" w:space="0" w:color="auto"/>
            <w:bottom w:val="none" w:sz="0" w:space="0" w:color="auto"/>
            <w:right w:val="none" w:sz="0" w:space="0" w:color="auto"/>
          </w:divBdr>
          <w:divsChild>
            <w:div w:id="924455407">
              <w:marLeft w:val="0"/>
              <w:marRight w:val="0"/>
              <w:marTop w:val="0"/>
              <w:marBottom w:val="0"/>
              <w:divBdr>
                <w:top w:val="none" w:sz="0" w:space="0" w:color="auto"/>
                <w:left w:val="none" w:sz="0" w:space="0" w:color="auto"/>
                <w:bottom w:val="none" w:sz="0" w:space="0" w:color="auto"/>
                <w:right w:val="none" w:sz="0" w:space="0" w:color="auto"/>
              </w:divBdr>
            </w:div>
          </w:divsChild>
        </w:div>
        <w:div w:id="2043165189">
          <w:marLeft w:val="0"/>
          <w:marRight w:val="0"/>
          <w:marTop w:val="0"/>
          <w:marBottom w:val="0"/>
          <w:divBdr>
            <w:top w:val="none" w:sz="0" w:space="0" w:color="auto"/>
            <w:left w:val="none" w:sz="0" w:space="0" w:color="auto"/>
            <w:bottom w:val="none" w:sz="0" w:space="0" w:color="auto"/>
            <w:right w:val="none" w:sz="0" w:space="0" w:color="auto"/>
          </w:divBdr>
          <w:divsChild>
            <w:div w:id="971600220">
              <w:marLeft w:val="0"/>
              <w:marRight w:val="0"/>
              <w:marTop w:val="0"/>
              <w:marBottom w:val="0"/>
              <w:divBdr>
                <w:top w:val="none" w:sz="0" w:space="0" w:color="auto"/>
                <w:left w:val="none" w:sz="0" w:space="0" w:color="auto"/>
                <w:bottom w:val="none" w:sz="0" w:space="0" w:color="auto"/>
                <w:right w:val="none" w:sz="0" w:space="0" w:color="auto"/>
              </w:divBdr>
            </w:div>
          </w:divsChild>
        </w:div>
        <w:div w:id="2047437832">
          <w:marLeft w:val="0"/>
          <w:marRight w:val="0"/>
          <w:marTop w:val="0"/>
          <w:marBottom w:val="0"/>
          <w:divBdr>
            <w:top w:val="none" w:sz="0" w:space="0" w:color="auto"/>
            <w:left w:val="none" w:sz="0" w:space="0" w:color="auto"/>
            <w:bottom w:val="none" w:sz="0" w:space="0" w:color="auto"/>
            <w:right w:val="none" w:sz="0" w:space="0" w:color="auto"/>
          </w:divBdr>
          <w:divsChild>
            <w:div w:id="136337097">
              <w:marLeft w:val="0"/>
              <w:marRight w:val="0"/>
              <w:marTop w:val="0"/>
              <w:marBottom w:val="0"/>
              <w:divBdr>
                <w:top w:val="none" w:sz="0" w:space="0" w:color="auto"/>
                <w:left w:val="none" w:sz="0" w:space="0" w:color="auto"/>
                <w:bottom w:val="none" w:sz="0" w:space="0" w:color="auto"/>
                <w:right w:val="none" w:sz="0" w:space="0" w:color="auto"/>
              </w:divBdr>
            </w:div>
            <w:div w:id="645210852">
              <w:marLeft w:val="0"/>
              <w:marRight w:val="0"/>
              <w:marTop w:val="0"/>
              <w:marBottom w:val="0"/>
              <w:divBdr>
                <w:top w:val="none" w:sz="0" w:space="0" w:color="auto"/>
                <w:left w:val="none" w:sz="0" w:space="0" w:color="auto"/>
                <w:bottom w:val="none" w:sz="0" w:space="0" w:color="auto"/>
                <w:right w:val="none" w:sz="0" w:space="0" w:color="auto"/>
              </w:divBdr>
            </w:div>
            <w:div w:id="681591920">
              <w:marLeft w:val="0"/>
              <w:marRight w:val="0"/>
              <w:marTop w:val="0"/>
              <w:marBottom w:val="0"/>
              <w:divBdr>
                <w:top w:val="none" w:sz="0" w:space="0" w:color="auto"/>
                <w:left w:val="none" w:sz="0" w:space="0" w:color="auto"/>
                <w:bottom w:val="none" w:sz="0" w:space="0" w:color="auto"/>
                <w:right w:val="none" w:sz="0" w:space="0" w:color="auto"/>
              </w:divBdr>
            </w:div>
          </w:divsChild>
        </w:div>
        <w:div w:id="2050910946">
          <w:marLeft w:val="0"/>
          <w:marRight w:val="0"/>
          <w:marTop w:val="0"/>
          <w:marBottom w:val="0"/>
          <w:divBdr>
            <w:top w:val="none" w:sz="0" w:space="0" w:color="auto"/>
            <w:left w:val="none" w:sz="0" w:space="0" w:color="auto"/>
            <w:bottom w:val="none" w:sz="0" w:space="0" w:color="auto"/>
            <w:right w:val="none" w:sz="0" w:space="0" w:color="auto"/>
          </w:divBdr>
          <w:divsChild>
            <w:div w:id="1277173719">
              <w:marLeft w:val="0"/>
              <w:marRight w:val="0"/>
              <w:marTop w:val="0"/>
              <w:marBottom w:val="0"/>
              <w:divBdr>
                <w:top w:val="none" w:sz="0" w:space="0" w:color="auto"/>
                <w:left w:val="none" w:sz="0" w:space="0" w:color="auto"/>
                <w:bottom w:val="none" w:sz="0" w:space="0" w:color="auto"/>
                <w:right w:val="none" w:sz="0" w:space="0" w:color="auto"/>
              </w:divBdr>
            </w:div>
          </w:divsChild>
        </w:div>
        <w:div w:id="2056851348">
          <w:marLeft w:val="0"/>
          <w:marRight w:val="0"/>
          <w:marTop w:val="0"/>
          <w:marBottom w:val="0"/>
          <w:divBdr>
            <w:top w:val="none" w:sz="0" w:space="0" w:color="auto"/>
            <w:left w:val="none" w:sz="0" w:space="0" w:color="auto"/>
            <w:bottom w:val="none" w:sz="0" w:space="0" w:color="auto"/>
            <w:right w:val="none" w:sz="0" w:space="0" w:color="auto"/>
          </w:divBdr>
          <w:divsChild>
            <w:div w:id="1329594468">
              <w:marLeft w:val="0"/>
              <w:marRight w:val="0"/>
              <w:marTop w:val="0"/>
              <w:marBottom w:val="0"/>
              <w:divBdr>
                <w:top w:val="none" w:sz="0" w:space="0" w:color="auto"/>
                <w:left w:val="none" w:sz="0" w:space="0" w:color="auto"/>
                <w:bottom w:val="none" w:sz="0" w:space="0" w:color="auto"/>
                <w:right w:val="none" w:sz="0" w:space="0" w:color="auto"/>
              </w:divBdr>
            </w:div>
          </w:divsChild>
        </w:div>
        <w:div w:id="2057119939">
          <w:marLeft w:val="0"/>
          <w:marRight w:val="0"/>
          <w:marTop w:val="0"/>
          <w:marBottom w:val="0"/>
          <w:divBdr>
            <w:top w:val="none" w:sz="0" w:space="0" w:color="auto"/>
            <w:left w:val="none" w:sz="0" w:space="0" w:color="auto"/>
            <w:bottom w:val="none" w:sz="0" w:space="0" w:color="auto"/>
            <w:right w:val="none" w:sz="0" w:space="0" w:color="auto"/>
          </w:divBdr>
          <w:divsChild>
            <w:div w:id="1063673569">
              <w:marLeft w:val="0"/>
              <w:marRight w:val="0"/>
              <w:marTop w:val="0"/>
              <w:marBottom w:val="0"/>
              <w:divBdr>
                <w:top w:val="none" w:sz="0" w:space="0" w:color="auto"/>
                <w:left w:val="none" w:sz="0" w:space="0" w:color="auto"/>
                <w:bottom w:val="none" w:sz="0" w:space="0" w:color="auto"/>
                <w:right w:val="none" w:sz="0" w:space="0" w:color="auto"/>
              </w:divBdr>
            </w:div>
          </w:divsChild>
        </w:div>
        <w:div w:id="2057318015">
          <w:marLeft w:val="0"/>
          <w:marRight w:val="0"/>
          <w:marTop w:val="0"/>
          <w:marBottom w:val="0"/>
          <w:divBdr>
            <w:top w:val="none" w:sz="0" w:space="0" w:color="auto"/>
            <w:left w:val="none" w:sz="0" w:space="0" w:color="auto"/>
            <w:bottom w:val="none" w:sz="0" w:space="0" w:color="auto"/>
            <w:right w:val="none" w:sz="0" w:space="0" w:color="auto"/>
          </w:divBdr>
          <w:divsChild>
            <w:div w:id="1181240522">
              <w:marLeft w:val="0"/>
              <w:marRight w:val="0"/>
              <w:marTop w:val="0"/>
              <w:marBottom w:val="0"/>
              <w:divBdr>
                <w:top w:val="none" w:sz="0" w:space="0" w:color="auto"/>
                <w:left w:val="none" w:sz="0" w:space="0" w:color="auto"/>
                <w:bottom w:val="none" w:sz="0" w:space="0" w:color="auto"/>
                <w:right w:val="none" w:sz="0" w:space="0" w:color="auto"/>
              </w:divBdr>
            </w:div>
          </w:divsChild>
        </w:div>
        <w:div w:id="2059741804">
          <w:marLeft w:val="0"/>
          <w:marRight w:val="0"/>
          <w:marTop w:val="0"/>
          <w:marBottom w:val="0"/>
          <w:divBdr>
            <w:top w:val="none" w:sz="0" w:space="0" w:color="auto"/>
            <w:left w:val="none" w:sz="0" w:space="0" w:color="auto"/>
            <w:bottom w:val="none" w:sz="0" w:space="0" w:color="auto"/>
            <w:right w:val="none" w:sz="0" w:space="0" w:color="auto"/>
          </w:divBdr>
          <w:divsChild>
            <w:div w:id="2030445103">
              <w:marLeft w:val="0"/>
              <w:marRight w:val="0"/>
              <w:marTop w:val="0"/>
              <w:marBottom w:val="0"/>
              <w:divBdr>
                <w:top w:val="none" w:sz="0" w:space="0" w:color="auto"/>
                <w:left w:val="none" w:sz="0" w:space="0" w:color="auto"/>
                <w:bottom w:val="none" w:sz="0" w:space="0" w:color="auto"/>
                <w:right w:val="none" w:sz="0" w:space="0" w:color="auto"/>
              </w:divBdr>
            </w:div>
          </w:divsChild>
        </w:div>
        <w:div w:id="2063630130">
          <w:marLeft w:val="0"/>
          <w:marRight w:val="0"/>
          <w:marTop w:val="0"/>
          <w:marBottom w:val="0"/>
          <w:divBdr>
            <w:top w:val="none" w:sz="0" w:space="0" w:color="auto"/>
            <w:left w:val="none" w:sz="0" w:space="0" w:color="auto"/>
            <w:bottom w:val="none" w:sz="0" w:space="0" w:color="auto"/>
            <w:right w:val="none" w:sz="0" w:space="0" w:color="auto"/>
          </w:divBdr>
          <w:divsChild>
            <w:div w:id="464742604">
              <w:marLeft w:val="0"/>
              <w:marRight w:val="0"/>
              <w:marTop w:val="0"/>
              <w:marBottom w:val="0"/>
              <w:divBdr>
                <w:top w:val="none" w:sz="0" w:space="0" w:color="auto"/>
                <w:left w:val="none" w:sz="0" w:space="0" w:color="auto"/>
                <w:bottom w:val="none" w:sz="0" w:space="0" w:color="auto"/>
                <w:right w:val="none" w:sz="0" w:space="0" w:color="auto"/>
              </w:divBdr>
            </w:div>
          </w:divsChild>
        </w:div>
        <w:div w:id="2065130598">
          <w:marLeft w:val="0"/>
          <w:marRight w:val="0"/>
          <w:marTop w:val="0"/>
          <w:marBottom w:val="0"/>
          <w:divBdr>
            <w:top w:val="none" w:sz="0" w:space="0" w:color="auto"/>
            <w:left w:val="none" w:sz="0" w:space="0" w:color="auto"/>
            <w:bottom w:val="none" w:sz="0" w:space="0" w:color="auto"/>
            <w:right w:val="none" w:sz="0" w:space="0" w:color="auto"/>
          </w:divBdr>
          <w:divsChild>
            <w:div w:id="1625235638">
              <w:marLeft w:val="0"/>
              <w:marRight w:val="0"/>
              <w:marTop w:val="0"/>
              <w:marBottom w:val="0"/>
              <w:divBdr>
                <w:top w:val="none" w:sz="0" w:space="0" w:color="auto"/>
                <w:left w:val="none" w:sz="0" w:space="0" w:color="auto"/>
                <w:bottom w:val="none" w:sz="0" w:space="0" w:color="auto"/>
                <w:right w:val="none" w:sz="0" w:space="0" w:color="auto"/>
              </w:divBdr>
            </w:div>
          </w:divsChild>
        </w:div>
        <w:div w:id="2065332205">
          <w:marLeft w:val="0"/>
          <w:marRight w:val="0"/>
          <w:marTop w:val="0"/>
          <w:marBottom w:val="0"/>
          <w:divBdr>
            <w:top w:val="none" w:sz="0" w:space="0" w:color="auto"/>
            <w:left w:val="none" w:sz="0" w:space="0" w:color="auto"/>
            <w:bottom w:val="none" w:sz="0" w:space="0" w:color="auto"/>
            <w:right w:val="none" w:sz="0" w:space="0" w:color="auto"/>
          </w:divBdr>
          <w:divsChild>
            <w:div w:id="977225516">
              <w:marLeft w:val="0"/>
              <w:marRight w:val="0"/>
              <w:marTop w:val="0"/>
              <w:marBottom w:val="0"/>
              <w:divBdr>
                <w:top w:val="none" w:sz="0" w:space="0" w:color="auto"/>
                <w:left w:val="none" w:sz="0" w:space="0" w:color="auto"/>
                <w:bottom w:val="none" w:sz="0" w:space="0" w:color="auto"/>
                <w:right w:val="none" w:sz="0" w:space="0" w:color="auto"/>
              </w:divBdr>
            </w:div>
          </w:divsChild>
        </w:div>
        <w:div w:id="2066223349">
          <w:marLeft w:val="0"/>
          <w:marRight w:val="0"/>
          <w:marTop w:val="0"/>
          <w:marBottom w:val="0"/>
          <w:divBdr>
            <w:top w:val="none" w:sz="0" w:space="0" w:color="auto"/>
            <w:left w:val="none" w:sz="0" w:space="0" w:color="auto"/>
            <w:bottom w:val="none" w:sz="0" w:space="0" w:color="auto"/>
            <w:right w:val="none" w:sz="0" w:space="0" w:color="auto"/>
          </w:divBdr>
          <w:divsChild>
            <w:div w:id="1837066714">
              <w:marLeft w:val="0"/>
              <w:marRight w:val="0"/>
              <w:marTop w:val="0"/>
              <w:marBottom w:val="0"/>
              <w:divBdr>
                <w:top w:val="none" w:sz="0" w:space="0" w:color="auto"/>
                <w:left w:val="none" w:sz="0" w:space="0" w:color="auto"/>
                <w:bottom w:val="none" w:sz="0" w:space="0" w:color="auto"/>
                <w:right w:val="none" w:sz="0" w:space="0" w:color="auto"/>
              </w:divBdr>
            </w:div>
          </w:divsChild>
        </w:div>
        <w:div w:id="2067025367">
          <w:marLeft w:val="0"/>
          <w:marRight w:val="0"/>
          <w:marTop w:val="0"/>
          <w:marBottom w:val="0"/>
          <w:divBdr>
            <w:top w:val="none" w:sz="0" w:space="0" w:color="auto"/>
            <w:left w:val="none" w:sz="0" w:space="0" w:color="auto"/>
            <w:bottom w:val="none" w:sz="0" w:space="0" w:color="auto"/>
            <w:right w:val="none" w:sz="0" w:space="0" w:color="auto"/>
          </w:divBdr>
          <w:divsChild>
            <w:div w:id="199827049">
              <w:marLeft w:val="0"/>
              <w:marRight w:val="0"/>
              <w:marTop w:val="0"/>
              <w:marBottom w:val="0"/>
              <w:divBdr>
                <w:top w:val="none" w:sz="0" w:space="0" w:color="auto"/>
                <w:left w:val="none" w:sz="0" w:space="0" w:color="auto"/>
                <w:bottom w:val="none" w:sz="0" w:space="0" w:color="auto"/>
                <w:right w:val="none" w:sz="0" w:space="0" w:color="auto"/>
              </w:divBdr>
            </w:div>
            <w:div w:id="620452266">
              <w:marLeft w:val="0"/>
              <w:marRight w:val="0"/>
              <w:marTop w:val="0"/>
              <w:marBottom w:val="0"/>
              <w:divBdr>
                <w:top w:val="none" w:sz="0" w:space="0" w:color="auto"/>
                <w:left w:val="none" w:sz="0" w:space="0" w:color="auto"/>
                <w:bottom w:val="none" w:sz="0" w:space="0" w:color="auto"/>
                <w:right w:val="none" w:sz="0" w:space="0" w:color="auto"/>
              </w:divBdr>
            </w:div>
            <w:div w:id="1351487596">
              <w:marLeft w:val="0"/>
              <w:marRight w:val="0"/>
              <w:marTop w:val="0"/>
              <w:marBottom w:val="0"/>
              <w:divBdr>
                <w:top w:val="none" w:sz="0" w:space="0" w:color="auto"/>
                <w:left w:val="none" w:sz="0" w:space="0" w:color="auto"/>
                <w:bottom w:val="none" w:sz="0" w:space="0" w:color="auto"/>
                <w:right w:val="none" w:sz="0" w:space="0" w:color="auto"/>
              </w:divBdr>
            </w:div>
          </w:divsChild>
        </w:div>
        <w:div w:id="2067797821">
          <w:marLeft w:val="0"/>
          <w:marRight w:val="0"/>
          <w:marTop w:val="0"/>
          <w:marBottom w:val="0"/>
          <w:divBdr>
            <w:top w:val="none" w:sz="0" w:space="0" w:color="auto"/>
            <w:left w:val="none" w:sz="0" w:space="0" w:color="auto"/>
            <w:bottom w:val="none" w:sz="0" w:space="0" w:color="auto"/>
            <w:right w:val="none" w:sz="0" w:space="0" w:color="auto"/>
          </w:divBdr>
          <w:divsChild>
            <w:div w:id="738287786">
              <w:marLeft w:val="0"/>
              <w:marRight w:val="0"/>
              <w:marTop w:val="0"/>
              <w:marBottom w:val="0"/>
              <w:divBdr>
                <w:top w:val="none" w:sz="0" w:space="0" w:color="auto"/>
                <w:left w:val="none" w:sz="0" w:space="0" w:color="auto"/>
                <w:bottom w:val="none" w:sz="0" w:space="0" w:color="auto"/>
                <w:right w:val="none" w:sz="0" w:space="0" w:color="auto"/>
              </w:divBdr>
            </w:div>
          </w:divsChild>
        </w:div>
        <w:div w:id="2068139542">
          <w:marLeft w:val="0"/>
          <w:marRight w:val="0"/>
          <w:marTop w:val="0"/>
          <w:marBottom w:val="0"/>
          <w:divBdr>
            <w:top w:val="none" w:sz="0" w:space="0" w:color="auto"/>
            <w:left w:val="none" w:sz="0" w:space="0" w:color="auto"/>
            <w:bottom w:val="none" w:sz="0" w:space="0" w:color="auto"/>
            <w:right w:val="none" w:sz="0" w:space="0" w:color="auto"/>
          </w:divBdr>
          <w:divsChild>
            <w:div w:id="296491877">
              <w:marLeft w:val="0"/>
              <w:marRight w:val="0"/>
              <w:marTop w:val="0"/>
              <w:marBottom w:val="0"/>
              <w:divBdr>
                <w:top w:val="none" w:sz="0" w:space="0" w:color="auto"/>
                <w:left w:val="none" w:sz="0" w:space="0" w:color="auto"/>
                <w:bottom w:val="none" w:sz="0" w:space="0" w:color="auto"/>
                <w:right w:val="none" w:sz="0" w:space="0" w:color="auto"/>
              </w:divBdr>
            </w:div>
          </w:divsChild>
        </w:div>
        <w:div w:id="2071608454">
          <w:marLeft w:val="0"/>
          <w:marRight w:val="0"/>
          <w:marTop w:val="0"/>
          <w:marBottom w:val="0"/>
          <w:divBdr>
            <w:top w:val="none" w:sz="0" w:space="0" w:color="auto"/>
            <w:left w:val="none" w:sz="0" w:space="0" w:color="auto"/>
            <w:bottom w:val="none" w:sz="0" w:space="0" w:color="auto"/>
            <w:right w:val="none" w:sz="0" w:space="0" w:color="auto"/>
          </w:divBdr>
          <w:divsChild>
            <w:div w:id="57829603">
              <w:marLeft w:val="0"/>
              <w:marRight w:val="0"/>
              <w:marTop w:val="0"/>
              <w:marBottom w:val="0"/>
              <w:divBdr>
                <w:top w:val="none" w:sz="0" w:space="0" w:color="auto"/>
                <w:left w:val="none" w:sz="0" w:space="0" w:color="auto"/>
                <w:bottom w:val="none" w:sz="0" w:space="0" w:color="auto"/>
                <w:right w:val="none" w:sz="0" w:space="0" w:color="auto"/>
              </w:divBdr>
            </w:div>
          </w:divsChild>
        </w:div>
        <w:div w:id="2071802499">
          <w:marLeft w:val="0"/>
          <w:marRight w:val="0"/>
          <w:marTop w:val="0"/>
          <w:marBottom w:val="0"/>
          <w:divBdr>
            <w:top w:val="none" w:sz="0" w:space="0" w:color="auto"/>
            <w:left w:val="none" w:sz="0" w:space="0" w:color="auto"/>
            <w:bottom w:val="none" w:sz="0" w:space="0" w:color="auto"/>
            <w:right w:val="none" w:sz="0" w:space="0" w:color="auto"/>
          </w:divBdr>
          <w:divsChild>
            <w:div w:id="878202311">
              <w:marLeft w:val="0"/>
              <w:marRight w:val="0"/>
              <w:marTop w:val="0"/>
              <w:marBottom w:val="0"/>
              <w:divBdr>
                <w:top w:val="none" w:sz="0" w:space="0" w:color="auto"/>
                <w:left w:val="none" w:sz="0" w:space="0" w:color="auto"/>
                <w:bottom w:val="none" w:sz="0" w:space="0" w:color="auto"/>
                <w:right w:val="none" w:sz="0" w:space="0" w:color="auto"/>
              </w:divBdr>
            </w:div>
          </w:divsChild>
        </w:div>
        <w:div w:id="2074504814">
          <w:marLeft w:val="0"/>
          <w:marRight w:val="0"/>
          <w:marTop w:val="0"/>
          <w:marBottom w:val="0"/>
          <w:divBdr>
            <w:top w:val="none" w:sz="0" w:space="0" w:color="auto"/>
            <w:left w:val="none" w:sz="0" w:space="0" w:color="auto"/>
            <w:bottom w:val="none" w:sz="0" w:space="0" w:color="auto"/>
            <w:right w:val="none" w:sz="0" w:space="0" w:color="auto"/>
          </w:divBdr>
          <w:divsChild>
            <w:div w:id="527645613">
              <w:marLeft w:val="0"/>
              <w:marRight w:val="0"/>
              <w:marTop w:val="0"/>
              <w:marBottom w:val="0"/>
              <w:divBdr>
                <w:top w:val="none" w:sz="0" w:space="0" w:color="auto"/>
                <w:left w:val="none" w:sz="0" w:space="0" w:color="auto"/>
                <w:bottom w:val="none" w:sz="0" w:space="0" w:color="auto"/>
                <w:right w:val="none" w:sz="0" w:space="0" w:color="auto"/>
              </w:divBdr>
            </w:div>
          </w:divsChild>
        </w:div>
        <w:div w:id="2080857045">
          <w:marLeft w:val="0"/>
          <w:marRight w:val="0"/>
          <w:marTop w:val="0"/>
          <w:marBottom w:val="0"/>
          <w:divBdr>
            <w:top w:val="none" w:sz="0" w:space="0" w:color="auto"/>
            <w:left w:val="none" w:sz="0" w:space="0" w:color="auto"/>
            <w:bottom w:val="none" w:sz="0" w:space="0" w:color="auto"/>
            <w:right w:val="none" w:sz="0" w:space="0" w:color="auto"/>
          </w:divBdr>
          <w:divsChild>
            <w:div w:id="2128965633">
              <w:marLeft w:val="0"/>
              <w:marRight w:val="0"/>
              <w:marTop w:val="0"/>
              <w:marBottom w:val="0"/>
              <w:divBdr>
                <w:top w:val="none" w:sz="0" w:space="0" w:color="auto"/>
                <w:left w:val="none" w:sz="0" w:space="0" w:color="auto"/>
                <w:bottom w:val="none" w:sz="0" w:space="0" w:color="auto"/>
                <w:right w:val="none" w:sz="0" w:space="0" w:color="auto"/>
              </w:divBdr>
            </w:div>
          </w:divsChild>
        </w:div>
        <w:div w:id="2084063092">
          <w:marLeft w:val="0"/>
          <w:marRight w:val="0"/>
          <w:marTop w:val="0"/>
          <w:marBottom w:val="0"/>
          <w:divBdr>
            <w:top w:val="none" w:sz="0" w:space="0" w:color="auto"/>
            <w:left w:val="none" w:sz="0" w:space="0" w:color="auto"/>
            <w:bottom w:val="none" w:sz="0" w:space="0" w:color="auto"/>
            <w:right w:val="none" w:sz="0" w:space="0" w:color="auto"/>
          </w:divBdr>
          <w:divsChild>
            <w:div w:id="1451583091">
              <w:marLeft w:val="0"/>
              <w:marRight w:val="0"/>
              <w:marTop w:val="0"/>
              <w:marBottom w:val="0"/>
              <w:divBdr>
                <w:top w:val="none" w:sz="0" w:space="0" w:color="auto"/>
                <w:left w:val="none" w:sz="0" w:space="0" w:color="auto"/>
                <w:bottom w:val="none" w:sz="0" w:space="0" w:color="auto"/>
                <w:right w:val="none" w:sz="0" w:space="0" w:color="auto"/>
              </w:divBdr>
            </w:div>
          </w:divsChild>
        </w:div>
        <w:div w:id="2084328666">
          <w:marLeft w:val="0"/>
          <w:marRight w:val="0"/>
          <w:marTop w:val="0"/>
          <w:marBottom w:val="0"/>
          <w:divBdr>
            <w:top w:val="none" w:sz="0" w:space="0" w:color="auto"/>
            <w:left w:val="none" w:sz="0" w:space="0" w:color="auto"/>
            <w:bottom w:val="none" w:sz="0" w:space="0" w:color="auto"/>
            <w:right w:val="none" w:sz="0" w:space="0" w:color="auto"/>
          </w:divBdr>
          <w:divsChild>
            <w:div w:id="1196307349">
              <w:marLeft w:val="0"/>
              <w:marRight w:val="0"/>
              <w:marTop w:val="0"/>
              <w:marBottom w:val="0"/>
              <w:divBdr>
                <w:top w:val="none" w:sz="0" w:space="0" w:color="auto"/>
                <w:left w:val="none" w:sz="0" w:space="0" w:color="auto"/>
                <w:bottom w:val="none" w:sz="0" w:space="0" w:color="auto"/>
                <w:right w:val="none" w:sz="0" w:space="0" w:color="auto"/>
              </w:divBdr>
            </w:div>
          </w:divsChild>
        </w:div>
        <w:div w:id="2087913721">
          <w:marLeft w:val="0"/>
          <w:marRight w:val="0"/>
          <w:marTop w:val="0"/>
          <w:marBottom w:val="0"/>
          <w:divBdr>
            <w:top w:val="none" w:sz="0" w:space="0" w:color="auto"/>
            <w:left w:val="none" w:sz="0" w:space="0" w:color="auto"/>
            <w:bottom w:val="none" w:sz="0" w:space="0" w:color="auto"/>
            <w:right w:val="none" w:sz="0" w:space="0" w:color="auto"/>
          </w:divBdr>
          <w:divsChild>
            <w:div w:id="1227761390">
              <w:marLeft w:val="0"/>
              <w:marRight w:val="0"/>
              <w:marTop w:val="0"/>
              <w:marBottom w:val="0"/>
              <w:divBdr>
                <w:top w:val="none" w:sz="0" w:space="0" w:color="auto"/>
                <w:left w:val="none" w:sz="0" w:space="0" w:color="auto"/>
                <w:bottom w:val="none" w:sz="0" w:space="0" w:color="auto"/>
                <w:right w:val="none" w:sz="0" w:space="0" w:color="auto"/>
              </w:divBdr>
            </w:div>
          </w:divsChild>
        </w:div>
        <w:div w:id="2089842298">
          <w:marLeft w:val="0"/>
          <w:marRight w:val="0"/>
          <w:marTop w:val="0"/>
          <w:marBottom w:val="0"/>
          <w:divBdr>
            <w:top w:val="none" w:sz="0" w:space="0" w:color="auto"/>
            <w:left w:val="none" w:sz="0" w:space="0" w:color="auto"/>
            <w:bottom w:val="none" w:sz="0" w:space="0" w:color="auto"/>
            <w:right w:val="none" w:sz="0" w:space="0" w:color="auto"/>
          </w:divBdr>
          <w:divsChild>
            <w:div w:id="250436908">
              <w:marLeft w:val="0"/>
              <w:marRight w:val="0"/>
              <w:marTop w:val="0"/>
              <w:marBottom w:val="0"/>
              <w:divBdr>
                <w:top w:val="none" w:sz="0" w:space="0" w:color="auto"/>
                <w:left w:val="none" w:sz="0" w:space="0" w:color="auto"/>
                <w:bottom w:val="none" w:sz="0" w:space="0" w:color="auto"/>
                <w:right w:val="none" w:sz="0" w:space="0" w:color="auto"/>
              </w:divBdr>
            </w:div>
          </w:divsChild>
        </w:div>
        <w:div w:id="2095586748">
          <w:marLeft w:val="0"/>
          <w:marRight w:val="0"/>
          <w:marTop w:val="0"/>
          <w:marBottom w:val="0"/>
          <w:divBdr>
            <w:top w:val="none" w:sz="0" w:space="0" w:color="auto"/>
            <w:left w:val="none" w:sz="0" w:space="0" w:color="auto"/>
            <w:bottom w:val="none" w:sz="0" w:space="0" w:color="auto"/>
            <w:right w:val="none" w:sz="0" w:space="0" w:color="auto"/>
          </w:divBdr>
          <w:divsChild>
            <w:div w:id="2055764874">
              <w:marLeft w:val="0"/>
              <w:marRight w:val="0"/>
              <w:marTop w:val="0"/>
              <w:marBottom w:val="0"/>
              <w:divBdr>
                <w:top w:val="none" w:sz="0" w:space="0" w:color="auto"/>
                <w:left w:val="none" w:sz="0" w:space="0" w:color="auto"/>
                <w:bottom w:val="none" w:sz="0" w:space="0" w:color="auto"/>
                <w:right w:val="none" w:sz="0" w:space="0" w:color="auto"/>
              </w:divBdr>
            </w:div>
          </w:divsChild>
        </w:div>
        <w:div w:id="2099985580">
          <w:marLeft w:val="0"/>
          <w:marRight w:val="0"/>
          <w:marTop w:val="0"/>
          <w:marBottom w:val="0"/>
          <w:divBdr>
            <w:top w:val="none" w:sz="0" w:space="0" w:color="auto"/>
            <w:left w:val="none" w:sz="0" w:space="0" w:color="auto"/>
            <w:bottom w:val="none" w:sz="0" w:space="0" w:color="auto"/>
            <w:right w:val="none" w:sz="0" w:space="0" w:color="auto"/>
          </w:divBdr>
          <w:divsChild>
            <w:div w:id="123086938">
              <w:marLeft w:val="0"/>
              <w:marRight w:val="0"/>
              <w:marTop w:val="0"/>
              <w:marBottom w:val="0"/>
              <w:divBdr>
                <w:top w:val="none" w:sz="0" w:space="0" w:color="auto"/>
                <w:left w:val="none" w:sz="0" w:space="0" w:color="auto"/>
                <w:bottom w:val="none" w:sz="0" w:space="0" w:color="auto"/>
                <w:right w:val="none" w:sz="0" w:space="0" w:color="auto"/>
              </w:divBdr>
            </w:div>
            <w:div w:id="160898157">
              <w:marLeft w:val="0"/>
              <w:marRight w:val="0"/>
              <w:marTop w:val="0"/>
              <w:marBottom w:val="0"/>
              <w:divBdr>
                <w:top w:val="none" w:sz="0" w:space="0" w:color="auto"/>
                <w:left w:val="none" w:sz="0" w:space="0" w:color="auto"/>
                <w:bottom w:val="none" w:sz="0" w:space="0" w:color="auto"/>
                <w:right w:val="none" w:sz="0" w:space="0" w:color="auto"/>
              </w:divBdr>
            </w:div>
            <w:div w:id="188882192">
              <w:marLeft w:val="0"/>
              <w:marRight w:val="0"/>
              <w:marTop w:val="0"/>
              <w:marBottom w:val="0"/>
              <w:divBdr>
                <w:top w:val="none" w:sz="0" w:space="0" w:color="auto"/>
                <w:left w:val="none" w:sz="0" w:space="0" w:color="auto"/>
                <w:bottom w:val="none" w:sz="0" w:space="0" w:color="auto"/>
                <w:right w:val="none" w:sz="0" w:space="0" w:color="auto"/>
              </w:divBdr>
            </w:div>
            <w:div w:id="473914771">
              <w:marLeft w:val="0"/>
              <w:marRight w:val="0"/>
              <w:marTop w:val="0"/>
              <w:marBottom w:val="0"/>
              <w:divBdr>
                <w:top w:val="none" w:sz="0" w:space="0" w:color="auto"/>
                <w:left w:val="none" w:sz="0" w:space="0" w:color="auto"/>
                <w:bottom w:val="none" w:sz="0" w:space="0" w:color="auto"/>
                <w:right w:val="none" w:sz="0" w:space="0" w:color="auto"/>
              </w:divBdr>
            </w:div>
            <w:div w:id="690910477">
              <w:marLeft w:val="0"/>
              <w:marRight w:val="0"/>
              <w:marTop w:val="0"/>
              <w:marBottom w:val="0"/>
              <w:divBdr>
                <w:top w:val="none" w:sz="0" w:space="0" w:color="auto"/>
                <w:left w:val="none" w:sz="0" w:space="0" w:color="auto"/>
                <w:bottom w:val="none" w:sz="0" w:space="0" w:color="auto"/>
                <w:right w:val="none" w:sz="0" w:space="0" w:color="auto"/>
              </w:divBdr>
            </w:div>
          </w:divsChild>
        </w:div>
        <w:div w:id="2108387341">
          <w:marLeft w:val="0"/>
          <w:marRight w:val="0"/>
          <w:marTop w:val="0"/>
          <w:marBottom w:val="0"/>
          <w:divBdr>
            <w:top w:val="none" w:sz="0" w:space="0" w:color="auto"/>
            <w:left w:val="none" w:sz="0" w:space="0" w:color="auto"/>
            <w:bottom w:val="none" w:sz="0" w:space="0" w:color="auto"/>
            <w:right w:val="none" w:sz="0" w:space="0" w:color="auto"/>
          </w:divBdr>
          <w:divsChild>
            <w:div w:id="353768916">
              <w:marLeft w:val="0"/>
              <w:marRight w:val="0"/>
              <w:marTop w:val="0"/>
              <w:marBottom w:val="0"/>
              <w:divBdr>
                <w:top w:val="none" w:sz="0" w:space="0" w:color="auto"/>
                <w:left w:val="none" w:sz="0" w:space="0" w:color="auto"/>
                <w:bottom w:val="none" w:sz="0" w:space="0" w:color="auto"/>
                <w:right w:val="none" w:sz="0" w:space="0" w:color="auto"/>
              </w:divBdr>
            </w:div>
          </w:divsChild>
        </w:div>
        <w:div w:id="2109689261">
          <w:marLeft w:val="0"/>
          <w:marRight w:val="0"/>
          <w:marTop w:val="0"/>
          <w:marBottom w:val="0"/>
          <w:divBdr>
            <w:top w:val="none" w:sz="0" w:space="0" w:color="auto"/>
            <w:left w:val="none" w:sz="0" w:space="0" w:color="auto"/>
            <w:bottom w:val="none" w:sz="0" w:space="0" w:color="auto"/>
            <w:right w:val="none" w:sz="0" w:space="0" w:color="auto"/>
          </w:divBdr>
          <w:divsChild>
            <w:div w:id="530997538">
              <w:marLeft w:val="0"/>
              <w:marRight w:val="0"/>
              <w:marTop w:val="0"/>
              <w:marBottom w:val="0"/>
              <w:divBdr>
                <w:top w:val="none" w:sz="0" w:space="0" w:color="auto"/>
                <w:left w:val="none" w:sz="0" w:space="0" w:color="auto"/>
                <w:bottom w:val="none" w:sz="0" w:space="0" w:color="auto"/>
                <w:right w:val="none" w:sz="0" w:space="0" w:color="auto"/>
              </w:divBdr>
            </w:div>
          </w:divsChild>
        </w:div>
        <w:div w:id="2118215934">
          <w:marLeft w:val="0"/>
          <w:marRight w:val="0"/>
          <w:marTop w:val="0"/>
          <w:marBottom w:val="0"/>
          <w:divBdr>
            <w:top w:val="none" w:sz="0" w:space="0" w:color="auto"/>
            <w:left w:val="none" w:sz="0" w:space="0" w:color="auto"/>
            <w:bottom w:val="none" w:sz="0" w:space="0" w:color="auto"/>
            <w:right w:val="none" w:sz="0" w:space="0" w:color="auto"/>
          </w:divBdr>
          <w:divsChild>
            <w:div w:id="1137382017">
              <w:marLeft w:val="0"/>
              <w:marRight w:val="0"/>
              <w:marTop w:val="0"/>
              <w:marBottom w:val="0"/>
              <w:divBdr>
                <w:top w:val="none" w:sz="0" w:space="0" w:color="auto"/>
                <w:left w:val="none" w:sz="0" w:space="0" w:color="auto"/>
                <w:bottom w:val="none" w:sz="0" w:space="0" w:color="auto"/>
                <w:right w:val="none" w:sz="0" w:space="0" w:color="auto"/>
              </w:divBdr>
            </w:div>
          </w:divsChild>
        </w:div>
        <w:div w:id="2119787677">
          <w:marLeft w:val="0"/>
          <w:marRight w:val="0"/>
          <w:marTop w:val="0"/>
          <w:marBottom w:val="0"/>
          <w:divBdr>
            <w:top w:val="none" w:sz="0" w:space="0" w:color="auto"/>
            <w:left w:val="none" w:sz="0" w:space="0" w:color="auto"/>
            <w:bottom w:val="none" w:sz="0" w:space="0" w:color="auto"/>
            <w:right w:val="none" w:sz="0" w:space="0" w:color="auto"/>
          </w:divBdr>
          <w:divsChild>
            <w:div w:id="1771512521">
              <w:marLeft w:val="0"/>
              <w:marRight w:val="0"/>
              <w:marTop w:val="0"/>
              <w:marBottom w:val="0"/>
              <w:divBdr>
                <w:top w:val="none" w:sz="0" w:space="0" w:color="auto"/>
                <w:left w:val="none" w:sz="0" w:space="0" w:color="auto"/>
                <w:bottom w:val="none" w:sz="0" w:space="0" w:color="auto"/>
                <w:right w:val="none" w:sz="0" w:space="0" w:color="auto"/>
              </w:divBdr>
            </w:div>
          </w:divsChild>
        </w:div>
        <w:div w:id="2124180913">
          <w:marLeft w:val="0"/>
          <w:marRight w:val="0"/>
          <w:marTop w:val="0"/>
          <w:marBottom w:val="0"/>
          <w:divBdr>
            <w:top w:val="none" w:sz="0" w:space="0" w:color="auto"/>
            <w:left w:val="none" w:sz="0" w:space="0" w:color="auto"/>
            <w:bottom w:val="none" w:sz="0" w:space="0" w:color="auto"/>
            <w:right w:val="none" w:sz="0" w:space="0" w:color="auto"/>
          </w:divBdr>
          <w:divsChild>
            <w:div w:id="1053966603">
              <w:marLeft w:val="0"/>
              <w:marRight w:val="0"/>
              <w:marTop w:val="0"/>
              <w:marBottom w:val="0"/>
              <w:divBdr>
                <w:top w:val="none" w:sz="0" w:space="0" w:color="auto"/>
                <w:left w:val="none" w:sz="0" w:space="0" w:color="auto"/>
                <w:bottom w:val="none" w:sz="0" w:space="0" w:color="auto"/>
                <w:right w:val="none" w:sz="0" w:space="0" w:color="auto"/>
              </w:divBdr>
            </w:div>
            <w:div w:id="1745567391">
              <w:marLeft w:val="0"/>
              <w:marRight w:val="0"/>
              <w:marTop w:val="0"/>
              <w:marBottom w:val="0"/>
              <w:divBdr>
                <w:top w:val="none" w:sz="0" w:space="0" w:color="auto"/>
                <w:left w:val="none" w:sz="0" w:space="0" w:color="auto"/>
                <w:bottom w:val="none" w:sz="0" w:space="0" w:color="auto"/>
                <w:right w:val="none" w:sz="0" w:space="0" w:color="auto"/>
              </w:divBdr>
            </w:div>
          </w:divsChild>
        </w:div>
        <w:div w:id="2124642251">
          <w:marLeft w:val="0"/>
          <w:marRight w:val="0"/>
          <w:marTop w:val="0"/>
          <w:marBottom w:val="0"/>
          <w:divBdr>
            <w:top w:val="none" w:sz="0" w:space="0" w:color="auto"/>
            <w:left w:val="none" w:sz="0" w:space="0" w:color="auto"/>
            <w:bottom w:val="none" w:sz="0" w:space="0" w:color="auto"/>
            <w:right w:val="none" w:sz="0" w:space="0" w:color="auto"/>
          </w:divBdr>
          <w:divsChild>
            <w:div w:id="1022515416">
              <w:marLeft w:val="0"/>
              <w:marRight w:val="0"/>
              <w:marTop w:val="0"/>
              <w:marBottom w:val="0"/>
              <w:divBdr>
                <w:top w:val="none" w:sz="0" w:space="0" w:color="auto"/>
                <w:left w:val="none" w:sz="0" w:space="0" w:color="auto"/>
                <w:bottom w:val="none" w:sz="0" w:space="0" w:color="auto"/>
                <w:right w:val="none" w:sz="0" w:space="0" w:color="auto"/>
              </w:divBdr>
            </w:div>
          </w:divsChild>
        </w:div>
        <w:div w:id="2126924722">
          <w:marLeft w:val="0"/>
          <w:marRight w:val="0"/>
          <w:marTop w:val="0"/>
          <w:marBottom w:val="0"/>
          <w:divBdr>
            <w:top w:val="none" w:sz="0" w:space="0" w:color="auto"/>
            <w:left w:val="none" w:sz="0" w:space="0" w:color="auto"/>
            <w:bottom w:val="none" w:sz="0" w:space="0" w:color="auto"/>
            <w:right w:val="none" w:sz="0" w:space="0" w:color="auto"/>
          </w:divBdr>
          <w:divsChild>
            <w:div w:id="884022330">
              <w:marLeft w:val="0"/>
              <w:marRight w:val="0"/>
              <w:marTop w:val="0"/>
              <w:marBottom w:val="0"/>
              <w:divBdr>
                <w:top w:val="none" w:sz="0" w:space="0" w:color="auto"/>
                <w:left w:val="none" w:sz="0" w:space="0" w:color="auto"/>
                <w:bottom w:val="none" w:sz="0" w:space="0" w:color="auto"/>
                <w:right w:val="none" w:sz="0" w:space="0" w:color="auto"/>
              </w:divBdr>
            </w:div>
          </w:divsChild>
        </w:div>
        <w:div w:id="2127649053">
          <w:marLeft w:val="0"/>
          <w:marRight w:val="0"/>
          <w:marTop w:val="0"/>
          <w:marBottom w:val="0"/>
          <w:divBdr>
            <w:top w:val="none" w:sz="0" w:space="0" w:color="auto"/>
            <w:left w:val="none" w:sz="0" w:space="0" w:color="auto"/>
            <w:bottom w:val="none" w:sz="0" w:space="0" w:color="auto"/>
            <w:right w:val="none" w:sz="0" w:space="0" w:color="auto"/>
          </w:divBdr>
          <w:divsChild>
            <w:div w:id="1466239437">
              <w:marLeft w:val="0"/>
              <w:marRight w:val="0"/>
              <w:marTop w:val="0"/>
              <w:marBottom w:val="0"/>
              <w:divBdr>
                <w:top w:val="none" w:sz="0" w:space="0" w:color="auto"/>
                <w:left w:val="none" w:sz="0" w:space="0" w:color="auto"/>
                <w:bottom w:val="none" w:sz="0" w:space="0" w:color="auto"/>
                <w:right w:val="none" w:sz="0" w:space="0" w:color="auto"/>
              </w:divBdr>
            </w:div>
          </w:divsChild>
        </w:div>
        <w:div w:id="2127845654">
          <w:marLeft w:val="0"/>
          <w:marRight w:val="0"/>
          <w:marTop w:val="0"/>
          <w:marBottom w:val="0"/>
          <w:divBdr>
            <w:top w:val="none" w:sz="0" w:space="0" w:color="auto"/>
            <w:left w:val="none" w:sz="0" w:space="0" w:color="auto"/>
            <w:bottom w:val="none" w:sz="0" w:space="0" w:color="auto"/>
            <w:right w:val="none" w:sz="0" w:space="0" w:color="auto"/>
          </w:divBdr>
          <w:divsChild>
            <w:div w:id="650060545">
              <w:marLeft w:val="0"/>
              <w:marRight w:val="0"/>
              <w:marTop w:val="0"/>
              <w:marBottom w:val="0"/>
              <w:divBdr>
                <w:top w:val="none" w:sz="0" w:space="0" w:color="auto"/>
                <w:left w:val="none" w:sz="0" w:space="0" w:color="auto"/>
                <w:bottom w:val="none" w:sz="0" w:space="0" w:color="auto"/>
                <w:right w:val="none" w:sz="0" w:space="0" w:color="auto"/>
              </w:divBdr>
            </w:div>
          </w:divsChild>
        </w:div>
        <w:div w:id="2127962051">
          <w:marLeft w:val="0"/>
          <w:marRight w:val="0"/>
          <w:marTop w:val="0"/>
          <w:marBottom w:val="0"/>
          <w:divBdr>
            <w:top w:val="none" w:sz="0" w:space="0" w:color="auto"/>
            <w:left w:val="none" w:sz="0" w:space="0" w:color="auto"/>
            <w:bottom w:val="none" w:sz="0" w:space="0" w:color="auto"/>
            <w:right w:val="none" w:sz="0" w:space="0" w:color="auto"/>
          </w:divBdr>
          <w:divsChild>
            <w:div w:id="1782336707">
              <w:marLeft w:val="0"/>
              <w:marRight w:val="0"/>
              <w:marTop w:val="0"/>
              <w:marBottom w:val="0"/>
              <w:divBdr>
                <w:top w:val="none" w:sz="0" w:space="0" w:color="auto"/>
                <w:left w:val="none" w:sz="0" w:space="0" w:color="auto"/>
                <w:bottom w:val="none" w:sz="0" w:space="0" w:color="auto"/>
                <w:right w:val="none" w:sz="0" w:space="0" w:color="auto"/>
              </w:divBdr>
            </w:div>
          </w:divsChild>
        </w:div>
        <w:div w:id="2140607779">
          <w:marLeft w:val="0"/>
          <w:marRight w:val="0"/>
          <w:marTop w:val="0"/>
          <w:marBottom w:val="0"/>
          <w:divBdr>
            <w:top w:val="none" w:sz="0" w:space="0" w:color="auto"/>
            <w:left w:val="none" w:sz="0" w:space="0" w:color="auto"/>
            <w:bottom w:val="none" w:sz="0" w:space="0" w:color="auto"/>
            <w:right w:val="none" w:sz="0" w:space="0" w:color="auto"/>
          </w:divBdr>
          <w:divsChild>
            <w:div w:id="14234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33791">
      <w:bodyDiv w:val="1"/>
      <w:marLeft w:val="0"/>
      <w:marRight w:val="0"/>
      <w:marTop w:val="0"/>
      <w:marBottom w:val="0"/>
      <w:divBdr>
        <w:top w:val="none" w:sz="0" w:space="0" w:color="auto"/>
        <w:left w:val="none" w:sz="0" w:space="0" w:color="auto"/>
        <w:bottom w:val="none" w:sz="0" w:space="0" w:color="auto"/>
        <w:right w:val="none" w:sz="0" w:space="0" w:color="auto"/>
      </w:divBdr>
      <w:divsChild>
        <w:div w:id="144661167">
          <w:marLeft w:val="0"/>
          <w:marRight w:val="0"/>
          <w:marTop w:val="0"/>
          <w:marBottom w:val="0"/>
          <w:divBdr>
            <w:top w:val="none" w:sz="0" w:space="0" w:color="auto"/>
            <w:left w:val="none" w:sz="0" w:space="0" w:color="auto"/>
            <w:bottom w:val="none" w:sz="0" w:space="0" w:color="auto"/>
            <w:right w:val="none" w:sz="0" w:space="0" w:color="auto"/>
          </w:divBdr>
        </w:div>
        <w:div w:id="238633688">
          <w:marLeft w:val="0"/>
          <w:marRight w:val="0"/>
          <w:marTop w:val="0"/>
          <w:marBottom w:val="0"/>
          <w:divBdr>
            <w:top w:val="none" w:sz="0" w:space="0" w:color="auto"/>
            <w:left w:val="none" w:sz="0" w:space="0" w:color="auto"/>
            <w:bottom w:val="none" w:sz="0" w:space="0" w:color="auto"/>
            <w:right w:val="none" w:sz="0" w:space="0" w:color="auto"/>
          </w:divBdr>
        </w:div>
        <w:div w:id="292710652">
          <w:marLeft w:val="0"/>
          <w:marRight w:val="0"/>
          <w:marTop w:val="0"/>
          <w:marBottom w:val="0"/>
          <w:divBdr>
            <w:top w:val="none" w:sz="0" w:space="0" w:color="auto"/>
            <w:left w:val="none" w:sz="0" w:space="0" w:color="auto"/>
            <w:bottom w:val="none" w:sz="0" w:space="0" w:color="auto"/>
            <w:right w:val="none" w:sz="0" w:space="0" w:color="auto"/>
          </w:divBdr>
        </w:div>
        <w:div w:id="451872810">
          <w:marLeft w:val="0"/>
          <w:marRight w:val="0"/>
          <w:marTop w:val="0"/>
          <w:marBottom w:val="0"/>
          <w:divBdr>
            <w:top w:val="none" w:sz="0" w:space="0" w:color="auto"/>
            <w:left w:val="none" w:sz="0" w:space="0" w:color="auto"/>
            <w:bottom w:val="none" w:sz="0" w:space="0" w:color="auto"/>
            <w:right w:val="none" w:sz="0" w:space="0" w:color="auto"/>
          </w:divBdr>
        </w:div>
        <w:div w:id="550925457">
          <w:marLeft w:val="0"/>
          <w:marRight w:val="0"/>
          <w:marTop w:val="0"/>
          <w:marBottom w:val="0"/>
          <w:divBdr>
            <w:top w:val="none" w:sz="0" w:space="0" w:color="auto"/>
            <w:left w:val="none" w:sz="0" w:space="0" w:color="auto"/>
            <w:bottom w:val="none" w:sz="0" w:space="0" w:color="auto"/>
            <w:right w:val="none" w:sz="0" w:space="0" w:color="auto"/>
          </w:divBdr>
        </w:div>
        <w:div w:id="1044526393">
          <w:marLeft w:val="0"/>
          <w:marRight w:val="0"/>
          <w:marTop w:val="0"/>
          <w:marBottom w:val="0"/>
          <w:divBdr>
            <w:top w:val="none" w:sz="0" w:space="0" w:color="auto"/>
            <w:left w:val="none" w:sz="0" w:space="0" w:color="auto"/>
            <w:bottom w:val="none" w:sz="0" w:space="0" w:color="auto"/>
            <w:right w:val="none" w:sz="0" w:space="0" w:color="auto"/>
          </w:divBdr>
        </w:div>
        <w:div w:id="1129276934">
          <w:marLeft w:val="0"/>
          <w:marRight w:val="0"/>
          <w:marTop w:val="0"/>
          <w:marBottom w:val="0"/>
          <w:divBdr>
            <w:top w:val="none" w:sz="0" w:space="0" w:color="auto"/>
            <w:left w:val="none" w:sz="0" w:space="0" w:color="auto"/>
            <w:bottom w:val="none" w:sz="0" w:space="0" w:color="auto"/>
            <w:right w:val="none" w:sz="0" w:space="0" w:color="auto"/>
          </w:divBdr>
        </w:div>
        <w:div w:id="1192912843">
          <w:marLeft w:val="0"/>
          <w:marRight w:val="0"/>
          <w:marTop w:val="0"/>
          <w:marBottom w:val="0"/>
          <w:divBdr>
            <w:top w:val="none" w:sz="0" w:space="0" w:color="auto"/>
            <w:left w:val="none" w:sz="0" w:space="0" w:color="auto"/>
            <w:bottom w:val="none" w:sz="0" w:space="0" w:color="auto"/>
            <w:right w:val="none" w:sz="0" w:space="0" w:color="auto"/>
          </w:divBdr>
        </w:div>
        <w:div w:id="1206287537">
          <w:marLeft w:val="0"/>
          <w:marRight w:val="0"/>
          <w:marTop w:val="0"/>
          <w:marBottom w:val="0"/>
          <w:divBdr>
            <w:top w:val="none" w:sz="0" w:space="0" w:color="auto"/>
            <w:left w:val="none" w:sz="0" w:space="0" w:color="auto"/>
            <w:bottom w:val="none" w:sz="0" w:space="0" w:color="auto"/>
            <w:right w:val="none" w:sz="0" w:space="0" w:color="auto"/>
          </w:divBdr>
        </w:div>
        <w:div w:id="1510095716">
          <w:marLeft w:val="0"/>
          <w:marRight w:val="0"/>
          <w:marTop w:val="0"/>
          <w:marBottom w:val="0"/>
          <w:divBdr>
            <w:top w:val="none" w:sz="0" w:space="0" w:color="auto"/>
            <w:left w:val="none" w:sz="0" w:space="0" w:color="auto"/>
            <w:bottom w:val="none" w:sz="0" w:space="0" w:color="auto"/>
            <w:right w:val="none" w:sz="0" w:space="0" w:color="auto"/>
          </w:divBdr>
        </w:div>
        <w:div w:id="1766341091">
          <w:marLeft w:val="0"/>
          <w:marRight w:val="0"/>
          <w:marTop w:val="0"/>
          <w:marBottom w:val="0"/>
          <w:divBdr>
            <w:top w:val="none" w:sz="0" w:space="0" w:color="auto"/>
            <w:left w:val="none" w:sz="0" w:space="0" w:color="auto"/>
            <w:bottom w:val="none" w:sz="0" w:space="0" w:color="auto"/>
            <w:right w:val="none" w:sz="0" w:space="0" w:color="auto"/>
          </w:divBdr>
        </w:div>
        <w:div w:id="1940867506">
          <w:marLeft w:val="0"/>
          <w:marRight w:val="0"/>
          <w:marTop w:val="0"/>
          <w:marBottom w:val="0"/>
          <w:divBdr>
            <w:top w:val="none" w:sz="0" w:space="0" w:color="auto"/>
            <w:left w:val="none" w:sz="0" w:space="0" w:color="auto"/>
            <w:bottom w:val="none" w:sz="0" w:space="0" w:color="auto"/>
            <w:right w:val="none" w:sz="0" w:space="0" w:color="auto"/>
          </w:divBdr>
        </w:div>
        <w:div w:id="1988436669">
          <w:marLeft w:val="0"/>
          <w:marRight w:val="0"/>
          <w:marTop w:val="0"/>
          <w:marBottom w:val="0"/>
          <w:divBdr>
            <w:top w:val="none" w:sz="0" w:space="0" w:color="auto"/>
            <w:left w:val="none" w:sz="0" w:space="0" w:color="auto"/>
            <w:bottom w:val="none" w:sz="0" w:space="0" w:color="auto"/>
            <w:right w:val="none" w:sz="0" w:space="0" w:color="auto"/>
          </w:divBdr>
        </w:div>
      </w:divsChild>
    </w:div>
    <w:div w:id="915549582">
      <w:bodyDiv w:val="1"/>
      <w:marLeft w:val="0"/>
      <w:marRight w:val="0"/>
      <w:marTop w:val="0"/>
      <w:marBottom w:val="0"/>
      <w:divBdr>
        <w:top w:val="none" w:sz="0" w:space="0" w:color="auto"/>
        <w:left w:val="none" w:sz="0" w:space="0" w:color="auto"/>
        <w:bottom w:val="none" w:sz="0" w:space="0" w:color="auto"/>
        <w:right w:val="none" w:sz="0" w:space="0" w:color="auto"/>
      </w:divBdr>
    </w:div>
    <w:div w:id="952126348">
      <w:bodyDiv w:val="1"/>
      <w:marLeft w:val="0"/>
      <w:marRight w:val="0"/>
      <w:marTop w:val="0"/>
      <w:marBottom w:val="0"/>
      <w:divBdr>
        <w:top w:val="none" w:sz="0" w:space="0" w:color="auto"/>
        <w:left w:val="none" w:sz="0" w:space="0" w:color="auto"/>
        <w:bottom w:val="none" w:sz="0" w:space="0" w:color="auto"/>
        <w:right w:val="none" w:sz="0" w:space="0" w:color="auto"/>
      </w:divBdr>
    </w:div>
    <w:div w:id="1000043245">
      <w:bodyDiv w:val="1"/>
      <w:marLeft w:val="0"/>
      <w:marRight w:val="0"/>
      <w:marTop w:val="0"/>
      <w:marBottom w:val="0"/>
      <w:divBdr>
        <w:top w:val="none" w:sz="0" w:space="0" w:color="auto"/>
        <w:left w:val="none" w:sz="0" w:space="0" w:color="auto"/>
        <w:bottom w:val="none" w:sz="0" w:space="0" w:color="auto"/>
        <w:right w:val="none" w:sz="0" w:space="0" w:color="auto"/>
      </w:divBdr>
    </w:div>
    <w:div w:id="1001081285">
      <w:bodyDiv w:val="1"/>
      <w:marLeft w:val="0"/>
      <w:marRight w:val="0"/>
      <w:marTop w:val="0"/>
      <w:marBottom w:val="0"/>
      <w:divBdr>
        <w:top w:val="none" w:sz="0" w:space="0" w:color="auto"/>
        <w:left w:val="none" w:sz="0" w:space="0" w:color="auto"/>
        <w:bottom w:val="none" w:sz="0" w:space="0" w:color="auto"/>
        <w:right w:val="none" w:sz="0" w:space="0" w:color="auto"/>
      </w:divBdr>
    </w:div>
    <w:div w:id="1019238424">
      <w:bodyDiv w:val="1"/>
      <w:marLeft w:val="0"/>
      <w:marRight w:val="0"/>
      <w:marTop w:val="0"/>
      <w:marBottom w:val="0"/>
      <w:divBdr>
        <w:top w:val="none" w:sz="0" w:space="0" w:color="auto"/>
        <w:left w:val="none" w:sz="0" w:space="0" w:color="auto"/>
        <w:bottom w:val="none" w:sz="0" w:space="0" w:color="auto"/>
        <w:right w:val="none" w:sz="0" w:space="0" w:color="auto"/>
      </w:divBdr>
      <w:divsChild>
        <w:div w:id="114181820">
          <w:marLeft w:val="-75"/>
          <w:marRight w:val="0"/>
          <w:marTop w:val="30"/>
          <w:marBottom w:val="30"/>
          <w:divBdr>
            <w:top w:val="none" w:sz="0" w:space="0" w:color="auto"/>
            <w:left w:val="none" w:sz="0" w:space="0" w:color="auto"/>
            <w:bottom w:val="none" w:sz="0" w:space="0" w:color="auto"/>
            <w:right w:val="none" w:sz="0" w:space="0" w:color="auto"/>
          </w:divBdr>
          <w:divsChild>
            <w:div w:id="371852505">
              <w:marLeft w:val="0"/>
              <w:marRight w:val="0"/>
              <w:marTop w:val="0"/>
              <w:marBottom w:val="0"/>
              <w:divBdr>
                <w:top w:val="none" w:sz="0" w:space="0" w:color="auto"/>
                <w:left w:val="none" w:sz="0" w:space="0" w:color="auto"/>
                <w:bottom w:val="none" w:sz="0" w:space="0" w:color="auto"/>
                <w:right w:val="none" w:sz="0" w:space="0" w:color="auto"/>
              </w:divBdr>
              <w:divsChild>
                <w:div w:id="1495341992">
                  <w:marLeft w:val="0"/>
                  <w:marRight w:val="0"/>
                  <w:marTop w:val="0"/>
                  <w:marBottom w:val="0"/>
                  <w:divBdr>
                    <w:top w:val="none" w:sz="0" w:space="0" w:color="auto"/>
                    <w:left w:val="none" w:sz="0" w:space="0" w:color="auto"/>
                    <w:bottom w:val="none" w:sz="0" w:space="0" w:color="auto"/>
                    <w:right w:val="none" w:sz="0" w:space="0" w:color="auto"/>
                  </w:divBdr>
                </w:div>
              </w:divsChild>
            </w:div>
            <w:div w:id="376245232">
              <w:marLeft w:val="0"/>
              <w:marRight w:val="0"/>
              <w:marTop w:val="0"/>
              <w:marBottom w:val="0"/>
              <w:divBdr>
                <w:top w:val="none" w:sz="0" w:space="0" w:color="auto"/>
                <w:left w:val="none" w:sz="0" w:space="0" w:color="auto"/>
                <w:bottom w:val="none" w:sz="0" w:space="0" w:color="auto"/>
                <w:right w:val="none" w:sz="0" w:space="0" w:color="auto"/>
              </w:divBdr>
              <w:divsChild>
                <w:div w:id="1144279456">
                  <w:marLeft w:val="0"/>
                  <w:marRight w:val="0"/>
                  <w:marTop w:val="0"/>
                  <w:marBottom w:val="0"/>
                  <w:divBdr>
                    <w:top w:val="none" w:sz="0" w:space="0" w:color="auto"/>
                    <w:left w:val="none" w:sz="0" w:space="0" w:color="auto"/>
                    <w:bottom w:val="none" w:sz="0" w:space="0" w:color="auto"/>
                    <w:right w:val="none" w:sz="0" w:space="0" w:color="auto"/>
                  </w:divBdr>
                </w:div>
              </w:divsChild>
            </w:div>
            <w:div w:id="551304842">
              <w:marLeft w:val="0"/>
              <w:marRight w:val="0"/>
              <w:marTop w:val="0"/>
              <w:marBottom w:val="0"/>
              <w:divBdr>
                <w:top w:val="none" w:sz="0" w:space="0" w:color="auto"/>
                <w:left w:val="none" w:sz="0" w:space="0" w:color="auto"/>
                <w:bottom w:val="none" w:sz="0" w:space="0" w:color="auto"/>
                <w:right w:val="none" w:sz="0" w:space="0" w:color="auto"/>
              </w:divBdr>
              <w:divsChild>
                <w:div w:id="992955281">
                  <w:marLeft w:val="0"/>
                  <w:marRight w:val="0"/>
                  <w:marTop w:val="0"/>
                  <w:marBottom w:val="0"/>
                  <w:divBdr>
                    <w:top w:val="none" w:sz="0" w:space="0" w:color="auto"/>
                    <w:left w:val="none" w:sz="0" w:space="0" w:color="auto"/>
                    <w:bottom w:val="none" w:sz="0" w:space="0" w:color="auto"/>
                    <w:right w:val="none" w:sz="0" w:space="0" w:color="auto"/>
                  </w:divBdr>
                </w:div>
              </w:divsChild>
            </w:div>
            <w:div w:id="627586144">
              <w:marLeft w:val="0"/>
              <w:marRight w:val="0"/>
              <w:marTop w:val="0"/>
              <w:marBottom w:val="0"/>
              <w:divBdr>
                <w:top w:val="none" w:sz="0" w:space="0" w:color="auto"/>
                <w:left w:val="none" w:sz="0" w:space="0" w:color="auto"/>
                <w:bottom w:val="none" w:sz="0" w:space="0" w:color="auto"/>
                <w:right w:val="none" w:sz="0" w:space="0" w:color="auto"/>
              </w:divBdr>
              <w:divsChild>
                <w:div w:id="1103913928">
                  <w:marLeft w:val="0"/>
                  <w:marRight w:val="0"/>
                  <w:marTop w:val="0"/>
                  <w:marBottom w:val="0"/>
                  <w:divBdr>
                    <w:top w:val="none" w:sz="0" w:space="0" w:color="auto"/>
                    <w:left w:val="none" w:sz="0" w:space="0" w:color="auto"/>
                    <w:bottom w:val="none" w:sz="0" w:space="0" w:color="auto"/>
                    <w:right w:val="none" w:sz="0" w:space="0" w:color="auto"/>
                  </w:divBdr>
                </w:div>
              </w:divsChild>
            </w:div>
            <w:div w:id="827326502">
              <w:marLeft w:val="0"/>
              <w:marRight w:val="0"/>
              <w:marTop w:val="0"/>
              <w:marBottom w:val="0"/>
              <w:divBdr>
                <w:top w:val="none" w:sz="0" w:space="0" w:color="auto"/>
                <w:left w:val="none" w:sz="0" w:space="0" w:color="auto"/>
                <w:bottom w:val="none" w:sz="0" w:space="0" w:color="auto"/>
                <w:right w:val="none" w:sz="0" w:space="0" w:color="auto"/>
              </w:divBdr>
              <w:divsChild>
                <w:div w:id="1018771508">
                  <w:marLeft w:val="0"/>
                  <w:marRight w:val="0"/>
                  <w:marTop w:val="0"/>
                  <w:marBottom w:val="0"/>
                  <w:divBdr>
                    <w:top w:val="none" w:sz="0" w:space="0" w:color="auto"/>
                    <w:left w:val="none" w:sz="0" w:space="0" w:color="auto"/>
                    <w:bottom w:val="none" w:sz="0" w:space="0" w:color="auto"/>
                    <w:right w:val="none" w:sz="0" w:space="0" w:color="auto"/>
                  </w:divBdr>
                </w:div>
              </w:divsChild>
            </w:div>
            <w:div w:id="867449739">
              <w:marLeft w:val="0"/>
              <w:marRight w:val="0"/>
              <w:marTop w:val="0"/>
              <w:marBottom w:val="0"/>
              <w:divBdr>
                <w:top w:val="none" w:sz="0" w:space="0" w:color="auto"/>
                <w:left w:val="none" w:sz="0" w:space="0" w:color="auto"/>
                <w:bottom w:val="none" w:sz="0" w:space="0" w:color="auto"/>
                <w:right w:val="none" w:sz="0" w:space="0" w:color="auto"/>
              </w:divBdr>
              <w:divsChild>
                <w:div w:id="842671908">
                  <w:marLeft w:val="0"/>
                  <w:marRight w:val="0"/>
                  <w:marTop w:val="0"/>
                  <w:marBottom w:val="0"/>
                  <w:divBdr>
                    <w:top w:val="none" w:sz="0" w:space="0" w:color="auto"/>
                    <w:left w:val="none" w:sz="0" w:space="0" w:color="auto"/>
                    <w:bottom w:val="none" w:sz="0" w:space="0" w:color="auto"/>
                    <w:right w:val="none" w:sz="0" w:space="0" w:color="auto"/>
                  </w:divBdr>
                </w:div>
              </w:divsChild>
            </w:div>
            <w:div w:id="882328514">
              <w:marLeft w:val="0"/>
              <w:marRight w:val="0"/>
              <w:marTop w:val="0"/>
              <w:marBottom w:val="0"/>
              <w:divBdr>
                <w:top w:val="none" w:sz="0" w:space="0" w:color="auto"/>
                <w:left w:val="none" w:sz="0" w:space="0" w:color="auto"/>
                <w:bottom w:val="none" w:sz="0" w:space="0" w:color="auto"/>
                <w:right w:val="none" w:sz="0" w:space="0" w:color="auto"/>
              </w:divBdr>
              <w:divsChild>
                <w:div w:id="27337391">
                  <w:marLeft w:val="0"/>
                  <w:marRight w:val="0"/>
                  <w:marTop w:val="0"/>
                  <w:marBottom w:val="0"/>
                  <w:divBdr>
                    <w:top w:val="none" w:sz="0" w:space="0" w:color="auto"/>
                    <w:left w:val="none" w:sz="0" w:space="0" w:color="auto"/>
                    <w:bottom w:val="none" w:sz="0" w:space="0" w:color="auto"/>
                    <w:right w:val="none" w:sz="0" w:space="0" w:color="auto"/>
                  </w:divBdr>
                </w:div>
              </w:divsChild>
            </w:div>
            <w:div w:id="1028069873">
              <w:marLeft w:val="0"/>
              <w:marRight w:val="0"/>
              <w:marTop w:val="0"/>
              <w:marBottom w:val="0"/>
              <w:divBdr>
                <w:top w:val="none" w:sz="0" w:space="0" w:color="auto"/>
                <w:left w:val="none" w:sz="0" w:space="0" w:color="auto"/>
                <w:bottom w:val="none" w:sz="0" w:space="0" w:color="auto"/>
                <w:right w:val="none" w:sz="0" w:space="0" w:color="auto"/>
              </w:divBdr>
              <w:divsChild>
                <w:div w:id="378280803">
                  <w:marLeft w:val="0"/>
                  <w:marRight w:val="0"/>
                  <w:marTop w:val="0"/>
                  <w:marBottom w:val="0"/>
                  <w:divBdr>
                    <w:top w:val="none" w:sz="0" w:space="0" w:color="auto"/>
                    <w:left w:val="none" w:sz="0" w:space="0" w:color="auto"/>
                    <w:bottom w:val="none" w:sz="0" w:space="0" w:color="auto"/>
                    <w:right w:val="none" w:sz="0" w:space="0" w:color="auto"/>
                  </w:divBdr>
                </w:div>
              </w:divsChild>
            </w:div>
            <w:div w:id="1154949137">
              <w:marLeft w:val="0"/>
              <w:marRight w:val="0"/>
              <w:marTop w:val="0"/>
              <w:marBottom w:val="0"/>
              <w:divBdr>
                <w:top w:val="none" w:sz="0" w:space="0" w:color="auto"/>
                <w:left w:val="none" w:sz="0" w:space="0" w:color="auto"/>
                <w:bottom w:val="none" w:sz="0" w:space="0" w:color="auto"/>
                <w:right w:val="none" w:sz="0" w:space="0" w:color="auto"/>
              </w:divBdr>
              <w:divsChild>
                <w:div w:id="1000474329">
                  <w:marLeft w:val="0"/>
                  <w:marRight w:val="0"/>
                  <w:marTop w:val="0"/>
                  <w:marBottom w:val="0"/>
                  <w:divBdr>
                    <w:top w:val="none" w:sz="0" w:space="0" w:color="auto"/>
                    <w:left w:val="none" w:sz="0" w:space="0" w:color="auto"/>
                    <w:bottom w:val="none" w:sz="0" w:space="0" w:color="auto"/>
                    <w:right w:val="none" w:sz="0" w:space="0" w:color="auto"/>
                  </w:divBdr>
                </w:div>
              </w:divsChild>
            </w:div>
            <w:div w:id="1423139555">
              <w:marLeft w:val="0"/>
              <w:marRight w:val="0"/>
              <w:marTop w:val="0"/>
              <w:marBottom w:val="0"/>
              <w:divBdr>
                <w:top w:val="none" w:sz="0" w:space="0" w:color="auto"/>
                <w:left w:val="none" w:sz="0" w:space="0" w:color="auto"/>
                <w:bottom w:val="none" w:sz="0" w:space="0" w:color="auto"/>
                <w:right w:val="none" w:sz="0" w:space="0" w:color="auto"/>
              </w:divBdr>
              <w:divsChild>
                <w:div w:id="955600640">
                  <w:marLeft w:val="0"/>
                  <w:marRight w:val="0"/>
                  <w:marTop w:val="0"/>
                  <w:marBottom w:val="0"/>
                  <w:divBdr>
                    <w:top w:val="none" w:sz="0" w:space="0" w:color="auto"/>
                    <w:left w:val="none" w:sz="0" w:space="0" w:color="auto"/>
                    <w:bottom w:val="none" w:sz="0" w:space="0" w:color="auto"/>
                    <w:right w:val="none" w:sz="0" w:space="0" w:color="auto"/>
                  </w:divBdr>
                </w:div>
              </w:divsChild>
            </w:div>
            <w:div w:id="1440220943">
              <w:marLeft w:val="0"/>
              <w:marRight w:val="0"/>
              <w:marTop w:val="0"/>
              <w:marBottom w:val="0"/>
              <w:divBdr>
                <w:top w:val="none" w:sz="0" w:space="0" w:color="auto"/>
                <w:left w:val="none" w:sz="0" w:space="0" w:color="auto"/>
                <w:bottom w:val="none" w:sz="0" w:space="0" w:color="auto"/>
                <w:right w:val="none" w:sz="0" w:space="0" w:color="auto"/>
              </w:divBdr>
              <w:divsChild>
                <w:div w:id="1777864434">
                  <w:marLeft w:val="0"/>
                  <w:marRight w:val="0"/>
                  <w:marTop w:val="0"/>
                  <w:marBottom w:val="0"/>
                  <w:divBdr>
                    <w:top w:val="none" w:sz="0" w:space="0" w:color="auto"/>
                    <w:left w:val="none" w:sz="0" w:space="0" w:color="auto"/>
                    <w:bottom w:val="none" w:sz="0" w:space="0" w:color="auto"/>
                    <w:right w:val="none" w:sz="0" w:space="0" w:color="auto"/>
                  </w:divBdr>
                </w:div>
              </w:divsChild>
            </w:div>
            <w:div w:id="1570336485">
              <w:marLeft w:val="0"/>
              <w:marRight w:val="0"/>
              <w:marTop w:val="0"/>
              <w:marBottom w:val="0"/>
              <w:divBdr>
                <w:top w:val="none" w:sz="0" w:space="0" w:color="auto"/>
                <w:left w:val="none" w:sz="0" w:space="0" w:color="auto"/>
                <w:bottom w:val="none" w:sz="0" w:space="0" w:color="auto"/>
                <w:right w:val="none" w:sz="0" w:space="0" w:color="auto"/>
              </w:divBdr>
              <w:divsChild>
                <w:div w:id="1385838445">
                  <w:marLeft w:val="0"/>
                  <w:marRight w:val="0"/>
                  <w:marTop w:val="0"/>
                  <w:marBottom w:val="0"/>
                  <w:divBdr>
                    <w:top w:val="none" w:sz="0" w:space="0" w:color="auto"/>
                    <w:left w:val="none" w:sz="0" w:space="0" w:color="auto"/>
                    <w:bottom w:val="none" w:sz="0" w:space="0" w:color="auto"/>
                    <w:right w:val="none" w:sz="0" w:space="0" w:color="auto"/>
                  </w:divBdr>
                </w:div>
              </w:divsChild>
            </w:div>
            <w:div w:id="1598324267">
              <w:marLeft w:val="0"/>
              <w:marRight w:val="0"/>
              <w:marTop w:val="0"/>
              <w:marBottom w:val="0"/>
              <w:divBdr>
                <w:top w:val="none" w:sz="0" w:space="0" w:color="auto"/>
                <w:left w:val="none" w:sz="0" w:space="0" w:color="auto"/>
                <w:bottom w:val="none" w:sz="0" w:space="0" w:color="auto"/>
                <w:right w:val="none" w:sz="0" w:space="0" w:color="auto"/>
              </w:divBdr>
              <w:divsChild>
                <w:div w:id="16853448">
                  <w:marLeft w:val="0"/>
                  <w:marRight w:val="0"/>
                  <w:marTop w:val="0"/>
                  <w:marBottom w:val="0"/>
                  <w:divBdr>
                    <w:top w:val="none" w:sz="0" w:space="0" w:color="auto"/>
                    <w:left w:val="none" w:sz="0" w:space="0" w:color="auto"/>
                    <w:bottom w:val="none" w:sz="0" w:space="0" w:color="auto"/>
                    <w:right w:val="none" w:sz="0" w:space="0" w:color="auto"/>
                  </w:divBdr>
                </w:div>
              </w:divsChild>
            </w:div>
            <w:div w:id="1737505244">
              <w:marLeft w:val="0"/>
              <w:marRight w:val="0"/>
              <w:marTop w:val="0"/>
              <w:marBottom w:val="0"/>
              <w:divBdr>
                <w:top w:val="none" w:sz="0" w:space="0" w:color="auto"/>
                <w:left w:val="none" w:sz="0" w:space="0" w:color="auto"/>
                <w:bottom w:val="none" w:sz="0" w:space="0" w:color="auto"/>
                <w:right w:val="none" w:sz="0" w:space="0" w:color="auto"/>
              </w:divBdr>
              <w:divsChild>
                <w:div w:id="634407754">
                  <w:marLeft w:val="0"/>
                  <w:marRight w:val="0"/>
                  <w:marTop w:val="0"/>
                  <w:marBottom w:val="0"/>
                  <w:divBdr>
                    <w:top w:val="none" w:sz="0" w:space="0" w:color="auto"/>
                    <w:left w:val="none" w:sz="0" w:space="0" w:color="auto"/>
                    <w:bottom w:val="none" w:sz="0" w:space="0" w:color="auto"/>
                    <w:right w:val="none" w:sz="0" w:space="0" w:color="auto"/>
                  </w:divBdr>
                </w:div>
              </w:divsChild>
            </w:div>
            <w:div w:id="1766223389">
              <w:marLeft w:val="0"/>
              <w:marRight w:val="0"/>
              <w:marTop w:val="0"/>
              <w:marBottom w:val="0"/>
              <w:divBdr>
                <w:top w:val="none" w:sz="0" w:space="0" w:color="auto"/>
                <w:left w:val="none" w:sz="0" w:space="0" w:color="auto"/>
                <w:bottom w:val="none" w:sz="0" w:space="0" w:color="auto"/>
                <w:right w:val="none" w:sz="0" w:space="0" w:color="auto"/>
              </w:divBdr>
              <w:divsChild>
                <w:div w:id="1167017958">
                  <w:marLeft w:val="0"/>
                  <w:marRight w:val="0"/>
                  <w:marTop w:val="0"/>
                  <w:marBottom w:val="0"/>
                  <w:divBdr>
                    <w:top w:val="none" w:sz="0" w:space="0" w:color="auto"/>
                    <w:left w:val="none" w:sz="0" w:space="0" w:color="auto"/>
                    <w:bottom w:val="none" w:sz="0" w:space="0" w:color="auto"/>
                    <w:right w:val="none" w:sz="0" w:space="0" w:color="auto"/>
                  </w:divBdr>
                </w:div>
              </w:divsChild>
            </w:div>
            <w:div w:id="1942638025">
              <w:marLeft w:val="0"/>
              <w:marRight w:val="0"/>
              <w:marTop w:val="0"/>
              <w:marBottom w:val="0"/>
              <w:divBdr>
                <w:top w:val="none" w:sz="0" w:space="0" w:color="auto"/>
                <w:left w:val="none" w:sz="0" w:space="0" w:color="auto"/>
                <w:bottom w:val="none" w:sz="0" w:space="0" w:color="auto"/>
                <w:right w:val="none" w:sz="0" w:space="0" w:color="auto"/>
              </w:divBdr>
              <w:divsChild>
                <w:div w:id="1110854297">
                  <w:marLeft w:val="0"/>
                  <w:marRight w:val="0"/>
                  <w:marTop w:val="0"/>
                  <w:marBottom w:val="0"/>
                  <w:divBdr>
                    <w:top w:val="none" w:sz="0" w:space="0" w:color="auto"/>
                    <w:left w:val="none" w:sz="0" w:space="0" w:color="auto"/>
                    <w:bottom w:val="none" w:sz="0" w:space="0" w:color="auto"/>
                    <w:right w:val="none" w:sz="0" w:space="0" w:color="auto"/>
                  </w:divBdr>
                </w:div>
              </w:divsChild>
            </w:div>
            <w:div w:id="1967274253">
              <w:marLeft w:val="0"/>
              <w:marRight w:val="0"/>
              <w:marTop w:val="0"/>
              <w:marBottom w:val="0"/>
              <w:divBdr>
                <w:top w:val="none" w:sz="0" w:space="0" w:color="auto"/>
                <w:left w:val="none" w:sz="0" w:space="0" w:color="auto"/>
                <w:bottom w:val="none" w:sz="0" w:space="0" w:color="auto"/>
                <w:right w:val="none" w:sz="0" w:space="0" w:color="auto"/>
              </w:divBdr>
              <w:divsChild>
                <w:div w:id="1695573255">
                  <w:marLeft w:val="0"/>
                  <w:marRight w:val="0"/>
                  <w:marTop w:val="0"/>
                  <w:marBottom w:val="0"/>
                  <w:divBdr>
                    <w:top w:val="none" w:sz="0" w:space="0" w:color="auto"/>
                    <w:left w:val="none" w:sz="0" w:space="0" w:color="auto"/>
                    <w:bottom w:val="none" w:sz="0" w:space="0" w:color="auto"/>
                    <w:right w:val="none" w:sz="0" w:space="0" w:color="auto"/>
                  </w:divBdr>
                </w:div>
              </w:divsChild>
            </w:div>
            <w:div w:id="2018463458">
              <w:marLeft w:val="0"/>
              <w:marRight w:val="0"/>
              <w:marTop w:val="0"/>
              <w:marBottom w:val="0"/>
              <w:divBdr>
                <w:top w:val="none" w:sz="0" w:space="0" w:color="auto"/>
                <w:left w:val="none" w:sz="0" w:space="0" w:color="auto"/>
                <w:bottom w:val="none" w:sz="0" w:space="0" w:color="auto"/>
                <w:right w:val="none" w:sz="0" w:space="0" w:color="auto"/>
              </w:divBdr>
              <w:divsChild>
                <w:div w:id="1504127666">
                  <w:marLeft w:val="0"/>
                  <w:marRight w:val="0"/>
                  <w:marTop w:val="0"/>
                  <w:marBottom w:val="0"/>
                  <w:divBdr>
                    <w:top w:val="none" w:sz="0" w:space="0" w:color="auto"/>
                    <w:left w:val="none" w:sz="0" w:space="0" w:color="auto"/>
                    <w:bottom w:val="none" w:sz="0" w:space="0" w:color="auto"/>
                    <w:right w:val="none" w:sz="0" w:space="0" w:color="auto"/>
                  </w:divBdr>
                </w:div>
              </w:divsChild>
            </w:div>
            <w:div w:id="2031760795">
              <w:marLeft w:val="0"/>
              <w:marRight w:val="0"/>
              <w:marTop w:val="0"/>
              <w:marBottom w:val="0"/>
              <w:divBdr>
                <w:top w:val="none" w:sz="0" w:space="0" w:color="auto"/>
                <w:left w:val="none" w:sz="0" w:space="0" w:color="auto"/>
                <w:bottom w:val="none" w:sz="0" w:space="0" w:color="auto"/>
                <w:right w:val="none" w:sz="0" w:space="0" w:color="auto"/>
              </w:divBdr>
              <w:divsChild>
                <w:div w:id="124199761">
                  <w:marLeft w:val="0"/>
                  <w:marRight w:val="0"/>
                  <w:marTop w:val="0"/>
                  <w:marBottom w:val="0"/>
                  <w:divBdr>
                    <w:top w:val="none" w:sz="0" w:space="0" w:color="auto"/>
                    <w:left w:val="none" w:sz="0" w:space="0" w:color="auto"/>
                    <w:bottom w:val="none" w:sz="0" w:space="0" w:color="auto"/>
                    <w:right w:val="none" w:sz="0" w:space="0" w:color="auto"/>
                  </w:divBdr>
                </w:div>
              </w:divsChild>
            </w:div>
            <w:div w:id="2145272208">
              <w:marLeft w:val="0"/>
              <w:marRight w:val="0"/>
              <w:marTop w:val="0"/>
              <w:marBottom w:val="0"/>
              <w:divBdr>
                <w:top w:val="none" w:sz="0" w:space="0" w:color="auto"/>
                <w:left w:val="none" w:sz="0" w:space="0" w:color="auto"/>
                <w:bottom w:val="none" w:sz="0" w:space="0" w:color="auto"/>
                <w:right w:val="none" w:sz="0" w:space="0" w:color="auto"/>
              </w:divBdr>
              <w:divsChild>
                <w:div w:id="9718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491">
          <w:marLeft w:val="0"/>
          <w:marRight w:val="0"/>
          <w:marTop w:val="0"/>
          <w:marBottom w:val="0"/>
          <w:divBdr>
            <w:top w:val="none" w:sz="0" w:space="0" w:color="auto"/>
            <w:left w:val="none" w:sz="0" w:space="0" w:color="auto"/>
            <w:bottom w:val="none" w:sz="0" w:space="0" w:color="auto"/>
            <w:right w:val="none" w:sz="0" w:space="0" w:color="auto"/>
          </w:divBdr>
        </w:div>
        <w:div w:id="216744706">
          <w:marLeft w:val="-75"/>
          <w:marRight w:val="0"/>
          <w:marTop w:val="30"/>
          <w:marBottom w:val="30"/>
          <w:divBdr>
            <w:top w:val="none" w:sz="0" w:space="0" w:color="auto"/>
            <w:left w:val="none" w:sz="0" w:space="0" w:color="auto"/>
            <w:bottom w:val="none" w:sz="0" w:space="0" w:color="auto"/>
            <w:right w:val="none" w:sz="0" w:space="0" w:color="auto"/>
          </w:divBdr>
          <w:divsChild>
            <w:div w:id="262693847">
              <w:marLeft w:val="0"/>
              <w:marRight w:val="0"/>
              <w:marTop w:val="0"/>
              <w:marBottom w:val="0"/>
              <w:divBdr>
                <w:top w:val="none" w:sz="0" w:space="0" w:color="auto"/>
                <w:left w:val="none" w:sz="0" w:space="0" w:color="auto"/>
                <w:bottom w:val="none" w:sz="0" w:space="0" w:color="auto"/>
                <w:right w:val="none" w:sz="0" w:space="0" w:color="auto"/>
              </w:divBdr>
              <w:divsChild>
                <w:div w:id="1604916683">
                  <w:marLeft w:val="0"/>
                  <w:marRight w:val="0"/>
                  <w:marTop w:val="0"/>
                  <w:marBottom w:val="0"/>
                  <w:divBdr>
                    <w:top w:val="none" w:sz="0" w:space="0" w:color="auto"/>
                    <w:left w:val="none" w:sz="0" w:space="0" w:color="auto"/>
                    <w:bottom w:val="none" w:sz="0" w:space="0" w:color="auto"/>
                    <w:right w:val="none" w:sz="0" w:space="0" w:color="auto"/>
                  </w:divBdr>
                </w:div>
              </w:divsChild>
            </w:div>
            <w:div w:id="263341157">
              <w:marLeft w:val="0"/>
              <w:marRight w:val="0"/>
              <w:marTop w:val="0"/>
              <w:marBottom w:val="0"/>
              <w:divBdr>
                <w:top w:val="none" w:sz="0" w:space="0" w:color="auto"/>
                <w:left w:val="none" w:sz="0" w:space="0" w:color="auto"/>
                <w:bottom w:val="none" w:sz="0" w:space="0" w:color="auto"/>
                <w:right w:val="none" w:sz="0" w:space="0" w:color="auto"/>
              </w:divBdr>
              <w:divsChild>
                <w:div w:id="962737029">
                  <w:marLeft w:val="0"/>
                  <w:marRight w:val="0"/>
                  <w:marTop w:val="0"/>
                  <w:marBottom w:val="0"/>
                  <w:divBdr>
                    <w:top w:val="none" w:sz="0" w:space="0" w:color="auto"/>
                    <w:left w:val="none" w:sz="0" w:space="0" w:color="auto"/>
                    <w:bottom w:val="none" w:sz="0" w:space="0" w:color="auto"/>
                    <w:right w:val="none" w:sz="0" w:space="0" w:color="auto"/>
                  </w:divBdr>
                </w:div>
              </w:divsChild>
            </w:div>
            <w:div w:id="263727283">
              <w:marLeft w:val="0"/>
              <w:marRight w:val="0"/>
              <w:marTop w:val="0"/>
              <w:marBottom w:val="0"/>
              <w:divBdr>
                <w:top w:val="none" w:sz="0" w:space="0" w:color="auto"/>
                <w:left w:val="none" w:sz="0" w:space="0" w:color="auto"/>
                <w:bottom w:val="none" w:sz="0" w:space="0" w:color="auto"/>
                <w:right w:val="none" w:sz="0" w:space="0" w:color="auto"/>
              </w:divBdr>
              <w:divsChild>
                <w:div w:id="344206786">
                  <w:marLeft w:val="0"/>
                  <w:marRight w:val="0"/>
                  <w:marTop w:val="0"/>
                  <w:marBottom w:val="0"/>
                  <w:divBdr>
                    <w:top w:val="none" w:sz="0" w:space="0" w:color="auto"/>
                    <w:left w:val="none" w:sz="0" w:space="0" w:color="auto"/>
                    <w:bottom w:val="none" w:sz="0" w:space="0" w:color="auto"/>
                    <w:right w:val="none" w:sz="0" w:space="0" w:color="auto"/>
                  </w:divBdr>
                </w:div>
              </w:divsChild>
            </w:div>
            <w:div w:id="359018739">
              <w:marLeft w:val="0"/>
              <w:marRight w:val="0"/>
              <w:marTop w:val="0"/>
              <w:marBottom w:val="0"/>
              <w:divBdr>
                <w:top w:val="none" w:sz="0" w:space="0" w:color="auto"/>
                <w:left w:val="none" w:sz="0" w:space="0" w:color="auto"/>
                <w:bottom w:val="none" w:sz="0" w:space="0" w:color="auto"/>
                <w:right w:val="none" w:sz="0" w:space="0" w:color="auto"/>
              </w:divBdr>
              <w:divsChild>
                <w:div w:id="1541093911">
                  <w:marLeft w:val="0"/>
                  <w:marRight w:val="0"/>
                  <w:marTop w:val="0"/>
                  <w:marBottom w:val="0"/>
                  <w:divBdr>
                    <w:top w:val="none" w:sz="0" w:space="0" w:color="auto"/>
                    <w:left w:val="none" w:sz="0" w:space="0" w:color="auto"/>
                    <w:bottom w:val="none" w:sz="0" w:space="0" w:color="auto"/>
                    <w:right w:val="none" w:sz="0" w:space="0" w:color="auto"/>
                  </w:divBdr>
                </w:div>
              </w:divsChild>
            </w:div>
            <w:div w:id="395324929">
              <w:marLeft w:val="0"/>
              <w:marRight w:val="0"/>
              <w:marTop w:val="0"/>
              <w:marBottom w:val="0"/>
              <w:divBdr>
                <w:top w:val="none" w:sz="0" w:space="0" w:color="auto"/>
                <w:left w:val="none" w:sz="0" w:space="0" w:color="auto"/>
                <w:bottom w:val="none" w:sz="0" w:space="0" w:color="auto"/>
                <w:right w:val="none" w:sz="0" w:space="0" w:color="auto"/>
              </w:divBdr>
              <w:divsChild>
                <w:div w:id="189531377">
                  <w:marLeft w:val="0"/>
                  <w:marRight w:val="0"/>
                  <w:marTop w:val="0"/>
                  <w:marBottom w:val="0"/>
                  <w:divBdr>
                    <w:top w:val="none" w:sz="0" w:space="0" w:color="auto"/>
                    <w:left w:val="none" w:sz="0" w:space="0" w:color="auto"/>
                    <w:bottom w:val="none" w:sz="0" w:space="0" w:color="auto"/>
                    <w:right w:val="none" w:sz="0" w:space="0" w:color="auto"/>
                  </w:divBdr>
                </w:div>
              </w:divsChild>
            </w:div>
            <w:div w:id="461653086">
              <w:marLeft w:val="0"/>
              <w:marRight w:val="0"/>
              <w:marTop w:val="0"/>
              <w:marBottom w:val="0"/>
              <w:divBdr>
                <w:top w:val="none" w:sz="0" w:space="0" w:color="auto"/>
                <w:left w:val="none" w:sz="0" w:space="0" w:color="auto"/>
                <w:bottom w:val="none" w:sz="0" w:space="0" w:color="auto"/>
                <w:right w:val="none" w:sz="0" w:space="0" w:color="auto"/>
              </w:divBdr>
              <w:divsChild>
                <w:div w:id="1380518289">
                  <w:marLeft w:val="0"/>
                  <w:marRight w:val="0"/>
                  <w:marTop w:val="0"/>
                  <w:marBottom w:val="0"/>
                  <w:divBdr>
                    <w:top w:val="none" w:sz="0" w:space="0" w:color="auto"/>
                    <w:left w:val="none" w:sz="0" w:space="0" w:color="auto"/>
                    <w:bottom w:val="none" w:sz="0" w:space="0" w:color="auto"/>
                    <w:right w:val="none" w:sz="0" w:space="0" w:color="auto"/>
                  </w:divBdr>
                </w:div>
              </w:divsChild>
            </w:div>
            <w:div w:id="600335175">
              <w:marLeft w:val="0"/>
              <w:marRight w:val="0"/>
              <w:marTop w:val="0"/>
              <w:marBottom w:val="0"/>
              <w:divBdr>
                <w:top w:val="none" w:sz="0" w:space="0" w:color="auto"/>
                <w:left w:val="none" w:sz="0" w:space="0" w:color="auto"/>
                <w:bottom w:val="none" w:sz="0" w:space="0" w:color="auto"/>
                <w:right w:val="none" w:sz="0" w:space="0" w:color="auto"/>
              </w:divBdr>
              <w:divsChild>
                <w:div w:id="1617716185">
                  <w:marLeft w:val="0"/>
                  <w:marRight w:val="0"/>
                  <w:marTop w:val="0"/>
                  <w:marBottom w:val="0"/>
                  <w:divBdr>
                    <w:top w:val="none" w:sz="0" w:space="0" w:color="auto"/>
                    <w:left w:val="none" w:sz="0" w:space="0" w:color="auto"/>
                    <w:bottom w:val="none" w:sz="0" w:space="0" w:color="auto"/>
                    <w:right w:val="none" w:sz="0" w:space="0" w:color="auto"/>
                  </w:divBdr>
                </w:div>
              </w:divsChild>
            </w:div>
            <w:div w:id="726994823">
              <w:marLeft w:val="0"/>
              <w:marRight w:val="0"/>
              <w:marTop w:val="0"/>
              <w:marBottom w:val="0"/>
              <w:divBdr>
                <w:top w:val="none" w:sz="0" w:space="0" w:color="auto"/>
                <w:left w:val="none" w:sz="0" w:space="0" w:color="auto"/>
                <w:bottom w:val="none" w:sz="0" w:space="0" w:color="auto"/>
                <w:right w:val="none" w:sz="0" w:space="0" w:color="auto"/>
              </w:divBdr>
              <w:divsChild>
                <w:div w:id="2058629188">
                  <w:marLeft w:val="0"/>
                  <w:marRight w:val="0"/>
                  <w:marTop w:val="0"/>
                  <w:marBottom w:val="0"/>
                  <w:divBdr>
                    <w:top w:val="none" w:sz="0" w:space="0" w:color="auto"/>
                    <w:left w:val="none" w:sz="0" w:space="0" w:color="auto"/>
                    <w:bottom w:val="none" w:sz="0" w:space="0" w:color="auto"/>
                    <w:right w:val="none" w:sz="0" w:space="0" w:color="auto"/>
                  </w:divBdr>
                </w:div>
              </w:divsChild>
            </w:div>
            <w:div w:id="741676723">
              <w:marLeft w:val="0"/>
              <w:marRight w:val="0"/>
              <w:marTop w:val="0"/>
              <w:marBottom w:val="0"/>
              <w:divBdr>
                <w:top w:val="none" w:sz="0" w:space="0" w:color="auto"/>
                <w:left w:val="none" w:sz="0" w:space="0" w:color="auto"/>
                <w:bottom w:val="none" w:sz="0" w:space="0" w:color="auto"/>
                <w:right w:val="none" w:sz="0" w:space="0" w:color="auto"/>
              </w:divBdr>
              <w:divsChild>
                <w:div w:id="1897158950">
                  <w:marLeft w:val="0"/>
                  <w:marRight w:val="0"/>
                  <w:marTop w:val="0"/>
                  <w:marBottom w:val="0"/>
                  <w:divBdr>
                    <w:top w:val="none" w:sz="0" w:space="0" w:color="auto"/>
                    <w:left w:val="none" w:sz="0" w:space="0" w:color="auto"/>
                    <w:bottom w:val="none" w:sz="0" w:space="0" w:color="auto"/>
                    <w:right w:val="none" w:sz="0" w:space="0" w:color="auto"/>
                  </w:divBdr>
                </w:div>
              </w:divsChild>
            </w:div>
            <w:div w:id="821966014">
              <w:marLeft w:val="0"/>
              <w:marRight w:val="0"/>
              <w:marTop w:val="0"/>
              <w:marBottom w:val="0"/>
              <w:divBdr>
                <w:top w:val="none" w:sz="0" w:space="0" w:color="auto"/>
                <w:left w:val="none" w:sz="0" w:space="0" w:color="auto"/>
                <w:bottom w:val="none" w:sz="0" w:space="0" w:color="auto"/>
                <w:right w:val="none" w:sz="0" w:space="0" w:color="auto"/>
              </w:divBdr>
              <w:divsChild>
                <w:div w:id="1984189017">
                  <w:marLeft w:val="0"/>
                  <w:marRight w:val="0"/>
                  <w:marTop w:val="0"/>
                  <w:marBottom w:val="0"/>
                  <w:divBdr>
                    <w:top w:val="none" w:sz="0" w:space="0" w:color="auto"/>
                    <w:left w:val="none" w:sz="0" w:space="0" w:color="auto"/>
                    <w:bottom w:val="none" w:sz="0" w:space="0" w:color="auto"/>
                    <w:right w:val="none" w:sz="0" w:space="0" w:color="auto"/>
                  </w:divBdr>
                </w:div>
              </w:divsChild>
            </w:div>
            <w:div w:id="897518682">
              <w:marLeft w:val="0"/>
              <w:marRight w:val="0"/>
              <w:marTop w:val="0"/>
              <w:marBottom w:val="0"/>
              <w:divBdr>
                <w:top w:val="none" w:sz="0" w:space="0" w:color="auto"/>
                <w:left w:val="none" w:sz="0" w:space="0" w:color="auto"/>
                <w:bottom w:val="none" w:sz="0" w:space="0" w:color="auto"/>
                <w:right w:val="none" w:sz="0" w:space="0" w:color="auto"/>
              </w:divBdr>
              <w:divsChild>
                <w:div w:id="1154681598">
                  <w:marLeft w:val="0"/>
                  <w:marRight w:val="0"/>
                  <w:marTop w:val="0"/>
                  <w:marBottom w:val="0"/>
                  <w:divBdr>
                    <w:top w:val="none" w:sz="0" w:space="0" w:color="auto"/>
                    <w:left w:val="none" w:sz="0" w:space="0" w:color="auto"/>
                    <w:bottom w:val="none" w:sz="0" w:space="0" w:color="auto"/>
                    <w:right w:val="none" w:sz="0" w:space="0" w:color="auto"/>
                  </w:divBdr>
                </w:div>
              </w:divsChild>
            </w:div>
            <w:div w:id="1159492421">
              <w:marLeft w:val="0"/>
              <w:marRight w:val="0"/>
              <w:marTop w:val="0"/>
              <w:marBottom w:val="0"/>
              <w:divBdr>
                <w:top w:val="none" w:sz="0" w:space="0" w:color="auto"/>
                <w:left w:val="none" w:sz="0" w:space="0" w:color="auto"/>
                <w:bottom w:val="none" w:sz="0" w:space="0" w:color="auto"/>
                <w:right w:val="none" w:sz="0" w:space="0" w:color="auto"/>
              </w:divBdr>
              <w:divsChild>
                <w:div w:id="1795252833">
                  <w:marLeft w:val="0"/>
                  <w:marRight w:val="0"/>
                  <w:marTop w:val="0"/>
                  <w:marBottom w:val="0"/>
                  <w:divBdr>
                    <w:top w:val="none" w:sz="0" w:space="0" w:color="auto"/>
                    <w:left w:val="none" w:sz="0" w:space="0" w:color="auto"/>
                    <w:bottom w:val="none" w:sz="0" w:space="0" w:color="auto"/>
                    <w:right w:val="none" w:sz="0" w:space="0" w:color="auto"/>
                  </w:divBdr>
                </w:div>
              </w:divsChild>
            </w:div>
            <w:div w:id="1173187022">
              <w:marLeft w:val="0"/>
              <w:marRight w:val="0"/>
              <w:marTop w:val="0"/>
              <w:marBottom w:val="0"/>
              <w:divBdr>
                <w:top w:val="none" w:sz="0" w:space="0" w:color="auto"/>
                <w:left w:val="none" w:sz="0" w:space="0" w:color="auto"/>
                <w:bottom w:val="none" w:sz="0" w:space="0" w:color="auto"/>
                <w:right w:val="none" w:sz="0" w:space="0" w:color="auto"/>
              </w:divBdr>
              <w:divsChild>
                <w:div w:id="800198222">
                  <w:marLeft w:val="0"/>
                  <w:marRight w:val="0"/>
                  <w:marTop w:val="0"/>
                  <w:marBottom w:val="0"/>
                  <w:divBdr>
                    <w:top w:val="none" w:sz="0" w:space="0" w:color="auto"/>
                    <w:left w:val="none" w:sz="0" w:space="0" w:color="auto"/>
                    <w:bottom w:val="none" w:sz="0" w:space="0" w:color="auto"/>
                    <w:right w:val="none" w:sz="0" w:space="0" w:color="auto"/>
                  </w:divBdr>
                </w:div>
              </w:divsChild>
            </w:div>
            <w:div w:id="1217742106">
              <w:marLeft w:val="0"/>
              <w:marRight w:val="0"/>
              <w:marTop w:val="0"/>
              <w:marBottom w:val="0"/>
              <w:divBdr>
                <w:top w:val="none" w:sz="0" w:space="0" w:color="auto"/>
                <w:left w:val="none" w:sz="0" w:space="0" w:color="auto"/>
                <w:bottom w:val="none" w:sz="0" w:space="0" w:color="auto"/>
                <w:right w:val="none" w:sz="0" w:space="0" w:color="auto"/>
              </w:divBdr>
              <w:divsChild>
                <w:div w:id="1523738850">
                  <w:marLeft w:val="0"/>
                  <w:marRight w:val="0"/>
                  <w:marTop w:val="0"/>
                  <w:marBottom w:val="0"/>
                  <w:divBdr>
                    <w:top w:val="none" w:sz="0" w:space="0" w:color="auto"/>
                    <w:left w:val="none" w:sz="0" w:space="0" w:color="auto"/>
                    <w:bottom w:val="none" w:sz="0" w:space="0" w:color="auto"/>
                    <w:right w:val="none" w:sz="0" w:space="0" w:color="auto"/>
                  </w:divBdr>
                </w:div>
              </w:divsChild>
            </w:div>
            <w:div w:id="1416122057">
              <w:marLeft w:val="0"/>
              <w:marRight w:val="0"/>
              <w:marTop w:val="0"/>
              <w:marBottom w:val="0"/>
              <w:divBdr>
                <w:top w:val="none" w:sz="0" w:space="0" w:color="auto"/>
                <w:left w:val="none" w:sz="0" w:space="0" w:color="auto"/>
                <w:bottom w:val="none" w:sz="0" w:space="0" w:color="auto"/>
                <w:right w:val="none" w:sz="0" w:space="0" w:color="auto"/>
              </w:divBdr>
              <w:divsChild>
                <w:div w:id="1624191335">
                  <w:marLeft w:val="0"/>
                  <w:marRight w:val="0"/>
                  <w:marTop w:val="0"/>
                  <w:marBottom w:val="0"/>
                  <w:divBdr>
                    <w:top w:val="none" w:sz="0" w:space="0" w:color="auto"/>
                    <w:left w:val="none" w:sz="0" w:space="0" w:color="auto"/>
                    <w:bottom w:val="none" w:sz="0" w:space="0" w:color="auto"/>
                    <w:right w:val="none" w:sz="0" w:space="0" w:color="auto"/>
                  </w:divBdr>
                </w:div>
              </w:divsChild>
            </w:div>
            <w:div w:id="1420372937">
              <w:marLeft w:val="0"/>
              <w:marRight w:val="0"/>
              <w:marTop w:val="0"/>
              <w:marBottom w:val="0"/>
              <w:divBdr>
                <w:top w:val="none" w:sz="0" w:space="0" w:color="auto"/>
                <w:left w:val="none" w:sz="0" w:space="0" w:color="auto"/>
                <w:bottom w:val="none" w:sz="0" w:space="0" w:color="auto"/>
                <w:right w:val="none" w:sz="0" w:space="0" w:color="auto"/>
              </w:divBdr>
              <w:divsChild>
                <w:div w:id="1011032165">
                  <w:marLeft w:val="0"/>
                  <w:marRight w:val="0"/>
                  <w:marTop w:val="0"/>
                  <w:marBottom w:val="0"/>
                  <w:divBdr>
                    <w:top w:val="none" w:sz="0" w:space="0" w:color="auto"/>
                    <w:left w:val="none" w:sz="0" w:space="0" w:color="auto"/>
                    <w:bottom w:val="none" w:sz="0" w:space="0" w:color="auto"/>
                    <w:right w:val="none" w:sz="0" w:space="0" w:color="auto"/>
                  </w:divBdr>
                </w:div>
              </w:divsChild>
            </w:div>
            <w:div w:id="1451632305">
              <w:marLeft w:val="0"/>
              <w:marRight w:val="0"/>
              <w:marTop w:val="0"/>
              <w:marBottom w:val="0"/>
              <w:divBdr>
                <w:top w:val="none" w:sz="0" w:space="0" w:color="auto"/>
                <w:left w:val="none" w:sz="0" w:space="0" w:color="auto"/>
                <w:bottom w:val="none" w:sz="0" w:space="0" w:color="auto"/>
                <w:right w:val="none" w:sz="0" w:space="0" w:color="auto"/>
              </w:divBdr>
              <w:divsChild>
                <w:div w:id="579675167">
                  <w:marLeft w:val="0"/>
                  <w:marRight w:val="0"/>
                  <w:marTop w:val="0"/>
                  <w:marBottom w:val="0"/>
                  <w:divBdr>
                    <w:top w:val="none" w:sz="0" w:space="0" w:color="auto"/>
                    <w:left w:val="none" w:sz="0" w:space="0" w:color="auto"/>
                    <w:bottom w:val="none" w:sz="0" w:space="0" w:color="auto"/>
                    <w:right w:val="none" w:sz="0" w:space="0" w:color="auto"/>
                  </w:divBdr>
                </w:div>
              </w:divsChild>
            </w:div>
            <w:div w:id="1513449727">
              <w:marLeft w:val="0"/>
              <w:marRight w:val="0"/>
              <w:marTop w:val="0"/>
              <w:marBottom w:val="0"/>
              <w:divBdr>
                <w:top w:val="none" w:sz="0" w:space="0" w:color="auto"/>
                <w:left w:val="none" w:sz="0" w:space="0" w:color="auto"/>
                <w:bottom w:val="none" w:sz="0" w:space="0" w:color="auto"/>
                <w:right w:val="none" w:sz="0" w:space="0" w:color="auto"/>
              </w:divBdr>
              <w:divsChild>
                <w:div w:id="1767916401">
                  <w:marLeft w:val="0"/>
                  <w:marRight w:val="0"/>
                  <w:marTop w:val="0"/>
                  <w:marBottom w:val="0"/>
                  <w:divBdr>
                    <w:top w:val="none" w:sz="0" w:space="0" w:color="auto"/>
                    <w:left w:val="none" w:sz="0" w:space="0" w:color="auto"/>
                    <w:bottom w:val="none" w:sz="0" w:space="0" w:color="auto"/>
                    <w:right w:val="none" w:sz="0" w:space="0" w:color="auto"/>
                  </w:divBdr>
                </w:div>
              </w:divsChild>
            </w:div>
            <w:div w:id="1784224829">
              <w:marLeft w:val="0"/>
              <w:marRight w:val="0"/>
              <w:marTop w:val="0"/>
              <w:marBottom w:val="0"/>
              <w:divBdr>
                <w:top w:val="none" w:sz="0" w:space="0" w:color="auto"/>
                <w:left w:val="none" w:sz="0" w:space="0" w:color="auto"/>
                <w:bottom w:val="none" w:sz="0" w:space="0" w:color="auto"/>
                <w:right w:val="none" w:sz="0" w:space="0" w:color="auto"/>
              </w:divBdr>
              <w:divsChild>
                <w:div w:id="1008488570">
                  <w:marLeft w:val="0"/>
                  <w:marRight w:val="0"/>
                  <w:marTop w:val="0"/>
                  <w:marBottom w:val="0"/>
                  <w:divBdr>
                    <w:top w:val="none" w:sz="0" w:space="0" w:color="auto"/>
                    <w:left w:val="none" w:sz="0" w:space="0" w:color="auto"/>
                    <w:bottom w:val="none" w:sz="0" w:space="0" w:color="auto"/>
                    <w:right w:val="none" w:sz="0" w:space="0" w:color="auto"/>
                  </w:divBdr>
                </w:div>
              </w:divsChild>
            </w:div>
            <w:div w:id="2114399463">
              <w:marLeft w:val="0"/>
              <w:marRight w:val="0"/>
              <w:marTop w:val="0"/>
              <w:marBottom w:val="0"/>
              <w:divBdr>
                <w:top w:val="none" w:sz="0" w:space="0" w:color="auto"/>
                <w:left w:val="none" w:sz="0" w:space="0" w:color="auto"/>
                <w:bottom w:val="none" w:sz="0" w:space="0" w:color="auto"/>
                <w:right w:val="none" w:sz="0" w:space="0" w:color="auto"/>
              </w:divBdr>
              <w:divsChild>
                <w:div w:id="107763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9282">
          <w:marLeft w:val="0"/>
          <w:marRight w:val="0"/>
          <w:marTop w:val="0"/>
          <w:marBottom w:val="0"/>
          <w:divBdr>
            <w:top w:val="none" w:sz="0" w:space="0" w:color="auto"/>
            <w:left w:val="none" w:sz="0" w:space="0" w:color="auto"/>
            <w:bottom w:val="none" w:sz="0" w:space="0" w:color="auto"/>
            <w:right w:val="none" w:sz="0" w:space="0" w:color="auto"/>
          </w:divBdr>
        </w:div>
        <w:div w:id="467016190">
          <w:marLeft w:val="0"/>
          <w:marRight w:val="0"/>
          <w:marTop w:val="0"/>
          <w:marBottom w:val="0"/>
          <w:divBdr>
            <w:top w:val="none" w:sz="0" w:space="0" w:color="auto"/>
            <w:left w:val="none" w:sz="0" w:space="0" w:color="auto"/>
            <w:bottom w:val="none" w:sz="0" w:space="0" w:color="auto"/>
            <w:right w:val="none" w:sz="0" w:space="0" w:color="auto"/>
          </w:divBdr>
        </w:div>
        <w:div w:id="769621124">
          <w:marLeft w:val="0"/>
          <w:marRight w:val="0"/>
          <w:marTop w:val="0"/>
          <w:marBottom w:val="0"/>
          <w:divBdr>
            <w:top w:val="none" w:sz="0" w:space="0" w:color="auto"/>
            <w:left w:val="none" w:sz="0" w:space="0" w:color="auto"/>
            <w:bottom w:val="none" w:sz="0" w:space="0" w:color="auto"/>
            <w:right w:val="none" w:sz="0" w:space="0" w:color="auto"/>
          </w:divBdr>
        </w:div>
        <w:div w:id="788092133">
          <w:marLeft w:val="0"/>
          <w:marRight w:val="0"/>
          <w:marTop w:val="0"/>
          <w:marBottom w:val="0"/>
          <w:divBdr>
            <w:top w:val="none" w:sz="0" w:space="0" w:color="auto"/>
            <w:left w:val="none" w:sz="0" w:space="0" w:color="auto"/>
            <w:bottom w:val="none" w:sz="0" w:space="0" w:color="auto"/>
            <w:right w:val="none" w:sz="0" w:space="0" w:color="auto"/>
          </w:divBdr>
        </w:div>
        <w:div w:id="1361130268">
          <w:marLeft w:val="0"/>
          <w:marRight w:val="0"/>
          <w:marTop w:val="0"/>
          <w:marBottom w:val="0"/>
          <w:divBdr>
            <w:top w:val="none" w:sz="0" w:space="0" w:color="auto"/>
            <w:left w:val="none" w:sz="0" w:space="0" w:color="auto"/>
            <w:bottom w:val="none" w:sz="0" w:space="0" w:color="auto"/>
            <w:right w:val="none" w:sz="0" w:space="0" w:color="auto"/>
          </w:divBdr>
        </w:div>
        <w:div w:id="1383868798">
          <w:marLeft w:val="0"/>
          <w:marRight w:val="0"/>
          <w:marTop w:val="0"/>
          <w:marBottom w:val="0"/>
          <w:divBdr>
            <w:top w:val="none" w:sz="0" w:space="0" w:color="auto"/>
            <w:left w:val="none" w:sz="0" w:space="0" w:color="auto"/>
            <w:bottom w:val="none" w:sz="0" w:space="0" w:color="auto"/>
            <w:right w:val="none" w:sz="0" w:space="0" w:color="auto"/>
          </w:divBdr>
        </w:div>
        <w:div w:id="1527135572">
          <w:marLeft w:val="0"/>
          <w:marRight w:val="0"/>
          <w:marTop w:val="0"/>
          <w:marBottom w:val="0"/>
          <w:divBdr>
            <w:top w:val="none" w:sz="0" w:space="0" w:color="auto"/>
            <w:left w:val="none" w:sz="0" w:space="0" w:color="auto"/>
            <w:bottom w:val="none" w:sz="0" w:space="0" w:color="auto"/>
            <w:right w:val="none" w:sz="0" w:space="0" w:color="auto"/>
          </w:divBdr>
        </w:div>
        <w:div w:id="1907568828">
          <w:marLeft w:val="-75"/>
          <w:marRight w:val="0"/>
          <w:marTop w:val="30"/>
          <w:marBottom w:val="30"/>
          <w:divBdr>
            <w:top w:val="none" w:sz="0" w:space="0" w:color="auto"/>
            <w:left w:val="none" w:sz="0" w:space="0" w:color="auto"/>
            <w:bottom w:val="none" w:sz="0" w:space="0" w:color="auto"/>
            <w:right w:val="none" w:sz="0" w:space="0" w:color="auto"/>
          </w:divBdr>
          <w:divsChild>
            <w:div w:id="12155176">
              <w:marLeft w:val="0"/>
              <w:marRight w:val="0"/>
              <w:marTop w:val="0"/>
              <w:marBottom w:val="0"/>
              <w:divBdr>
                <w:top w:val="none" w:sz="0" w:space="0" w:color="auto"/>
                <w:left w:val="none" w:sz="0" w:space="0" w:color="auto"/>
                <w:bottom w:val="none" w:sz="0" w:space="0" w:color="auto"/>
                <w:right w:val="none" w:sz="0" w:space="0" w:color="auto"/>
              </w:divBdr>
              <w:divsChild>
                <w:div w:id="1403797382">
                  <w:marLeft w:val="0"/>
                  <w:marRight w:val="0"/>
                  <w:marTop w:val="0"/>
                  <w:marBottom w:val="0"/>
                  <w:divBdr>
                    <w:top w:val="none" w:sz="0" w:space="0" w:color="auto"/>
                    <w:left w:val="none" w:sz="0" w:space="0" w:color="auto"/>
                    <w:bottom w:val="none" w:sz="0" w:space="0" w:color="auto"/>
                    <w:right w:val="none" w:sz="0" w:space="0" w:color="auto"/>
                  </w:divBdr>
                </w:div>
              </w:divsChild>
            </w:div>
            <w:div w:id="33621623">
              <w:marLeft w:val="0"/>
              <w:marRight w:val="0"/>
              <w:marTop w:val="0"/>
              <w:marBottom w:val="0"/>
              <w:divBdr>
                <w:top w:val="none" w:sz="0" w:space="0" w:color="auto"/>
                <w:left w:val="none" w:sz="0" w:space="0" w:color="auto"/>
                <w:bottom w:val="none" w:sz="0" w:space="0" w:color="auto"/>
                <w:right w:val="none" w:sz="0" w:space="0" w:color="auto"/>
              </w:divBdr>
              <w:divsChild>
                <w:div w:id="74329651">
                  <w:marLeft w:val="0"/>
                  <w:marRight w:val="0"/>
                  <w:marTop w:val="0"/>
                  <w:marBottom w:val="0"/>
                  <w:divBdr>
                    <w:top w:val="none" w:sz="0" w:space="0" w:color="auto"/>
                    <w:left w:val="none" w:sz="0" w:space="0" w:color="auto"/>
                    <w:bottom w:val="none" w:sz="0" w:space="0" w:color="auto"/>
                    <w:right w:val="none" w:sz="0" w:space="0" w:color="auto"/>
                  </w:divBdr>
                </w:div>
              </w:divsChild>
            </w:div>
            <w:div w:id="42945346">
              <w:marLeft w:val="0"/>
              <w:marRight w:val="0"/>
              <w:marTop w:val="0"/>
              <w:marBottom w:val="0"/>
              <w:divBdr>
                <w:top w:val="none" w:sz="0" w:space="0" w:color="auto"/>
                <w:left w:val="none" w:sz="0" w:space="0" w:color="auto"/>
                <w:bottom w:val="none" w:sz="0" w:space="0" w:color="auto"/>
                <w:right w:val="none" w:sz="0" w:space="0" w:color="auto"/>
              </w:divBdr>
              <w:divsChild>
                <w:div w:id="1203446736">
                  <w:marLeft w:val="0"/>
                  <w:marRight w:val="0"/>
                  <w:marTop w:val="0"/>
                  <w:marBottom w:val="0"/>
                  <w:divBdr>
                    <w:top w:val="none" w:sz="0" w:space="0" w:color="auto"/>
                    <w:left w:val="none" w:sz="0" w:space="0" w:color="auto"/>
                    <w:bottom w:val="none" w:sz="0" w:space="0" w:color="auto"/>
                    <w:right w:val="none" w:sz="0" w:space="0" w:color="auto"/>
                  </w:divBdr>
                </w:div>
              </w:divsChild>
            </w:div>
            <w:div w:id="287245194">
              <w:marLeft w:val="0"/>
              <w:marRight w:val="0"/>
              <w:marTop w:val="0"/>
              <w:marBottom w:val="0"/>
              <w:divBdr>
                <w:top w:val="none" w:sz="0" w:space="0" w:color="auto"/>
                <w:left w:val="none" w:sz="0" w:space="0" w:color="auto"/>
                <w:bottom w:val="none" w:sz="0" w:space="0" w:color="auto"/>
                <w:right w:val="none" w:sz="0" w:space="0" w:color="auto"/>
              </w:divBdr>
              <w:divsChild>
                <w:div w:id="432015451">
                  <w:marLeft w:val="0"/>
                  <w:marRight w:val="0"/>
                  <w:marTop w:val="0"/>
                  <w:marBottom w:val="0"/>
                  <w:divBdr>
                    <w:top w:val="none" w:sz="0" w:space="0" w:color="auto"/>
                    <w:left w:val="none" w:sz="0" w:space="0" w:color="auto"/>
                    <w:bottom w:val="none" w:sz="0" w:space="0" w:color="auto"/>
                    <w:right w:val="none" w:sz="0" w:space="0" w:color="auto"/>
                  </w:divBdr>
                </w:div>
              </w:divsChild>
            </w:div>
            <w:div w:id="432242432">
              <w:marLeft w:val="0"/>
              <w:marRight w:val="0"/>
              <w:marTop w:val="0"/>
              <w:marBottom w:val="0"/>
              <w:divBdr>
                <w:top w:val="none" w:sz="0" w:space="0" w:color="auto"/>
                <w:left w:val="none" w:sz="0" w:space="0" w:color="auto"/>
                <w:bottom w:val="none" w:sz="0" w:space="0" w:color="auto"/>
                <w:right w:val="none" w:sz="0" w:space="0" w:color="auto"/>
              </w:divBdr>
              <w:divsChild>
                <w:div w:id="496119125">
                  <w:marLeft w:val="0"/>
                  <w:marRight w:val="0"/>
                  <w:marTop w:val="0"/>
                  <w:marBottom w:val="0"/>
                  <w:divBdr>
                    <w:top w:val="none" w:sz="0" w:space="0" w:color="auto"/>
                    <w:left w:val="none" w:sz="0" w:space="0" w:color="auto"/>
                    <w:bottom w:val="none" w:sz="0" w:space="0" w:color="auto"/>
                    <w:right w:val="none" w:sz="0" w:space="0" w:color="auto"/>
                  </w:divBdr>
                </w:div>
              </w:divsChild>
            </w:div>
            <w:div w:id="451634093">
              <w:marLeft w:val="0"/>
              <w:marRight w:val="0"/>
              <w:marTop w:val="0"/>
              <w:marBottom w:val="0"/>
              <w:divBdr>
                <w:top w:val="none" w:sz="0" w:space="0" w:color="auto"/>
                <w:left w:val="none" w:sz="0" w:space="0" w:color="auto"/>
                <w:bottom w:val="none" w:sz="0" w:space="0" w:color="auto"/>
                <w:right w:val="none" w:sz="0" w:space="0" w:color="auto"/>
              </w:divBdr>
              <w:divsChild>
                <w:div w:id="734163396">
                  <w:marLeft w:val="0"/>
                  <w:marRight w:val="0"/>
                  <w:marTop w:val="0"/>
                  <w:marBottom w:val="0"/>
                  <w:divBdr>
                    <w:top w:val="none" w:sz="0" w:space="0" w:color="auto"/>
                    <w:left w:val="none" w:sz="0" w:space="0" w:color="auto"/>
                    <w:bottom w:val="none" w:sz="0" w:space="0" w:color="auto"/>
                    <w:right w:val="none" w:sz="0" w:space="0" w:color="auto"/>
                  </w:divBdr>
                </w:div>
              </w:divsChild>
            </w:div>
            <w:div w:id="531723188">
              <w:marLeft w:val="0"/>
              <w:marRight w:val="0"/>
              <w:marTop w:val="0"/>
              <w:marBottom w:val="0"/>
              <w:divBdr>
                <w:top w:val="none" w:sz="0" w:space="0" w:color="auto"/>
                <w:left w:val="none" w:sz="0" w:space="0" w:color="auto"/>
                <w:bottom w:val="none" w:sz="0" w:space="0" w:color="auto"/>
                <w:right w:val="none" w:sz="0" w:space="0" w:color="auto"/>
              </w:divBdr>
              <w:divsChild>
                <w:div w:id="92164793">
                  <w:marLeft w:val="0"/>
                  <w:marRight w:val="0"/>
                  <w:marTop w:val="0"/>
                  <w:marBottom w:val="0"/>
                  <w:divBdr>
                    <w:top w:val="none" w:sz="0" w:space="0" w:color="auto"/>
                    <w:left w:val="none" w:sz="0" w:space="0" w:color="auto"/>
                    <w:bottom w:val="none" w:sz="0" w:space="0" w:color="auto"/>
                    <w:right w:val="none" w:sz="0" w:space="0" w:color="auto"/>
                  </w:divBdr>
                </w:div>
              </w:divsChild>
            </w:div>
            <w:div w:id="580795649">
              <w:marLeft w:val="0"/>
              <w:marRight w:val="0"/>
              <w:marTop w:val="0"/>
              <w:marBottom w:val="0"/>
              <w:divBdr>
                <w:top w:val="none" w:sz="0" w:space="0" w:color="auto"/>
                <w:left w:val="none" w:sz="0" w:space="0" w:color="auto"/>
                <w:bottom w:val="none" w:sz="0" w:space="0" w:color="auto"/>
                <w:right w:val="none" w:sz="0" w:space="0" w:color="auto"/>
              </w:divBdr>
              <w:divsChild>
                <w:div w:id="1788887826">
                  <w:marLeft w:val="0"/>
                  <w:marRight w:val="0"/>
                  <w:marTop w:val="0"/>
                  <w:marBottom w:val="0"/>
                  <w:divBdr>
                    <w:top w:val="none" w:sz="0" w:space="0" w:color="auto"/>
                    <w:left w:val="none" w:sz="0" w:space="0" w:color="auto"/>
                    <w:bottom w:val="none" w:sz="0" w:space="0" w:color="auto"/>
                    <w:right w:val="none" w:sz="0" w:space="0" w:color="auto"/>
                  </w:divBdr>
                </w:div>
              </w:divsChild>
            </w:div>
            <w:div w:id="600798256">
              <w:marLeft w:val="0"/>
              <w:marRight w:val="0"/>
              <w:marTop w:val="0"/>
              <w:marBottom w:val="0"/>
              <w:divBdr>
                <w:top w:val="none" w:sz="0" w:space="0" w:color="auto"/>
                <w:left w:val="none" w:sz="0" w:space="0" w:color="auto"/>
                <w:bottom w:val="none" w:sz="0" w:space="0" w:color="auto"/>
                <w:right w:val="none" w:sz="0" w:space="0" w:color="auto"/>
              </w:divBdr>
              <w:divsChild>
                <w:div w:id="283316233">
                  <w:marLeft w:val="0"/>
                  <w:marRight w:val="0"/>
                  <w:marTop w:val="0"/>
                  <w:marBottom w:val="0"/>
                  <w:divBdr>
                    <w:top w:val="none" w:sz="0" w:space="0" w:color="auto"/>
                    <w:left w:val="none" w:sz="0" w:space="0" w:color="auto"/>
                    <w:bottom w:val="none" w:sz="0" w:space="0" w:color="auto"/>
                    <w:right w:val="none" w:sz="0" w:space="0" w:color="auto"/>
                  </w:divBdr>
                </w:div>
              </w:divsChild>
            </w:div>
            <w:div w:id="764232569">
              <w:marLeft w:val="0"/>
              <w:marRight w:val="0"/>
              <w:marTop w:val="0"/>
              <w:marBottom w:val="0"/>
              <w:divBdr>
                <w:top w:val="none" w:sz="0" w:space="0" w:color="auto"/>
                <w:left w:val="none" w:sz="0" w:space="0" w:color="auto"/>
                <w:bottom w:val="none" w:sz="0" w:space="0" w:color="auto"/>
                <w:right w:val="none" w:sz="0" w:space="0" w:color="auto"/>
              </w:divBdr>
              <w:divsChild>
                <w:div w:id="1763791382">
                  <w:marLeft w:val="0"/>
                  <w:marRight w:val="0"/>
                  <w:marTop w:val="0"/>
                  <w:marBottom w:val="0"/>
                  <w:divBdr>
                    <w:top w:val="none" w:sz="0" w:space="0" w:color="auto"/>
                    <w:left w:val="none" w:sz="0" w:space="0" w:color="auto"/>
                    <w:bottom w:val="none" w:sz="0" w:space="0" w:color="auto"/>
                    <w:right w:val="none" w:sz="0" w:space="0" w:color="auto"/>
                  </w:divBdr>
                </w:div>
              </w:divsChild>
            </w:div>
            <w:div w:id="770593043">
              <w:marLeft w:val="0"/>
              <w:marRight w:val="0"/>
              <w:marTop w:val="0"/>
              <w:marBottom w:val="0"/>
              <w:divBdr>
                <w:top w:val="none" w:sz="0" w:space="0" w:color="auto"/>
                <w:left w:val="none" w:sz="0" w:space="0" w:color="auto"/>
                <w:bottom w:val="none" w:sz="0" w:space="0" w:color="auto"/>
                <w:right w:val="none" w:sz="0" w:space="0" w:color="auto"/>
              </w:divBdr>
              <w:divsChild>
                <w:div w:id="1521312462">
                  <w:marLeft w:val="0"/>
                  <w:marRight w:val="0"/>
                  <w:marTop w:val="0"/>
                  <w:marBottom w:val="0"/>
                  <w:divBdr>
                    <w:top w:val="none" w:sz="0" w:space="0" w:color="auto"/>
                    <w:left w:val="none" w:sz="0" w:space="0" w:color="auto"/>
                    <w:bottom w:val="none" w:sz="0" w:space="0" w:color="auto"/>
                    <w:right w:val="none" w:sz="0" w:space="0" w:color="auto"/>
                  </w:divBdr>
                </w:div>
              </w:divsChild>
            </w:div>
            <w:div w:id="1019166058">
              <w:marLeft w:val="0"/>
              <w:marRight w:val="0"/>
              <w:marTop w:val="0"/>
              <w:marBottom w:val="0"/>
              <w:divBdr>
                <w:top w:val="none" w:sz="0" w:space="0" w:color="auto"/>
                <w:left w:val="none" w:sz="0" w:space="0" w:color="auto"/>
                <w:bottom w:val="none" w:sz="0" w:space="0" w:color="auto"/>
                <w:right w:val="none" w:sz="0" w:space="0" w:color="auto"/>
              </w:divBdr>
              <w:divsChild>
                <w:div w:id="1573395112">
                  <w:marLeft w:val="0"/>
                  <w:marRight w:val="0"/>
                  <w:marTop w:val="0"/>
                  <w:marBottom w:val="0"/>
                  <w:divBdr>
                    <w:top w:val="none" w:sz="0" w:space="0" w:color="auto"/>
                    <w:left w:val="none" w:sz="0" w:space="0" w:color="auto"/>
                    <w:bottom w:val="none" w:sz="0" w:space="0" w:color="auto"/>
                    <w:right w:val="none" w:sz="0" w:space="0" w:color="auto"/>
                  </w:divBdr>
                </w:div>
              </w:divsChild>
            </w:div>
            <w:div w:id="1108310133">
              <w:marLeft w:val="0"/>
              <w:marRight w:val="0"/>
              <w:marTop w:val="0"/>
              <w:marBottom w:val="0"/>
              <w:divBdr>
                <w:top w:val="none" w:sz="0" w:space="0" w:color="auto"/>
                <w:left w:val="none" w:sz="0" w:space="0" w:color="auto"/>
                <w:bottom w:val="none" w:sz="0" w:space="0" w:color="auto"/>
                <w:right w:val="none" w:sz="0" w:space="0" w:color="auto"/>
              </w:divBdr>
              <w:divsChild>
                <w:div w:id="142016514">
                  <w:marLeft w:val="0"/>
                  <w:marRight w:val="0"/>
                  <w:marTop w:val="0"/>
                  <w:marBottom w:val="0"/>
                  <w:divBdr>
                    <w:top w:val="none" w:sz="0" w:space="0" w:color="auto"/>
                    <w:left w:val="none" w:sz="0" w:space="0" w:color="auto"/>
                    <w:bottom w:val="none" w:sz="0" w:space="0" w:color="auto"/>
                    <w:right w:val="none" w:sz="0" w:space="0" w:color="auto"/>
                  </w:divBdr>
                </w:div>
              </w:divsChild>
            </w:div>
            <w:div w:id="1128858384">
              <w:marLeft w:val="0"/>
              <w:marRight w:val="0"/>
              <w:marTop w:val="0"/>
              <w:marBottom w:val="0"/>
              <w:divBdr>
                <w:top w:val="none" w:sz="0" w:space="0" w:color="auto"/>
                <w:left w:val="none" w:sz="0" w:space="0" w:color="auto"/>
                <w:bottom w:val="none" w:sz="0" w:space="0" w:color="auto"/>
                <w:right w:val="none" w:sz="0" w:space="0" w:color="auto"/>
              </w:divBdr>
              <w:divsChild>
                <w:div w:id="1298797828">
                  <w:marLeft w:val="0"/>
                  <w:marRight w:val="0"/>
                  <w:marTop w:val="0"/>
                  <w:marBottom w:val="0"/>
                  <w:divBdr>
                    <w:top w:val="none" w:sz="0" w:space="0" w:color="auto"/>
                    <w:left w:val="none" w:sz="0" w:space="0" w:color="auto"/>
                    <w:bottom w:val="none" w:sz="0" w:space="0" w:color="auto"/>
                    <w:right w:val="none" w:sz="0" w:space="0" w:color="auto"/>
                  </w:divBdr>
                </w:div>
              </w:divsChild>
            </w:div>
            <w:div w:id="1174152734">
              <w:marLeft w:val="0"/>
              <w:marRight w:val="0"/>
              <w:marTop w:val="0"/>
              <w:marBottom w:val="0"/>
              <w:divBdr>
                <w:top w:val="none" w:sz="0" w:space="0" w:color="auto"/>
                <w:left w:val="none" w:sz="0" w:space="0" w:color="auto"/>
                <w:bottom w:val="none" w:sz="0" w:space="0" w:color="auto"/>
                <w:right w:val="none" w:sz="0" w:space="0" w:color="auto"/>
              </w:divBdr>
              <w:divsChild>
                <w:div w:id="55130171">
                  <w:marLeft w:val="0"/>
                  <w:marRight w:val="0"/>
                  <w:marTop w:val="0"/>
                  <w:marBottom w:val="0"/>
                  <w:divBdr>
                    <w:top w:val="none" w:sz="0" w:space="0" w:color="auto"/>
                    <w:left w:val="none" w:sz="0" w:space="0" w:color="auto"/>
                    <w:bottom w:val="none" w:sz="0" w:space="0" w:color="auto"/>
                    <w:right w:val="none" w:sz="0" w:space="0" w:color="auto"/>
                  </w:divBdr>
                </w:div>
              </w:divsChild>
            </w:div>
            <w:div w:id="1310132278">
              <w:marLeft w:val="0"/>
              <w:marRight w:val="0"/>
              <w:marTop w:val="0"/>
              <w:marBottom w:val="0"/>
              <w:divBdr>
                <w:top w:val="none" w:sz="0" w:space="0" w:color="auto"/>
                <w:left w:val="none" w:sz="0" w:space="0" w:color="auto"/>
                <w:bottom w:val="none" w:sz="0" w:space="0" w:color="auto"/>
                <w:right w:val="none" w:sz="0" w:space="0" w:color="auto"/>
              </w:divBdr>
              <w:divsChild>
                <w:div w:id="324093455">
                  <w:marLeft w:val="0"/>
                  <w:marRight w:val="0"/>
                  <w:marTop w:val="0"/>
                  <w:marBottom w:val="0"/>
                  <w:divBdr>
                    <w:top w:val="none" w:sz="0" w:space="0" w:color="auto"/>
                    <w:left w:val="none" w:sz="0" w:space="0" w:color="auto"/>
                    <w:bottom w:val="none" w:sz="0" w:space="0" w:color="auto"/>
                    <w:right w:val="none" w:sz="0" w:space="0" w:color="auto"/>
                  </w:divBdr>
                </w:div>
              </w:divsChild>
            </w:div>
            <w:div w:id="1543591339">
              <w:marLeft w:val="0"/>
              <w:marRight w:val="0"/>
              <w:marTop w:val="0"/>
              <w:marBottom w:val="0"/>
              <w:divBdr>
                <w:top w:val="none" w:sz="0" w:space="0" w:color="auto"/>
                <w:left w:val="none" w:sz="0" w:space="0" w:color="auto"/>
                <w:bottom w:val="none" w:sz="0" w:space="0" w:color="auto"/>
                <w:right w:val="none" w:sz="0" w:space="0" w:color="auto"/>
              </w:divBdr>
              <w:divsChild>
                <w:div w:id="1900850">
                  <w:marLeft w:val="0"/>
                  <w:marRight w:val="0"/>
                  <w:marTop w:val="0"/>
                  <w:marBottom w:val="0"/>
                  <w:divBdr>
                    <w:top w:val="none" w:sz="0" w:space="0" w:color="auto"/>
                    <w:left w:val="none" w:sz="0" w:space="0" w:color="auto"/>
                    <w:bottom w:val="none" w:sz="0" w:space="0" w:color="auto"/>
                    <w:right w:val="none" w:sz="0" w:space="0" w:color="auto"/>
                  </w:divBdr>
                </w:div>
              </w:divsChild>
            </w:div>
            <w:div w:id="1629774770">
              <w:marLeft w:val="0"/>
              <w:marRight w:val="0"/>
              <w:marTop w:val="0"/>
              <w:marBottom w:val="0"/>
              <w:divBdr>
                <w:top w:val="none" w:sz="0" w:space="0" w:color="auto"/>
                <w:left w:val="none" w:sz="0" w:space="0" w:color="auto"/>
                <w:bottom w:val="none" w:sz="0" w:space="0" w:color="auto"/>
                <w:right w:val="none" w:sz="0" w:space="0" w:color="auto"/>
              </w:divBdr>
              <w:divsChild>
                <w:div w:id="89473448">
                  <w:marLeft w:val="0"/>
                  <w:marRight w:val="0"/>
                  <w:marTop w:val="0"/>
                  <w:marBottom w:val="0"/>
                  <w:divBdr>
                    <w:top w:val="none" w:sz="0" w:space="0" w:color="auto"/>
                    <w:left w:val="none" w:sz="0" w:space="0" w:color="auto"/>
                    <w:bottom w:val="none" w:sz="0" w:space="0" w:color="auto"/>
                    <w:right w:val="none" w:sz="0" w:space="0" w:color="auto"/>
                  </w:divBdr>
                </w:div>
              </w:divsChild>
            </w:div>
            <w:div w:id="1720477247">
              <w:marLeft w:val="0"/>
              <w:marRight w:val="0"/>
              <w:marTop w:val="0"/>
              <w:marBottom w:val="0"/>
              <w:divBdr>
                <w:top w:val="none" w:sz="0" w:space="0" w:color="auto"/>
                <w:left w:val="none" w:sz="0" w:space="0" w:color="auto"/>
                <w:bottom w:val="none" w:sz="0" w:space="0" w:color="auto"/>
                <w:right w:val="none" w:sz="0" w:space="0" w:color="auto"/>
              </w:divBdr>
              <w:divsChild>
                <w:div w:id="1366372371">
                  <w:marLeft w:val="0"/>
                  <w:marRight w:val="0"/>
                  <w:marTop w:val="0"/>
                  <w:marBottom w:val="0"/>
                  <w:divBdr>
                    <w:top w:val="none" w:sz="0" w:space="0" w:color="auto"/>
                    <w:left w:val="none" w:sz="0" w:space="0" w:color="auto"/>
                    <w:bottom w:val="none" w:sz="0" w:space="0" w:color="auto"/>
                    <w:right w:val="none" w:sz="0" w:space="0" w:color="auto"/>
                  </w:divBdr>
                </w:div>
              </w:divsChild>
            </w:div>
            <w:div w:id="1767188726">
              <w:marLeft w:val="0"/>
              <w:marRight w:val="0"/>
              <w:marTop w:val="0"/>
              <w:marBottom w:val="0"/>
              <w:divBdr>
                <w:top w:val="none" w:sz="0" w:space="0" w:color="auto"/>
                <w:left w:val="none" w:sz="0" w:space="0" w:color="auto"/>
                <w:bottom w:val="none" w:sz="0" w:space="0" w:color="auto"/>
                <w:right w:val="none" w:sz="0" w:space="0" w:color="auto"/>
              </w:divBdr>
              <w:divsChild>
                <w:div w:id="15338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346194">
      <w:bodyDiv w:val="1"/>
      <w:marLeft w:val="0"/>
      <w:marRight w:val="0"/>
      <w:marTop w:val="0"/>
      <w:marBottom w:val="0"/>
      <w:divBdr>
        <w:top w:val="none" w:sz="0" w:space="0" w:color="auto"/>
        <w:left w:val="none" w:sz="0" w:space="0" w:color="auto"/>
        <w:bottom w:val="none" w:sz="0" w:space="0" w:color="auto"/>
        <w:right w:val="none" w:sz="0" w:space="0" w:color="auto"/>
      </w:divBdr>
    </w:div>
    <w:div w:id="1083406201">
      <w:bodyDiv w:val="1"/>
      <w:marLeft w:val="0"/>
      <w:marRight w:val="0"/>
      <w:marTop w:val="0"/>
      <w:marBottom w:val="0"/>
      <w:divBdr>
        <w:top w:val="none" w:sz="0" w:space="0" w:color="auto"/>
        <w:left w:val="none" w:sz="0" w:space="0" w:color="auto"/>
        <w:bottom w:val="none" w:sz="0" w:space="0" w:color="auto"/>
        <w:right w:val="none" w:sz="0" w:space="0" w:color="auto"/>
      </w:divBdr>
    </w:div>
    <w:div w:id="1100837469">
      <w:bodyDiv w:val="1"/>
      <w:marLeft w:val="0"/>
      <w:marRight w:val="0"/>
      <w:marTop w:val="0"/>
      <w:marBottom w:val="0"/>
      <w:divBdr>
        <w:top w:val="none" w:sz="0" w:space="0" w:color="auto"/>
        <w:left w:val="none" w:sz="0" w:space="0" w:color="auto"/>
        <w:bottom w:val="none" w:sz="0" w:space="0" w:color="auto"/>
        <w:right w:val="none" w:sz="0" w:space="0" w:color="auto"/>
      </w:divBdr>
    </w:div>
    <w:div w:id="1129318859">
      <w:bodyDiv w:val="1"/>
      <w:marLeft w:val="0"/>
      <w:marRight w:val="0"/>
      <w:marTop w:val="0"/>
      <w:marBottom w:val="0"/>
      <w:divBdr>
        <w:top w:val="none" w:sz="0" w:space="0" w:color="auto"/>
        <w:left w:val="none" w:sz="0" w:space="0" w:color="auto"/>
        <w:bottom w:val="none" w:sz="0" w:space="0" w:color="auto"/>
        <w:right w:val="none" w:sz="0" w:space="0" w:color="auto"/>
      </w:divBdr>
    </w:div>
    <w:div w:id="1141194144">
      <w:bodyDiv w:val="1"/>
      <w:marLeft w:val="0"/>
      <w:marRight w:val="0"/>
      <w:marTop w:val="0"/>
      <w:marBottom w:val="0"/>
      <w:divBdr>
        <w:top w:val="none" w:sz="0" w:space="0" w:color="auto"/>
        <w:left w:val="none" w:sz="0" w:space="0" w:color="auto"/>
        <w:bottom w:val="none" w:sz="0" w:space="0" w:color="auto"/>
        <w:right w:val="none" w:sz="0" w:space="0" w:color="auto"/>
      </w:divBdr>
    </w:div>
    <w:div w:id="1166284116">
      <w:bodyDiv w:val="1"/>
      <w:marLeft w:val="0"/>
      <w:marRight w:val="0"/>
      <w:marTop w:val="0"/>
      <w:marBottom w:val="0"/>
      <w:divBdr>
        <w:top w:val="none" w:sz="0" w:space="0" w:color="auto"/>
        <w:left w:val="none" w:sz="0" w:space="0" w:color="auto"/>
        <w:bottom w:val="none" w:sz="0" w:space="0" w:color="auto"/>
        <w:right w:val="none" w:sz="0" w:space="0" w:color="auto"/>
      </w:divBdr>
    </w:div>
    <w:div w:id="1186335140">
      <w:bodyDiv w:val="1"/>
      <w:marLeft w:val="0"/>
      <w:marRight w:val="0"/>
      <w:marTop w:val="0"/>
      <w:marBottom w:val="0"/>
      <w:divBdr>
        <w:top w:val="none" w:sz="0" w:space="0" w:color="auto"/>
        <w:left w:val="none" w:sz="0" w:space="0" w:color="auto"/>
        <w:bottom w:val="none" w:sz="0" w:space="0" w:color="auto"/>
        <w:right w:val="none" w:sz="0" w:space="0" w:color="auto"/>
      </w:divBdr>
    </w:div>
    <w:div w:id="1251357567">
      <w:bodyDiv w:val="1"/>
      <w:marLeft w:val="0"/>
      <w:marRight w:val="0"/>
      <w:marTop w:val="0"/>
      <w:marBottom w:val="0"/>
      <w:divBdr>
        <w:top w:val="none" w:sz="0" w:space="0" w:color="auto"/>
        <w:left w:val="none" w:sz="0" w:space="0" w:color="auto"/>
        <w:bottom w:val="none" w:sz="0" w:space="0" w:color="auto"/>
        <w:right w:val="none" w:sz="0" w:space="0" w:color="auto"/>
      </w:divBdr>
    </w:div>
    <w:div w:id="1253927373">
      <w:bodyDiv w:val="1"/>
      <w:marLeft w:val="0"/>
      <w:marRight w:val="0"/>
      <w:marTop w:val="0"/>
      <w:marBottom w:val="0"/>
      <w:divBdr>
        <w:top w:val="none" w:sz="0" w:space="0" w:color="auto"/>
        <w:left w:val="none" w:sz="0" w:space="0" w:color="auto"/>
        <w:bottom w:val="none" w:sz="0" w:space="0" w:color="auto"/>
        <w:right w:val="none" w:sz="0" w:space="0" w:color="auto"/>
      </w:divBdr>
    </w:div>
    <w:div w:id="1261640231">
      <w:bodyDiv w:val="1"/>
      <w:marLeft w:val="0"/>
      <w:marRight w:val="0"/>
      <w:marTop w:val="0"/>
      <w:marBottom w:val="0"/>
      <w:divBdr>
        <w:top w:val="none" w:sz="0" w:space="0" w:color="auto"/>
        <w:left w:val="none" w:sz="0" w:space="0" w:color="auto"/>
        <w:bottom w:val="none" w:sz="0" w:space="0" w:color="auto"/>
        <w:right w:val="none" w:sz="0" w:space="0" w:color="auto"/>
      </w:divBdr>
    </w:div>
    <w:div w:id="1275987866">
      <w:bodyDiv w:val="1"/>
      <w:marLeft w:val="0"/>
      <w:marRight w:val="0"/>
      <w:marTop w:val="0"/>
      <w:marBottom w:val="0"/>
      <w:divBdr>
        <w:top w:val="none" w:sz="0" w:space="0" w:color="auto"/>
        <w:left w:val="none" w:sz="0" w:space="0" w:color="auto"/>
        <w:bottom w:val="none" w:sz="0" w:space="0" w:color="auto"/>
        <w:right w:val="none" w:sz="0" w:space="0" w:color="auto"/>
      </w:divBdr>
      <w:divsChild>
        <w:div w:id="45110914">
          <w:marLeft w:val="0"/>
          <w:marRight w:val="0"/>
          <w:marTop w:val="0"/>
          <w:marBottom w:val="0"/>
          <w:divBdr>
            <w:top w:val="none" w:sz="0" w:space="0" w:color="auto"/>
            <w:left w:val="none" w:sz="0" w:space="0" w:color="auto"/>
            <w:bottom w:val="none" w:sz="0" w:space="0" w:color="auto"/>
            <w:right w:val="none" w:sz="0" w:space="0" w:color="auto"/>
          </w:divBdr>
        </w:div>
        <w:div w:id="92559869">
          <w:marLeft w:val="0"/>
          <w:marRight w:val="0"/>
          <w:marTop w:val="0"/>
          <w:marBottom w:val="0"/>
          <w:divBdr>
            <w:top w:val="none" w:sz="0" w:space="0" w:color="auto"/>
            <w:left w:val="none" w:sz="0" w:space="0" w:color="auto"/>
            <w:bottom w:val="none" w:sz="0" w:space="0" w:color="auto"/>
            <w:right w:val="none" w:sz="0" w:space="0" w:color="auto"/>
          </w:divBdr>
        </w:div>
        <w:div w:id="659163191">
          <w:marLeft w:val="0"/>
          <w:marRight w:val="0"/>
          <w:marTop w:val="0"/>
          <w:marBottom w:val="0"/>
          <w:divBdr>
            <w:top w:val="none" w:sz="0" w:space="0" w:color="auto"/>
            <w:left w:val="none" w:sz="0" w:space="0" w:color="auto"/>
            <w:bottom w:val="none" w:sz="0" w:space="0" w:color="auto"/>
            <w:right w:val="none" w:sz="0" w:space="0" w:color="auto"/>
          </w:divBdr>
        </w:div>
        <w:div w:id="1085111221">
          <w:marLeft w:val="0"/>
          <w:marRight w:val="0"/>
          <w:marTop w:val="0"/>
          <w:marBottom w:val="0"/>
          <w:divBdr>
            <w:top w:val="none" w:sz="0" w:space="0" w:color="auto"/>
            <w:left w:val="none" w:sz="0" w:space="0" w:color="auto"/>
            <w:bottom w:val="none" w:sz="0" w:space="0" w:color="auto"/>
            <w:right w:val="none" w:sz="0" w:space="0" w:color="auto"/>
          </w:divBdr>
        </w:div>
        <w:div w:id="1290160295">
          <w:marLeft w:val="0"/>
          <w:marRight w:val="0"/>
          <w:marTop w:val="0"/>
          <w:marBottom w:val="0"/>
          <w:divBdr>
            <w:top w:val="none" w:sz="0" w:space="0" w:color="auto"/>
            <w:left w:val="none" w:sz="0" w:space="0" w:color="auto"/>
            <w:bottom w:val="none" w:sz="0" w:space="0" w:color="auto"/>
            <w:right w:val="none" w:sz="0" w:space="0" w:color="auto"/>
          </w:divBdr>
        </w:div>
        <w:div w:id="1392581657">
          <w:marLeft w:val="0"/>
          <w:marRight w:val="0"/>
          <w:marTop w:val="0"/>
          <w:marBottom w:val="0"/>
          <w:divBdr>
            <w:top w:val="none" w:sz="0" w:space="0" w:color="auto"/>
            <w:left w:val="none" w:sz="0" w:space="0" w:color="auto"/>
            <w:bottom w:val="none" w:sz="0" w:space="0" w:color="auto"/>
            <w:right w:val="none" w:sz="0" w:space="0" w:color="auto"/>
          </w:divBdr>
        </w:div>
      </w:divsChild>
    </w:div>
    <w:div w:id="1330065043">
      <w:bodyDiv w:val="1"/>
      <w:marLeft w:val="0"/>
      <w:marRight w:val="0"/>
      <w:marTop w:val="0"/>
      <w:marBottom w:val="0"/>
      <w:divBdr>
        <w:top w:val="none" w:sz="0" w:space="0" w:color="auto"/>
        <w:left w:val="none" w:sz="0" w:space="0" w:color="auto"/>
        <w:bottom w:val="none" w:sz="0" w:space="0" w:color="auto"/>
        <w:right w:val="none" w:sz="0" w:space="0" w:color="auto"/>
      </w:divBdr>
    </w:div>
    <w:div w:id="1386102771">
      <w:bodyDiv w:val="1"/>
      <w:marLeft w:val="0"/>
      <w:marRight w:val="0"/>
      <w:marTop w:val="0"/>
      <w:marBottom w:val="0"/>
      <w:divBdr>
        <w:top w:val="none" w:sz="0" w:space="0" w:color="auto"/>
        <w:left w:val="none" w:sz="0" w:space="0" w:color="auto"/>
        <w:bottom w:val="none" w:sz="0" w:space="0" w:color="auto"/>
        <w:right w:val="none" w:sz="0" w:space="0" w:color="auto"/>
      </w:divBdr>
    </w:div>
    <w:div w:id="1457915813">
      <w:bodyDiv w:val="1"/>
      <w:marLeft w:val="0"/>
      <w:marRight w:val="0"/>
      <w:marTop w:val="0"/>
      <w:marBottom w:val="0"/>
      <w:divBdr>
        <w:top w:val="none" w:sz="0" w:space="0" w:color="auto"/>
        <w:left w:val="none" w:sz="0" w:space="0" w:color="auto"/>
        <w:bottom w:val="none" w:sz="0" w:space="0" w:color="auto"/>
        <w:right w:val="none" w:sz="0" w:space="0" w:color="auto"/>
      </w:divBdr>
    </w:div>
    <w:div w:id="1465003811">
      <w:bodyDiv w:val="1"/>
      <w:marLeft w:val="0"/>
      <w:marRight w:val="0"/>
      <w:marTop w:val="0"/>
      <w:marBottom w:val="0"/>
      <w:divBdr>
        <w:top w:val="none" w:sz="0" w:space="0" w:color="auto"/>
        <w:left w:val="none" w:sz="0" w:space="0" w:color="auto"/>
        <w:bottom w:val="none" w:sz="0" w:space="0" w:color="auto"/>
        <w:right w:val="none" w:sz="0" w:space="0" w:color="auto"/>
      </w:divBdr>
    </w:div>
    <w:div w:id="1512989980">
      <w:bodyDiv w:val="1"/>
      <w:marLeft w:val="0"/>
      <w:marRight w:val="0"/>
      <w:marTop w:val="0"/>
      <w:marBottom w:val="0"/>
      <w:divBdr>
        <w:top w:val="none" w:sz="0" w:space="0" w:color="auto"/>
        <w:left w:val="none" w:sz="0" w:space="0" w:color="auto"/>
        <w:bottom w:val="none" w:sz="0" w:space="0" w:color="auto"/>
        <w:right w:val="none" w:sz="0" w:space="0" w:color="auto"/>
      </w:divBdr>
    </w:div>
    <w:div w:id="1544245630">
      <w:bodyDiv w:val="1"/>
      <w:marLeft w:val="0"/>
      <w:marRight w:val="0"/>
      <w:marTop w:val="0"/>
      <w:marBottom w:val="0"/>
      <w:divBdr>
        <w:top w:val="none" w:sz="0" w:space="0" w:color="auto"/>
        <w:left w:val="none" w:sz="0" w:space="0" w:color="auto"/>
        <w:bottom w:val="none" w:sz="0" w:space="0" w:color="auto"/>
        <w:right w:val="none" w:sz="0" w:space="0" w:color="auto"/>
      </w:divBdr>
    </w:div>
    <w:div w:id="1577665442">
      <w:bodyDiv w:val="1"/>
      <w:marLeft w:val="0"/>
      <w:marRight w:val="0"/>
      <w:marTop w:val="0"/>
      <w:marBottom w:val="0"/>
      <w:divBdr>
        <w:top w:val="none" w:sz="0" w:space="0" w:color="auto"/>
        <w:left w:val="none" w:sz="0" w:space="0" w:color="auto"/>
        <w:bottom w:val="none" w:sz="0" w:space="0" w:color="auto"/>
        <w:right w:val="none" w:sz="0" w:space="0" w:color="auto"/>
      </w:divBdr>
    </w:div>
    <w:div w:id="1579902580">
      <w:bodyDiv w:val="1"/>
      <w:marLeft w:val="0"/>
      <w:marRight w:val="0"/>
      <w:marTop w:val="0"/>
      <w:marBottom w:val="0"/>
      <w:divBdr>
        <w:top w:val="none" w:sz="0" w:space="0" w:color="auto"/>
        <w:left w:val="none" w:sz="0" w:space="0" w:color="auto"/>
        <w:bottom w:val="none" w:sz="0" w:space="0" w:color="auto"/>
        <w:right w:val="none" w:sz="0" w:space="0" w:color="auto"/>
      </w:divBdr>
    </w:div>
    <w:div w:id="1660036075">
      <w:bodyDiv w:val="1"/>
      <w:marLeft w:val="0"/>
      <w:marRight w:val="0"/>
      <w:marTop w:val="0"/>
      <w:marBottom w:val="0"/>
      <w:divBdr>
        <w:top w:val="none" w:sz="0" w:space="0" w:color="auto"/>
        <w:left w:val="none" w:sz="0" w:space="0" w:color="auto"/>
        <w:bottom w:val="none" w:sz="0" w:space="0" w:color="auto"/>
        <w:right w:val="none" w:sz="0" w:space="0" w:color="auto"/>
      </w:divBdr>
    </w:div>
    <w:div w:id="1687319856">
      <w:bodyDiv w:val="1"/>
      <w:marLeft w:val="0"/>
      <w:marRight w:val="0"/>
      <w:marTop w:val="0"/>
      <w:marBottom w:val="0"/>
      <w:divBdr>
        <w:top w:val="none" w:sz="0" w:space="0" w:color="auto"/>
        <w:left w:val="none" w:sz="0" w:space="0" w:color="auto"/>
        <w:bottom w:val="none" w:sz="0" w:space="0" w:color="auto"/>
        <w:right w:val="none" w:sz="0" w:space="0" w:color="auto"/>
      </w:divBdr>
    </w:div>
    <w:div w:id="1692100073">
      <w:bodyDiv w:val="1"/>
      <w:marLeft w:val="0"/>
      <w:marRight w:val="0"/>
      <w:marTop w:val="0"/>
      <w:marBottom w:val="0"/>
      <w:divBdr>
        <w:top w:val="none" w:sz="0" w:space="0" w:color="auto"/>
        <w:left w:val="none" w:sz="0" w:space="0" w:color="auto"/>
        <w:bottom w:val="none" w:sz="0" w:space="0" w:color="auto"/>
        <w:right w:val="none" w:sz="0" w:space="0" w:color="auto"/>
      </w:divBdr>
      <w:divsChild>
        <w:div w:id="942686611">
          <w:marLeft w:val="0"/>
          <w:marRight w:val="0"/>
          <w:marTop w:val="0"/>
          <w:marBottom w:val="0"/>
          <w:divBdr>
            <w:top w:val="none" w:sz="0" w:space="0" w:color="auto"/>
            <w:left w:val="none" w:sz="0" w:space="0" w:color="auto"/>
            <w:bottom w:val="none" w:sz="0" w:space="0" w:color="auto"/>
            <w:right w:val="none" w:sz="0" w:space="0" w:color="auto"/>
          </w:divBdr>
        </w:div>
        <w:div w:id="1378433608">
          <w:marLeft w:val="0"/>
          <w:marRight w:val="0"/>
          <w:marTop w:val="0"/>
          <w:marBottom w:val="0"/>
          <w:divBdr>
            <w:top w:val="none" w:sz="0" w:space="0" w:color="auto"/>
            <w:left w:val="none" w:sz="0" w:space="0" w:color="auto"/>
            <w:bottom w:val="none" w:sz="0" w:space="0" w:color="auto"/>
            <w:right w:val="none" w:sz="0" w:space="0" w:color="auto"/>
          </w:divBdr>
        </w:div>
      </w:divsChild>
    </w:div>
    <w:div w:id="1712923827">
      <w:bodyDiv w:val="1"/>
      <w:marLeft w:val="0"/>
      <w:marRight w:val="0"/>
      <w:marTop w:val="0"/>
      <w:marBottom w:val="0"/>
      <w:divBdr>
        <w:top w:val="none" w:sz="0" w:space="0" w:color="auto"/>
        <w:left w:val="none" w:sz="0" w:space="0" w:color="auto"/>
        <w:bottom w:val="none" w:sz="0" w:space="0" w:color="auto"/>
        <w:right w:val="none" w:sz="0" w:space="0" w:color="auto"/>
      </w:divBdr>
      <w:divsChild>
        <w:div w:id="349572383">
          <w:marLeft w:val="0"/>
          <w:marRight w:val="0"/>
          <w:marTop w:val="0"/>
          <w:marBottom w:val="0"/>
          <w:divBdr>
            <w:top w:val="none" w:sz="0" w:space="0" w:color="auto"/>
            <w:left w:val="none" w:sz="0" w:space="0" w:color="auto"/>
            <w:bottom w:val="none" w:sz="0" w:space="0" w:color="auto"/>
            <w:right w:val="none" w:sz="0" w:space="0" w:color="auto"/>
          </w:divBdr>
        </w:div>
        <w:div w:id="556624462">
          <w:marLeft w:val="0"/>
          <w:marRight w:val="0"/>
          <w:marTop w:val="0"/>
          <w:marBottom w:val="0"/>
          <w:divBdr>
            <w:top w:val="none" w:sz="0" w:space="0" w:color="auto"/>
            <w:left w:val="none" w:sz="0" w:space="0" w:color="auto"/>
            <w:bottom w:val="none" w:sz="0" w:space="0" w:color="auto"/>
            <w:right w:val="none" w:sz="0" w:space="0" w:color="auto"/>
          </w:divBdr>
        </w:div>
        <w:div w:id="1060327013">
          <w:marLeft w:val="0"/>
          <w:marRight w:val="0"/>
          <w:marTop w:val="0"/>
          <w:marBottom w:val="0"/>
          <w:divBdr>
            <w:top w:val="none" w:sz="0" w:space="0" w:color="auto"/>
            <w:left w:val="none" w:sz="0" w:space="0" w:color="auto"/>
            <w:bottom w:val="none" w:sz="0" w:space="0" w:color="auto"/>
            <w:right w:val="none" w:sz="0" w:space="0" w:color="auto"/>
          </w:divBdr>
        </w:div>
        <w:div w:id="1540127581">
          <w:marLeft w:val="0"/>
          <w:marRight w:val="0"/>
          <w:marTop w:val="0"/>
          <w:marBottom w:val="0"/>
          <w:divBdr>
            <w:top w:val="none" w:sz="0" w:space="0" w:color="auto"/>
            <w:left w:val="none" w:sz="0" w:space="0" w:color="auto"/>
            <w:bottom w:val="none" w:sz="0" w:space="0" w:color="auto"/>
            <w:right w:val="none" w:sz="0" w:space="0" w:color="auto"/>
          </w:divBdr>
        </w:div>
        <w:div w:id="1963001363">
          <w:marLeft w:val="0"/>
          <w:marRight w:val="0"/>
          <w:marTop w:val="0"/>
          <w:marBottom w:val="0"/>
          <w:divBdr>
            <w:top w:val="none" w:sz="0" w:space="0" w:color="auto"/>
            <w:left w:val="none" w:sz="0" w:space="0" w:color="auto"/>
            <w:bottom w:val="none" w:sz="0" w:space="0" w:color="auto"/>
            <w:right w:val="none" w:sz="0" w:space="0" w:color="auto"/>
          </w:divBdr>
        </w:div>
      </w:divsChild>
    </w:div>
    <w:div w:id="1713379193">
      <w:bodyDiv w:val="1"/>
      <w:marLeft w:val="0"/>
      <w:marRight w:val="0"/>
      <w:marTop w:val="0"/>
      <w:marBottom w:val="0"/>
      <w:divBdr>
        <w:top w:val="none" w:sz="0" w:space="0" w:color="auto"/>
        <w:left w:val="none" w:sz="0" w:space="0" w:color="auto"/>
        <w:bottom w:val="none" w:sz="0" w:space="0" w:color="auto"/>
        <w:right w:val="none" w:sz="0" w:space="0" w:color="auto"/>
      </w:divBdr>
    </w:div>
    <w:div w:id="1724675450">
      <w:bodyDiv w:val="1"/>
      <w:marLeft w:val="0"/>
      <w:marRight w:val="0"/>
      <w:marTop w:val="0"/>
      <w:marBottom w:val="0"/>
      <w:divBdr>
        <w:top w:val="none" w:sz="0" w:space="0" w:color="auto"/>
        <w:left w:val="none" w:sz="0" w:space="0" w:color="auto"/>
        <w:bottom w:val="none" w:sz="0" w:space="0" w:color="auto"/>
        <w:right w:val="none" w:sz="0" w:space="0" w:color="auto"/>
      </w:divBdr>
    </w:div>
    <w:div w:id="1726296189">
      <w:bodyDiv w:val="1"/>
      <w:marLeft w:val="0"/>
      <w:marRight w:val="0"/>
      <w:marTop w:val="0"/>
      <w:marBottom w:val="0"/>
      <w:divBdr>
        <w:top w:val="none" w:sz="0" w:space="0" w:color="auto"/>
        <w:left w:val="none" w:sz="0" w:space="0" w:color="auto"/>
        <w:bottom w:val="none" w:sz="0" w:space="0" w:color="auto"/>
        <w:right w:val="none" w:sz="0" w:space="0" w:color="auto"/>
      </w:divBdr>
    </w:div>
    <w:div w:id="1743332980">
      <w:bodyDiv w:val="1"/>
      <w:marLeft w:val="0"/>
      <w:marRight w:val="0"/>
      <w:marTop w:val="0"/>
      <w:marBottom w:val="0"/>
      <w:divBdr>
        <w:top w:val="none" w:sz="0" w:space="0" w:color="auto"/>
        <w:left w:val="none" w:sz="0" w:space="0" w:color="auto"/>
        <w:bottom w:val="none" w:sz="0" w:space="0" w:color="auto"/>
        <w:right w:val="none" w:sz="0" w:space="0" w:color="auto"/>
      </w:divBdr>
    </w:div>
    <w:div w:id="1744911402">
      <w:bodyDiv w:val="1"/>
      <w:marLeft w:val="0"/>
      <w:marRight w:val="0"/>
      <w:marTop w:val="0"/>
      <w:marBottom w:val="0"/>
      <w:divBdr>
        <w:top w:val="none" w:sz="0" w:space="0" w:color="auto"/>
        <w:left w:val="none" w:sz="0" w:space="0" w:color="auto"/>
        <w:bottom w:val="none" w:sz="0" w:space="0" w:color="auto"/>
        <w:right w:val="none" w:sz="0" w:space="0" w:color="auto"/>
      </w:divBdr>
    </w:div>
    <w:div w:id="1745057425">
      <w:bodyDiv w:val="1"/>
      <w:marLeft w:val="0"/>
      <w:marRight w:val="0"/>
      <w:marTop w:val="0"/>
      <w:marBottom w:val="0"/>
      <w:divBdr>
        <w:top w:val="none" w:sz="0" w:space="0" w:color="auto"/>
        <w:left w:val="none" w:sz="0" w:space="0" w:color="auto"/>
        <w:bottom w:val="none" w:sz="0" w:space="0" w:color="auto"/>
        <w:right w:val="none" w:sz="0" w:space="0" w:color="auto"/>
      </w:divBdr>
    </w:div>
    <w:div w:id="1746148783">
      <w:bodyDiv w:val="1"/>
      <w:marLeft w:val="0"/>
      <w:marRight w:val="0"/>
      <w:marTop w:val="0"/>
      <w:marBottom w:val="0"/>
      <w:divBdr>
        <w:top w:val="none" w:sz="0" w:space="0" w:color="auto"/>
        <w:left w:val="none" w:sz="0" w:space="0" w:color="auto"/>
        <w:bottom w:val="none" w:sz="0" w:space="0" w:color="auto"/>
        <w:right w:val="none" w:sz="0" w:space="0" w:color="auto"/>
      </w:divBdr>
    </w:div>
    <w:div w:id="1767189034">
      <w:bodyDiv w:val="1"/>
      <w:marLeft w:val="0"/>
      <w:marRight w:val="0"/>
      <w:marTop w:val="0"/>
      <w:marBottom w:val="0"/>
      <w:divBdr>
        <w:top w:val="none" w:sz="0" w:space="0" w:color="auto"/>
        <w:left w:val="none" w:sz="0" w:space="0" w:color="auto"/>
        <w:bottom w:val="none" w:sz="0" w:space="0" w:color="auto"/>
        <w:right w:val="none" w:sz="0" w:space="0" w:color="auto"/>
      </w:divBdr>
    </w:div>
    <w:div w:id="1840002483">
      <w:bodyDiv w:val="1"/>
      <w:marLeft w:val="0"/>
      <w:marRight w:val="0"/>
      <w:marTop w:val="0"/>
      <w:marBottom w:val="0"/>
      <w:divBdr>
        <w:top w:val="none" w:sz="0" w:space="0" w:color="auto"/>
        <w:left w:val="none" w:sz="0" w:space="0" w:color="auto"/>
        <w:bottom w:val="none" w:sz="0" w:space="0" w:color="auto"/>
        <w:right w:val="none" w:sz="0" w:space="0" w:color="auto"/>
      </w:divBdr>
    </w:div>
    <w:div w:id="1884058880">
      <w:bodyDiv w:val="1"/>
      <w:marLeft w:val="0"/>
      <w:marRight w:val="0"/>
      <w:marTop w:val="0"/>
      <w:marBottom w:val="0"/>
      <w:divBdr>
        <w:top w:val="none" w:sz="0" w:space="0" w:color="auto"/>
        <w:left w:val="none" w:sz="0" w:space="0" w:color="auto"/>
        <w:bottom w:val="none" w:sz="0" w:space="0" w:color="auto"/>
        <w:right w:val="none" w:sz="0" w:space="0" w:color="auto"/>
      </w:divBdr>
    </w:div>
    <w:div w:id="1955746262">
      <w:bodyDiv w:val="1"/>
      <w:marLeft w:val="0"/>
      <w:marRight w:val="0"/>
      <w:marTop w:val="0"/>
      <w:marBottom w:val="0"/>
      <w:divBdr>
        <w:top w:val="none" w:sz="0" w:space="0" w:color="auto"/>
        <w:left w:val="none" w:sz="0" w:space="0" w:color="auto"/>
        <w:bottom w:val="none" w:sz="0" w:space="0" w:color="auto"/>
        <w:right w:val="none" w:sz="0" w:space="0" w:color="auto"/>
      </w:divBdr>
    </w:div>
    <w:div w:id="1970041290">
      <w:bodyDiv w:val="1"/>
      <w:marLeft w:val="0"/>
      <w:marRight w:val="0"/>
      <w:marTop w:val="0"/>
      <w:marBottom w:val="0"/>
      <w:divBdr>
        <w:top w:val="none" w:sz="0" w:space="0" w:color="auto"/>
        <w:left w:val="none" w:sz="0" w:space="0" w:color="auto"/>
        <w:bottom w:val="none" w:sz="0" w:space="0" w:color="auto"/>
        <w:right w:val="none" w:sz="0" w:space="0" w:color="auto"/>
      </w:divBdr>
    </w:div>
    <w:div w:id="2085179956">
      <w:bodyDiv w:val="1"/>
      <w:marLeft w:val="0"/>
      <w:marRight w:val="0"/>
      <w:marTop w:val="0"/>
      <w:marBottom w:val="0"/>
      <w:divBdr>
        <w:top w:val="none" w:sz="0" w:space="0" w:color="auto"/>
        <w:left w:val="none" w:sz="0" w:space="0" w:color="auto"/>
        <w:bottom w:val="none" w:sz="0" w:space="0" w:color="auto"/>
        <w:right w:val="none" w:sz="0" w:space="0" w:color="auto"/>
      </w:divBdr>
    </w:div>
    <w:div w:id="2087922178">
      <w:bodyDiv w:val="1"/>
      <w:marLeft w:val="0"/>
      <w:marRight w:val="0"/>
      <w:marTop w:val="0"/>
      <w:marBottom w:val="0"/>
      <w:divBdr>
        <w:top w:val="none" w:sz="0" w:space="0" w:color="auto"/>
        <w:left w:val="none" w:sz="0" w:space="0" w:color="auto"/>
        <w:bottom w:val="none" w:sz="0" w:space="0" w:color="auto"/>
        <w:right w:val="none" w:sz="0" w:space="0" w:color="auto"/>
      </w:divBdr>
      <w:divsChild>
        <w:div w:id="402337618">
          <w:marLeft w:val="0"/>
          <w:marRight w:val="0"/>
          <w:marTop w:val="0"/>
          <w:marBottom w:val="0"/>
          <w:divBdr>
            <w:top w:val="none" w:sz="0" w:space="0" w:color="auto"/>
            <w:left w:val="none" w:sz="0" w:space="0" w:color="auto"/>
            <w:bottom w:val="none" w:sz="0" w:space="0" w:color="auto"/>
            <w:right w:val="none" w:sz="0" w:space="0" w:color="auto"/>
          </w:divBdr>
          <w:divsChild>
            <w:div w:id="859050092">
              <w:marLeft w:val="0"/>
              <w:marRight w:val="0"/>
              <w:marTop w:val="0"/>
              <w:marBottom w:val="0"/>
              <w:divBdr>
                <w:top w:val="none" w:sz="0" w:space="0" w:color="auto"/>
                <w:left w:val="none" w:sz="0" w:space="0" w:color="auto"/>
                <w:bottom w:val="none" w:sz="0" w:space="0" w:color="auto"/>
                <w:right w:val="none" w:sz="0" w:space="0" w:color="auto"/>
              </w:divBdr>
            </w:div>
            <w:div w:id="2108887772">
              <w:marLeft w:val="0"/>
              <w:marRight w:val="0"/>
              <w:marTop w:val="0"/>
              <w:marBottom w:val="0"/>
              <w:divBdr>
                <w:top w:val="none" w:sz="0" w:space="0" w:color="auto"/>
                <w:left w:val="none" w:sz="0" w:space="0" w:color="auto"/>
                <w:bottom w:val="none" w:sz="0" w:space="0" w:color="auto"/>
                <w:right w:val="none" w:sz="0" w:space="0" w:color="auto"/>
              </w:divBdr>
            </w:div>
          </w:divsChild>
        </w:div>
        <w:div w:id="1633100945">
          <w:marLeft w:val="0"/>
          <w:marRight w:val="0"/>
          <w:marTop w:val="0"/>
          <w:marBottom w:val="0"/>
          <w:divBdr>
            <w:top w:val="none" w:sz="0" w:space="0" w:color="auto"/>
            <w:left w:val="none" w:sz="0" w:space="0" w:color="auto"/>
            <w:bottom w:val="none" w:sz="0" w:space="0" w:color="auto"/>
            <w:right w:val="none" w:sz="0" w:space="0" w:color="auto"/>
          </w:divBdr>
          <w:divsChild>
            <w:div w:id="72241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771971">
      <w:bodyDiv w:val="1"/>
      <w:marLeft w:val="0"/>
      <w:marRight w:val="0"/>
      <w:marTop w:val="0"/>
      <w:marBottom w:val="0"/>
      <w:divBdr>
        <w:top w:val="none" w:sz="0" w:space="0" w:color="auto"/>
        <w:left w:val="none" w:sz="0" w:space="0" w:color="auto"/>
        <w:bottom w:val="none" w:sz="0" w:space="0" w:color="auto"/>
        <w:right w:val="none" w:sz="0" w:space="0" w:color="auto"/>
      </w:divBdr>
    </w:div>
    <w:div w:id="211913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theme" Target="theme/theme1.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4" Type="http://schemas.openxmlformats.org/officeDocument/2006/relationships/customXml" Target="../customXml/item4.xml"/><Relationship Id="rId9" Type="http://schemas.openxmlformats.org/officeDocument/2006/relationships/footnotes" Target="footnotes.xml"/><Relationship Id="rId172" Type="http://schemas.openxmlformats.org/officeDocument/2006/relationships/header" Target="header81.xml"/><Relationship Id="rId180" Type="http://schemas.openxmlformats.org/officeDocument/2006/relationships/fontTable" Target="fontTable.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microsoft.com/office/2020/10/relationships/intelligence" Target="intelligence2.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s>
</file>

<file path=word/documenttasks/documenttasks1.xml><?xml version="1.0" encoding="utf-8"?>
<t:Tasks xmlns:t="http://schemas.microsoft.com/office/tasks/2019/documenttasks" xmlns:oel="http://schemas.microsoft.com/office/2019/extlst">
  <t:Task id="{A07F40B7-3BC2-4A27-A3B2-A09BE3ED66A2}">
    <t:Anchor>
      <t:Comment id="679940691"/>
    </t:Anchor>
    <t:History>
      <t:Event time="2023-08-16T13:54:51.095Z" id="{20BD9EAC-CE36-43E9-BE94-5B8EB3D1F055}">
        <t:Attribution userId="S::javier.pozas-delgado-brackenbury@ec.europa.eu::0664c899-7ce2-4951-8b2e-e1ca48917eab" userName="POZAS DELGADO-BRACKENBURY Javier (ECFIN)" userProvider="AD"/>
        <t:Anchor>
          <t:Comment id="787775745"/>
        </t:Anchor>
        <t:Create/>
      </t:Event>
      <t:Event time="2023-08-16T13:54:51.095Z" id="{8824241E-3052-48B0-93E1-DB17E8437228}">
        <t:Attribution userId="S::javier.pozas-delgado-brackenbury@ec.europa.eu::0664c899-7ce2-4951-8b2e-e1ca48917eab" userName="POZAS DELGADO-BRACKENBURY Javier (ECFIN)" userProvider="AD"/>
        <t:Anchor>
          <t:Comment id="787775745"/>
        </t:Anchor>
        <t:Assign userId="S::Michel.KLAJA@ec.europa.eu::5196fcfd-aea1-493e-ac47-088b087421e8" userName="KLAJA Michel (ECFIN)" userProvider="AD"/>
      </t:Event>
      <t:Event time="2023-08-16T13:54:51.095Z" id="{FECE3E25-AA76-4404-83E5-C297C127B4BC}">
        <t:Attribution userId="S::javier.pozas-delgado-brackenbury@ec.europa.eu::0664c899-7ce2-4951-8b2e-e1ca48917eab" userName="POZAS DELGADO-BRACKENBURY Javier (ECFIN)" userProvider="AD"/>
        <t:Anchor>
          <t:Comment id="787775745"/>
        </t:Anchor>
        <t:SetTitle title="@KLAJA Michel (ECFIN)"/>
      </t:Event>
      <t:Event time="2023-08-16T16:19:11.492Z" id="{D5B9544F-A432-46DD-A806-6F9B5950447E}">
        <t:Attribution userId="S::michel.klaja@ec.europa.eu::5196fcfd-aea1-493e-ac47-088b087421e8" userName="KLAJA Michel (ECFIN)" userProvider="AD"/>
        <t:Progress percentComplete="100"/>
      </t:Event>
    </t:History>
  </t:Task>
  <t:Task id="{22F7C390-FA26-42CF-94C2-D238F8B20D51}">
    <t:Anchor>
      <t:Comment id="449345125"/>
    </t:Anchor>
    <t:History>
      <t:Event time="2025-04-11T11:37:31.488Z" id="{44036E13-083C-47DF-B00A-1D18F6617585}">
        <t:Attribution userId="S::javier.pozas-delgado-brackenbury@ec.europa.eu::0664c899-7ce2-4951-8b2e-e1ca48917eab" userName="POZAS DELGADO-BRACKENBURY Javier (ECFIN)" userProvider="AD"/>
        <t:Anchor>
          <t:Comment id="449345125"/>
        </t:Anchor>
        <t:Create/>
      </t:Event>
      <t:Event time="2025-04-11T11:37:31.488Z" id="{FA6B3AC1-C7D7-4732-9536-E376440B774D}">
        <t:Attribution userId="S::javier.pozas-delgado-brackenbury@ec.europa.eu::0664c899-7ce2-4951-8b2e-e1ca48917eab" userName="POZAS DELGADO-BRACKENBURY Javier (ECFIN)" userProvider="AD"/>
        <t:Anchor>
          <t:Comment id="449345125"/>
        </t:Anchor>
        <t:Assign userId="S::Jurga.RIBACIAUSKAITE@ec.europa.eu::bad9bbe7-6b61-4132-8622-443f1b1e97b6" userName="RIBACIAUSKAITE Jurga (ECFIN)" userProvider="AD"/>
      </t:Event>
      <t:Event time="2025-04-11T11:37:31.488Z" id="{96E0B00A-A2AD-448D-9ED1-1576B0AFD76A}">
        <t:Attribution userId="S::javier.pozas-delgado-brackenbury@ec.europa.eu::0664c899-7ce2-4951-8b2e-e1ca48917eab" userName="POZAS DELGADO-BRACKENBURY Javier (ECFIN)" userProvider="AD"/>
        <t:Anchor>
          <t:Comment id="449345125"/>
        </t:Anchor>
        <t:SetTitle title="Should it be 4000 or 4900 pupils? To be double checked. @RIBACIAUSKAITE Jurga (ECFIN)"/>
      </t:Event>
    </t:History>
  </t:Task>
  <t:Task id="{19935E59-DC71-435C-819E-DA53196D3F73}">
    <t:Anchor>
      <t:Comment id="1553078971"/>
    </t:Anchor>
    <t:History>
      <t:Event time="2025-05-07T11:48:08.151Z" id="{BD5C4D8D-440B-4DC1-AFA6-9AA9E39DB7F0}">
        <t:Attribution userId="S::elodie.durand@ec.europa.eu::c1a07f26-dcc6-416a-b23f-9b6e69bfa2fb" userName="DURAND Elodie (SG REFORM)" userProvider="AD"/>
        <t:Anchor>
          <t:Comment id="1553078971"/>
        </t:Anchor>
        <t:Create/>
      </t:Event>
      <t:Event time="2025-05-07T11:48:08.151Z" id="{07AF60F6-68E7-4DB1-9C8B-5CB9A1B51D70}">
        <t:Attribution userId="S::elodie.durand@ec.europa.eu::c1a07f26-dcc6-416a-b23f-9b6e69bfa2fb" userName="DURAND Elodie (SG REFORM)" userProvider="AD"/>
        <t:Anchor>
          <t:Comment id="1553078971"/>
        </t:Anchor>
        <t:Assign userId="S::Michel.KLAJA@ec.europa.eu::5196fcfd-aea1-493e-ac47-088b087421e8" userName="KLAJA Michel (ECFIN)" userProvider="AD"/>
      </t:Event>
      <t:Event time="2025-05-07T11:48:08.151Z" id="{61C643B7-39D2-482D-A5A7-4A26FF8FF35D}">
        <t:Attribution userId="S::elodie.durand@ec.europa.eu::c1a07f26-dcc6-416a-b23f-9b6e69bfa2fb" userName="DURAND Elodie (SG REFORM)" userProvider="AD"/>
        <t:Anchor>
          <t:Comment id="1553078971"/>
        </t:Anchor>
        <t:SetTitle title="@KLAJA Michel (ECFIN) @GRIESSE Joern (ECFIN) if this was already assessed as part of an earlier milestone, I would NOT make any changes here (for this particular point 1) or for the title)"/>
      </t:Event>
    </t:History>
  </t:Task>
  <t:Task id="{16325B89-D2AC-474B-957B-4B4EB8C870D4}">
    <t:Anchor>
      <t:Comment id="1511039028"/>
    </t:Anchor>
    <t:History>
      <t:Event time="2025-04-11T15:23:04.617Z" id="{4DB73878-31B2-4A0E-9970-5FB9459633E8}">
        <t:Attribution userId="S::elodie.durand@ec.europa.eu::c1a07f26-dcc6-416a-b23f-9b6e69bfa2fb" userName="DURAND Elodie (SG REFORM)" userProvider="AD"/>
        <t:Anchor>
          <t:Comment id="1511039028"/>
        </t:Anchor>
        <t:Create/>
      </t:Event>
      <t:Event time="2025-04-11T15:23:04.617Z" id="{A4AF7E2D-B1A2-4D9B-9162-94ED0742127E}">
        <t:Attribution userId="S::elodie.durand@ec.europa.eu::c1a07f26-dcc6-416a-b23f-9b6e69bfa2fb" userName="DURAND Elodie (SG REFORM)" userProvider="AD"/>
        <t:Anchor>
          <t:Comment id="1511039028"/>
        </t:Anchor>
        <t:Assign userId="S::Michel.KLAJA@ec.europa.eu::5196fcfd-aea1-493e-ac47-088b087421e8" userName="KLAJA Michel (ECFIN)" userProvider="AD"/>
      </t:Event>
      <t:Event time="2025-04-11T15:23:04.617Z" id="{06106052-DBAB-4A5E-8552-B1DDE449BD46}">
        <t:Attribution userId="S::elodie.durand@ec.europa.eu::c1a07f26-dcc6-416a-b23f-9b6e69bfa2fb" userName="DURAND Elodie (SG REFORM)" userProvider="AD"/>
        <t:Anchor>
          <t:Comment id="1511039028"/>
        </t:Anchor>
        <t:SetTitle title="@KLAJA Michel (ECFIN) this should be 4650 I think? It looks like one zero was missed out for deletion? I updated the baseline, please check it is correct"/>
      </t:Event>
      <t:Event time="2025-04-15T13:47:42.265Z" id="{90BAA567-4A62-41B0-9559-5002F959F338}">
        <t:Attribution userId="S::javier.pozas-delgado-brackenbury@ec.europa.eu::0664c899-7ce2-4951-8b2e-e1ca48917eab" userName="POZAS DELGADO-BRACKENBURY Javier (ECFIN)" userProvider="AD"/>
        <t:Progress percentComplete="100"/>
      </t:Event>
    </t:History>
  </t:Task>
  <t:Task id="{FB157493-0B40-4C05-8E0B-644256490288}">
    <t:Anchor>
      <t:Comment id="585497537"/>
    </t:Anchor>
    <t:History>
      <t:Event time="2025-04-11T15:32:59.164Z" id="{759A9E41-D3B6-4A4D-9C1A-9F0C36ADE713}">
        <t:Attribution userId="S::elodie.durand@ec.europa.eu::c1a07f26-dcc6-416a-b23f-9b6e69bfa2fb" userName="DURAND Elodie (SG REFORM)" userProvider="AD"/>
        <t:Anchor>
          <t:Comment id="585497537"/>
        </t:Anchor>
        <t:Create/>
      </t:Event>
      <t:Event time="2025-04-11T15:32:59.164Z" id="{183A652D-82AF-4E3B-A2F9-BA8A94B2D7C4}">
        <t:Attribution userId="S::elodie.durand@ec.europa.eu::c1a07f26-dcc6-416a-b23f-9b6e69bfa2fb" userName="DURAND Elodie (SG REFORM)" userProvider="AD"/>
        <t:Anchor>
          <t:Comment id="585497537"/>
        </t:Anchor>
        <t:Assign userId="S::Michel.KLAJA@ec.europa.eu::5196fcfd-aea1-493e-ac47-088b087421e8" userName="KLAJA Michel (ECFIN)" userProvider="AD"/>
      </t:Event>
      <t:Event time="2025-04-11T15:32:59.164Z" id="{F13DD936-A02A-4B94-AD5E-64255FBBCB10}">
        <t:Attribution userId="S::elodie.durand@ec.europa.eu::c1a07f26-dcc6-416a-b23f-9b6e69bfa2fb" userName="DURAND Elodie (SG REFORM)" userProvider="AD"/>
        <t:Anchor>
          <t:Comment id="585497537"/>
        </t:Anchor>
        <t:SetTitle title="@KLAJA Michel (ECFIN) are these technical legal terms defined in the regulation / will we be able to check/do we need to specify this if we will check that the power requirements are in line with the alternative fuels infrastructure reg?"/>
      </t:Event>
    </t:History>
  </t:Task>
  <t:Task id="{340DDC2E-1DB5-4D9B-9CCD-36909FEE1299}">
    <t:Anchor>
      <t:Comment id="158963905"/>
    </t:Anchor>
    <t:History>
      <t:Event time="2025-04-11T16:15:36.128Z" id="{3ED061C0-6D1D-4EF0-8CD7-2997B2722C1B}">
        <t:Attribution userId="S::elodie.durand@ec.europa.eu::c1a07f26-dcc6-416a-b23f-9b6e69bfa2fb" userName="DURAND Elodie (SG REFORM)" userProvider="AD"/>
        <t:Anchor>
          <t:Comment id="158963905"/>
        </t:Anchor>
        <t:Create/>
      </t:Event>
      <t:Event time="2025-04-11T16:15:36.128Z" id="{C9F9CBB1-83ED-45F5-B61D-471AC6CAFFCD}">
        <t:Attribution userId="S::elodie.durand@ec.europa.eu::c1a07f26-dcc6-416a-b23f-9b6e69bfa2fb" userName="DURAND Elodie (SG REFORM)" userProvider="AD"/>
        <t:Anchor>
          <t:Comment id="158963905"/>
        </t:Anchor>
        <t:Assign userId="S::Javier.POZAS-DELGADO-BRACKENBURY@ec.europa.eu::0664c899-7ce2-4951-8b2e-e1ca48917eab" userName="POZAS DELGADO-BRACKENBURY Javier (ECFIN)" userProvider="AD"/>
      </t:Event>
      <t:Event time="2025-04-11T16:15:36.128Z" id="{490E5416-B9CA-405F-AC59-365F1754BE13}">
        <t:Attribution userId="S::elodie.durand@ec.europa.eu::c1a07f26-dcc6-416a-b23f-9b6e69bfa2fb" userName="DURAND Elodie (SG REFORM)" userProvider="AD"/>
        <t:Anchor>
          <t:Comment id="158963905"/>
        </t:Anchor>
        <t:SetTitle title="@POZAS DELGADO-BRACKENBURY Javier (ECFIN) @SIMEONOVA Detelina (SG REFORM) @GRIESSE Joern (ECFIN) since the measure will be open under art21, I would consider deleting this part which doesn't add anything on substance to the target as it is about the …"/>
      </t:Event>
      <t:Event time="2025-04-15T14:06:44.882Z" id="{107B64D6-51F2-4146-8B15-968B20826BF0}">
        <t:Attribution userId="S::javier.pozas-delgado-brackenbury@ec.europa.eu::0664c899-7ce2-4951-8b2e-e1ca48917eab" userName="POZAS DELGADO-BRACKENBURY Javier (ECFIN)" userProvider="AD"/>
        <t:Progress percentComplete="100"/>
      </t:Event>
    </t:History>
  </t:Task>
  <t:Task id="{98E6E803-579B-470B-A48E-64FDD91FF28C}">
    <t:Anchor>
      <t:Comment id="71852608"/>
    </t:Anchor>
    <t:History>
      <t:Event time="2026-01-12T14:04:07.496Z" id="{F6845C86-9A6E-4189-849E-F43CBEEF1E44}">
        <t:Attribution userId="S::elodie.durand@ec.europa.eu::c1a07f26-dcc6-416a-b23f-9b6e69bfa2fb" userName="DURAND Elodie (SG REFORM)" userProvider="AD"/>
        <t:Anchor>
          <t:Comment id="71852608"/>
        </t:Anchor>
        <t:Create/>
      </t:Event>
      <t:Event time="2026-01-12T14:04:07.496Z" id="{06564386-0ACC-415E-AD65-5833BE6A01AA}">
        <t:Attribution userId="S::elodie.durand@ec.europa.eu::c1a07f26-dcc6-416a-b23f-9b6e69bfa2fb" userName="DURAND Elodie (SG REFORM)" userProvider="AD"/>
        <t:Anchor>
          <t:Comment id="71852608"/>
        </t:Anchor>
        <t:Assign userId="S::Ingrida.PUCINSKAITE@ec.europa.eu::8e1e8bc8-c6c5-4d6f-b3b9-0bdb2487aed4" userName="PUCINSKAITE Ingrida (SG REFORM)" userProvider="AD"/>
      </t:Event>
      <t:Event time="2026-01-12T14:04:07.496Z" id="{487E8411-FC8B-4412-BBCB-BCFBBB2218B2}">
        <t:Attribution userId="S::elodie.durand@ec.europa.eu::c1a07f26-dcc6-416a-b23f-9b6e69bfa2fb" userName="DURAND Elodie (SG REFORM)" userProvider="AD"/>
        <t:Anchor>
          <t:Comment id="71852608"/>
        </t:Anchor>
        <t:SetTitle title="to be updated as per comments in A2/B4 version @PUCINSKAITE Ingrida (SG REFORM) @PANELLA GOMEZ Clara (SG REFORM) , including in MTs table and in section 2 of the CID annex (instalments tables)"/>
      </t:Event>
    </t:History>
  </t:Task>
  <t:Task id="{3ED927DD-8180-4F04-AFA0-DC8C7072B8A2}">
    <t:Anchor>
      <t:Comment id="634572875"/>
    </t:Anchor>
    <t:History>
      <t:Event time="2025-05-08T10:51:50.105Z" id="{01099A78-8160-4B55-8C4C-54900F04F375}">
        <t:Attribution userId="S::elodie.durand@ec.europa.eu::c1a07f26-dcc6-416a-b23f-9b6e69bfa2fb" userName="DURAND Elodie (SG REFORM)" userProvider="AD"/>
        <t:Anchor>
          <t:Comment id="1696802159"/>
        </t:Anchor>
        <t:Create/>
      </t:Event>
      <t:Event time="2025-05-08T10:51:50.105Z" id="{58E5D0DB-9171-4BEE-9EBB-4C1BF15FB4A2}">
        <t:Attribution userId="S::elodie.durand@ec.europa.eu::c1a07f26-dcc6-416a-b23f-9b6e69bfa2fb" userName="DURAND Elodie (SG REFORM)" userProvider="AD"/>
        <t:Anchor>
          <t:Comment id="1696802159"/>
        </t:Anchor>
        <t:Assign userId="S::Joern.GRIESSE@ec.europa.eu::041c68d6-9490-49af-bd13-b6b74f9aed8f" userName="GRIESSE Joern (ECFIN)" userProvider="AD"/>
      </t:Event>
      <t:Event time="2025-05-08T10:51:50.105Z" id="{1081F000-D6C9-45E3-9D91-F704E88F385E}">
        <t:Attribution userId="S::elodie.durand@ec.europa.eu::c1a07f26-dcc6-416a-b23f-9b6e69bfa2fb" userName="DURAND Elodie (SG REFORM)" userProvider="AD"/>
        <t:Anchor>
          <t:Comment id="1696802159"/>
        </t:Anchor>
        <t:SetTitle title="LT indicated they don't mind if the timeline remains as is so for consistency with other measures, if @GRIESSE Joern (ECFIN) agrees let's not change it"/>
      </t:Event>
      <t:Event time="2025-05-08T12:20:43.709Z" id="{2F448CCA-B703-42C4-A67F-73F8DD7F641E}">
        <t:Attribution userId="S::joern.griesse@ec.europa.eu::041c68d6-9490-49af-bd13-b6b74f9aed8f" userName="GRIESSE Joern (ECFIN)" userProvider="AD"/>
        <t:Progress percentComplete="100"/>
      </t:Event>
    </t:History>
  </t:Task>
  <t:Task id="{07BAE4D3-1F23-40B0-9115-D82E7D710250}">
    <t:Anchor>
      <t:Comment id="2130598793"/>
    </t:Anchor>
    <t:History>
      <t:Event time="2026-01-12T14:09:52.217Z" id="{8231B849-DAD4-4B8F-B551-1B4653C2EB2D}">
        <t:Attribution userId="S::elodie.durand@ec.europa.eu::c1a07f26-dcc6-416a-b23f-9b6e69bfa2fb" userName="DURAND Elodie (SG REFORM)" userProvider="AD"/>
        <t:Anchor>
          <t:Comment id="2130598793"/>
        </t:Anchor>
        <t:Create/>
      </t:Event>
      <t:Event time="2026-01-12T14:09:52.217Z" id="{6A1AA7C0-8C44-4A6D-A717-B86F3E6A2FA4}">
        <t:Attribution userId="S::elodie.durand@ec.europa.eu::c1a07f26-dcc6-416a-b23f-9b6e69bfa2fb" userName="DURAND Elodie (SG REFORM)" userProvider="AD"/>
        <t:Anchor>
          <t:Comment id="2130598793"/>
        </t:Anchor>
        <t:Assign userId="S::Julia.ZIEMANN@ec.europa.eu::215d765f-67d7-4650-95d8-e1cfe224d724" userName="ZIEMANN Julia (SG REFORM)" userProvider="AD"/>
      </t:Event>
      <t:Event time="2026-01-12T14:09:52.217Z" id="{D054F5F0-31CF-4670-A8FE-087273422356}">
        <t:Attribution userId="S::elodie.durand@ec.europa.eu::c1a07f26-dcc6-416a-b23f-9b6e69bfa2fb" userName="DURAND Elodie (SG REFORM)" userProvider="AD"/>
        <t:Anchor>
          <t:Comment id="2130598793"/>
        </t:Anchor>
        <t:SetTitle title="@ZIEMANN Julia (SG REFORM) @KLAJA Michel (ECFIN) see suggestion from Valerie in A2/B4 version to consider deleting these points here as they are included in the milestone description itself"/>
      </t:Event>
    </t:History>
  </t:Task>
  <t:Task id="{66F4F410-0933-49C0-8A9B-1CF5C46DEBC5}">
    <t:Anchor>
      <t:Comment id="1231020894"/>
    </t:Anchor>
    <t:History>
      <t:Event time="2026-01-12T14:15:05.241Z" id="{B0174E0E-05EE-44B9-8025-4D49C9B90861}">
        <t:Attribution userId="S::elodie.durand@ec.europa.eu::c1a07f26-dcc6-416a-b23f-9b6e69bfa2fb" userName="DURAND Elodie (SG REFORM)" userProvider="AD"/>
        <t:Anchor>
          <t:Comment id="1231020894"/>
        </t:Anchor>
        <t:Create/>
      </t:Event>
      <t:Event time="2026-01-12T14:15:05.241Z" id="{CCDDB61C-944A-4DAB-B136-44D56870B9CA}">
        <t:Attribution userId="S::elodie.durand@ec.europa.eu::c1a07f26-dcc6-416a-b23f-9b6e69bfa2fb" userName="DURAND Elodie (SG REFORM)" userProvider="AD"/>
        <t:Anchor>
          <t:Comment id="1231020894"/>
        </t:Anchor>
        <t:Assign userId="S::Detelina.SIMEONOVA@ec.europa.eu::2e61108b-771f-4a5f-83a4-3f78174ea226" userName="SIMEONOVA Detelina (SG REFORM)" userProvider="AD"/>
      </t:Event>
      <t:Event time="2026-01-12T14:15:05.241Z" id="{22C7BEBA-BBE2-41D2-8BB8-CFA64657DCCD}">
        <t:Attribution userId="S::elodie.durand@ec.europa.eu::c1a07f26-dcc6-416a-b23f-9b6e69bfa2fb" userName="DURAND Elodie (SG REFORM)" userProvider="AD"/>
        <t:Anchor>
          <t:Comment id="1231020894"/>
        </t:Anchor>
        <t:SetTitle title="@SIMEONOVA Detelina (SG REFORM) @POZAS DELGADO-BRACKENBURY Javier (ECFIN) should this not be &quot;c.1.1a&quot; rather than just &quot;c.1.1&quot;? If so, please delete &quot;transformation of public information technology governance&quot; to reflect the update to the sub-measure …"/>
      </t:Event>
    </t:History>
  </t:Task>
  <t:Task id="{CFF9DA06-2CAC-4410-B1DF-3FFF17017BCB}">
    <t:Anchor>
      <t:Comment id="298926466"/>
    </t:Anchor>
    <t:History>
      <t:Event time="2026-01-12T14:18:59.566Z" id="{3E5CB74D-DA96-4ADE-9F6E-18BBB72FE660}">
        <t:Attribution userId="S::elodie.durand@ec.europa.eu::c1a07f26-dcc6-416a-b23f-9b6e69bfa2fb" userName="DURAND Elodie (SG REFORM)" userProvider="AD"/>
        <t:Anchor>
          <t:Comment id="298926466"/>
        </t:Anchor>
        <t:Create/>
      </t:Event>
      <t:Event time="2026-01-12T14:18:59.566Z" id="{3CE647CD-5614-49F5-8037-165896016986}">
        <t:Attribution userId="S::elodie.durand@ec.europa.eu::c1a07f26-dcc6-416a-b23f-9b6e69bfa2fb" userName="DURAND Elodie (SG REFORM)" userProvider="AD"/>
        <t:Anchor>
          <t:Comment id="298926466"/>
        </t:Anchor>
        <t:Assign userId="S::Detelina.SIMEONOVA@ec.europa.eu::2e61108b-771f-4a5f-83a4-3f78174ea226" userName="SIMEONOVA Detelina (SG REFORM)" userProvider="AD"/>
      </t:Event>
      <t:Event time="2026-01-12T14:18:59.566Z" id="{35650D99-C5F2-4B75-B4AA-9411BEEB2EDA}">
        <t:Attribution userId="S::elodie.durand@ec.europa.eu::c1a07f26-dcc6-416a-b23f-9b6e69bfa2fb" userName="DURAND Elodie (SG REFORM)" userProvider="AD"/>
        <t:Anchor>
          <t:Comment id="298926466"/>
        </t:Anchor>
        <t:SetTitle title="To be decided what to do about the horizontal comment on blacklisted terms @SIMEONOVA Detelina (SG REFORM) @POZAS DELGADO-BRACKENBURY Javier (ECFIN) and if we can go to TLR levels or not"/>
      </t:Event>
    </t:History>
  </t:Task>
  <t:Task id="{85ACF4B8-76FE-4D70-ABE4-F85FB8440E10}">
    <t:Anchor>
      <t:Comment id="499882454"/>
    </t:Anchor>
    <t:History>
      <t:Event time="2026-01-12T14:44:38.562Z" id="{AA36DD3E-412E-44F7-867F-2F4B390D501A}">
        <t:Attribution userId="S::elodie.durand@ec.europa.eu::c1a07f26-dcc6-416a-b23f-9b6e69bfa2fb" userName="DURAND Elodie (SG REFORM)" userProvider="AD"/>
        <t:Anchor>
          <t:Comment id="499882454"/>
        </t:Anchor>
        <t:Create/>
      </t:Event>
      <t:Event time="2026-01-12T14:44:38.562Z" id="{57213960-170C-41D5-ACE6-442758175D07}">
        <t:Attribution userId="S::elodie.durand@ec.europa.eu::c1a07f26-dcc6-416a-b23f-9b6e69bfa2fb" userName="DURAND Elodie (SG REFORM)" userProvider="AD"/>
        <t:Anchor>
          <t:Comment id="499882454"/>
        </t:Anchor>
        <t:Assign userId="S::Maximilian.JUMPERTZ@ec.europa.eu::38f4b130-4c4f-439e-a3c6-f33ceb3105ef" userName="JUMPERTZ Maximilian (SG REFORM)" userProvider="AD"/>
      </t:Event>
      <t:Event time="2026-01-12T14:44:38.562Z" id="{DBB6847A-DF03-468A-B089-88C31F0D5A3A}">
        <t:Attribution userId="S::elodie.durand@ec.europa.eu::c1a07f26-dcc6-416a-b23f-9b6e69bfa2fb" userName="DURAND Elodie (SG REFORM)" userProvider="AD"/>
        <t:Anchor>
          <t:Comment id="499882454"/>
        </t:Anchor>
        <t:SetTitle title="@JUMPERTZ Maximilian (SG REFORM) to be updated once the new milestone is defined (and depending on where it fits - note that horizontals commented on &quot;reliable&quot; which should not be used."/>
      </t:Event>
    </t:History>
  </t:Task>
  <t:Task id="{939CB62D-900E-429B-AFFA-4C3DFAD0C97A}">
    <t:Anchor>
      <t:Comment id="1549636807"/>
    </t:Anchor>
    <t:History>
      <t:Event time="2026-01-12T14:45:29.66Z" id="{9AEB6F75-E870-40BA-8BE5-91856B3BA9B3}">
        <t:Attribution userId="S::elodie.durand@ec.europa.eu::c1a07f26-dcc6-416a-b23f-9b6e69bfa2fb" userName="DURAND Elodie (SG REFORM)" userProvider="AD"/>
        <t:Anchor>
          <t:Comment id="1549636807"/>
        </t:Anchor>
        <t:Create/>
      </t:Event>
      <t:Event time="2026-01-12T14:45:29.66Z" id="{72922A4D-CACA-431F-B0DD-678449810726}">
        <t:Attribution userId="S::elodie.durand@ec.europa.eu::c1a07f26-dcc6-416a-b23f-9b6e69bfa2fb" userName="DURAND Elodie (SG REFORM)" userProvider="AD"/>
        <t:Anchor>
          <t:Comment id="1549636807"/>
        </t:Anchor>
        <t:Assign userId="S::Michel.KLAJA@ec.europa.eu::5196fcfd-aea1-493e-ac47-088b087421e8" userName="KLAJA Michel (ECFIN)" userProvider="AD"/>
      </t:Event>
      <t:Event time="2026-01-12T14:45:29.66Z" id="{E52BD599-FE39-4CF2-9188-2043F7C0A4B4}">
        <t:Attribution userId="S::elodie.durand@ec.europa.eu::c1a07f26-dcc6-416a-b23f-9b6e69bfa2fb" userName="DURAND Elodie (SG REFORM)" userProvider="AD"/>
        <t:Anchor>
          <t:Comment id="1549636807"/>
        </t:Anchor>
        <t:SetTitle title="@KLAJA Michel (ECFIN) no strong views from my side but Valerie indicated that she would rather stick to the HR example so if this &quot;execution&quot; was changed today, can you revert back to the HR wording? 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6c3bc29-9e11-4027-900b-c73633d7928a">
      <UserInfo>
        <DisplayName/>
        <AccountId xsi:nil="true"/>
        <AccountType/>
      </UserInfo>
    </SharedWithUsers>
    <_ip_UnifiedCompliancePolicyUIAction xmlns="http://schemas.microsoft.com/sharepoint/v3" xsi:nil="true"/>
    <TaxCatchAll xmlns="e6c3bc29-9e11-4027-900b-c73633d7928a" xsi:nil="true"/>
    <lcf76f155ced4ddcb4097134ff3c332f xmlns="1700ab43-7395-48ff-866c-657c86ba7f4e">
      <Terms xmlns="http://schemas.microsoft.com/office/infopath/2007/PartnerControls"/>
    </lcf76f155ced4ddcb4097134ff3c332f>
    <_ip_UnifiedCompliancePolicyProperties xmlns="http://schemas.microsoft.com/sharepoint/v3" xsi:nil="true"/>
    <Loans xmlns="1700ab43-7395-48ff-866c-657c86ba7f4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bd40d1c7b4577104ad19baee6632b9db">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d8679fddba2a8c7b806a33d94684c063"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Loa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oans" ma:index="23" nillable="true" ma:displayName="Loans" ma:format="Dropdown" ma:internalName="Loans">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fb1bd8-6bc9-493f-926f-dc4f2dd75951}"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F6E64-F52A-4034-8E8C-344452453D9B}">
  <ds:schemaRefs>
    <ds:schemaRef ds:uri="http://schemas.microsoft.com/office/2006/metadata/properties"/>
    <ds:schemaRef ds:uri="http://schemas.microsoft.com/office/infopath/2007/PartnerControls"/>
    <ds:schemaRef ds:uri="e6c3bc29-9e11-4027-900b-c73633d7928a"/>
    <ds:schemaRef ds:uri="http://schemas.microsoft.com/sharepoint/v3"/>
    <ds:schemaRef ds:uri="1700ab43-7395-48ff-866c-657c86ba7f4e"/>
  </ds:schemaRefs>
</ds:datastoreItem>
</file>

<file path=customXml/itemProps2.xml><?xml version="1.0" encoding="utf-8"?>
<ds:datastoreItem xmlns:ds="http://schemas.openxmlformats.org/officeDocument/2006/customXml" ds:itemID="{803FCF7C-BBEA-4049-99E9-1C2FFF35C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462E46-7983-4A28-BEDB-AD9E2A58E0A6}">
  <ds:schemaRefs>
    <ds:schemaRef ds:uri="http://schemas.microsoft.com/sharepoint/v3/contenttype/forms"/>
  </ds:schemaRefs>
</ds:datastoreItem>
</file>

<file path=customXml/itemProps4.xml><?xml version="1.0" encoding="utf-8"?>
<ds:datastoreItem xmlns:ds="http://schemas.openxmlformats.org/officeDocument/2006/customXml" ds:itemID="{516DFD7E-66DB-43E9-ACF6-8248D80838B0}">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Privilege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471</TotalTime>
  <Pages>13</Pages>
  <Words>49642</Words>
  <Characters>282962</Characters>
  <Application>Microsoft Office Word</Application>
  <DocSecurity>0</DocSecurity>
  <Lines>2358</Lines>
  <Paragraphs>663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2026-01-14T15:22:00Z</dcterms:created>
  <dcterms:modified xsi:type="dcterms:W3CDTF">2026-02-02T12:16:00Z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CPTemplateID">
    <vt:lpwstr>CP-036</vt:lpwstr>
  </property>
  <property fmtid="{D5CDD505-2E9C-101B-9397-08002B2CF9AE}" pid="9" name="Created using">
    <vt:lpwstr>DocuWrite 4.8.5, Build 20230921</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2023-06-26T08:38:30Z</vt:lpwstr>
  </property>
  <property fmtid="{D5CDD505-2E9C-101B-9397-08002B2CF9AE}" pid="13" name="MSIP_Label_6bd9ddd1-4d20-43f6-abfa-fc3c07406f94_Method">
    <vt:lpwstr>Privileged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a8efe8b4-07ad-4475-bb73-0e356594b8dd</vt:lpwstr>
  </property>
  <property fmtid="{D5CDD505-2E9C-101B-9397-08002B2CF9AE}" pid="17" name="MSIP_Label_6bd9ddd1-4d20-43f6-abfa-fc3c07406f94_ContentBits">
    <vt:lpwstr>0</vt:lpwstr>
  </property>
  <property fmtid="{D5CDD505-2E9C-101B-9397-08002B2CF9AE}" pid="18" name="MediaServiceImageTags">
    <vt:lpwstr/>
  </property>
  <property fmtid="{D5CDD505-2E9C-101B-9397-08002B2CF9AE}" pid="19" name="MSIP_Label_b1df41d6-74a9-4a97-809c-213cd32520cc_Enabled">
    <vt:lpwstr>true</vt:lpwstr>
  </property>
  <property fmtid="{D5CDD505-2E9C-101B-9397-08002B2CF9AE}" pid="20" name="MSIP_Label_b1df41d6-74a9-4a97-809c-213cd32520cc_SetDate">
    <vt:lpwstr>2023-10-24T10:41:59Z</vt:lpwstr>
  </property>
  <property fmtid="{D5CDD505-2E9C-101B-9397-08002B2CF9AE}" pid="21" name="MSIP_Label_b1df41d6-74a9-4a97-809c-213cd32520cc_Method">
    <vt:lpwstr>Privileged</vt:lpwstr>
  </property>
  <property fmtid="{D5CDD505-2E9C-101B-9397-08002B2CF9AE}" pid="22" name="MSIP_Label_b1df41d6-74a9-4a97-809c-213cd32520cc_Name">
    <vt:lpwstr>GSCEU - NON PUBLIC Label</vt:lpwstr>
  </property>
  <property fmtid="{D5CDD505-2E9C-101B-9397-08002B2CF9AE}" pid="23" name="MSIP_Label_b1df41d6-74a9-4a97-809c-213cd32520cc_SiteId">
    <vt:lpwstr>03ad1c97-0a4d-4e82-8f93-27291a6a0767</vt:lpwstr>
  </property>
  <property fmtid="{D5CDD505-2E9C-101B-9397-08002B2CF9AE}" pid="24" name="MSIP_Label_b1df41d6-74a9-4a97-809c-213cd32520cc_ActionId">
    <vt:lpwstr>1a96be80-4f0f-4c1a-9473-01328cd6e5d6</vt:lpwstr>
  </property>
  <property fmtid="{D5CDD505-2E9C-101B-9397-08002B2CF9AE}" pid="25" name="MSIP_Label_b1df41d6-74a9-4a97-809c-213cd32520cc_ContentBits">
    <vt:lpwstr>0</vt:lpwstr>
  </property>
  <property fmtid="{D5CDD505-2E9C-101B-9397-08002B2CF9AE}" pid="26" name="Last edited using">
    <vt:lpwstr>LW 9.2, Build 20250828</vt:lpwstr>
  </property>
  <property fmtid="{D5CDD505-2E9C-101B-9397-08002B2CF9AE}" pid="27" name="DocStatus">
    <vt:lpwstr>Green</vt:lpwstr>
  </property>
</Properties>
</file>